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6" w:lineRule="auto"/>
        <w:jc w:val="center"/>
        <w:rPr>
          <w:rFonts w:ascii="仿宋_GB2312" w:hAnsi="仿宋_GB2312" w:eastAsia="仿宋_GB2312" w:cs="仿宋_GB2312"/>
          <w:bCs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邵阳县责任区督学工作考核细则</w:t>
      </w:r>
    </w:p>
    <w:tbl>
      <w:tblPr>
        <w:tblStyle w:val="2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2"/>
        <w:gridCol w:w="855"/>
        <w:gridCol w:w="9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3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/>
                <w:bCs/>
                <w:kern w:val="0"/>
                <w:sz w:val="24"/>
              </w:rPr>
              <w:t>评估要点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983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/>
                <w:bCs/>
                <w:kern w:val="0"/>
                <w:sz w:val="24"/>
              </w:rPr>
              <w:t>评估细则及评估办法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32" w:type="dxa"/>
            <w:vMerge w:val="restart"/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一、日常工作（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5</w:t>
            </w:r>
          </w:p>
        </w:tc>
        <w:tc>
          <w:tcPr>
            <w:tcW w:w="9833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left="357" w:hanging="357" w:firstLineChars="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有年度工作计划、半年及年度总结，每缺一项扣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32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5</w:t>
            </w:r>
          </w:p>
        </w:tc>
        <w:tc>
          <w:tcPr>
            <w:tcW w:w="983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每月按要求及时报送有关信息记满分，每少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次扣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0.5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3032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20</w:t>
            </w:r>
          </w:p>
        </w:tc>
        <w:tc>
          <w:tcPr>
            <w:tcW w:w="983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加强业务学习，督学要有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万字的督导记录和学习笔记，听课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60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节以上，完成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篇有价值的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调研报告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或论文，上报督导工作经验（督导案例）2篇以上，一项不达要求扣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032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10</w:t>
            </w:r>
          </w:p>
        </w:tc>
        <w:tc>
          <w:tcPr>
            <w:tcW w:w="983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及时受理群众来信来访，受理群众来信来访欠佳酌情扣分，扣完为止。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3032" w:type="dxa"/>
            <w:vMerge w:val="restart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二、履行职责（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50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30</w:t>
            </w:r>
          </w:p>
        </w:tc>
        <w:tc>
          <w:tcPr>
            <w:tcW w:w="983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督学每月到所辖内学校督导不少于6所，每次随访督导做到“六有”，即有随访记录、有情况交流、有意见反馈、有整改通知书（针对问题严重的学校下发）、有整改汇报、有督导报告；随访督导每少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次扣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0.5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分，“六有”每缺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次扣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0.2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32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10</w:t>
            </w:r>
          </w:p>
        </w:tc>
        <w:tc>
          <w:tcPr>
            <w:tcW w:w="983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及时完成县教育局及县教育督导部门交办的工作任务，未完成任务酌情扣分。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3032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10</w:t>
            </w:r>
          </w:p>
        </w:tc>
        <w:tc>
          <w:tcPr>
            <w:tcW w:w="983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协助学校开展发展性评价，帮助辖区内中小学、幼儿园制定办学目标与发展规划，加强对实施过程督查，达不到要求酌情扣分。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032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三、结果运用（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10</w:t>
            </w:r>
          </w:p>
        </w:tc>
        <w:tc>
          <w:tcPr>
            <w:tcW w:w="983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随访督学结果引起有关部门重视，并采取相应的整改措施，产生明显效果，且被整改学校有整改汇报材料的记满分；效果不明显酌情扣分，无整改汇报材料扣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分，扣完为止。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24"/>
        </w:rPr>
      </w:pPr>
    </w:p>
    <w:p>
      <w:r>
        <w:rPr>
          <w:rFonts w:hint="eastAsia" w:ascii="仿宋_GB2312" w:hAnsi="仿宋_GB2312" w:eastAsia="仿宋_GB2312" w:cs="仿宋_GB2312"/>
          <w:bCs/>
          <w:sz w:val="24"/>
        </w:rPr>
        <w:t>说明：年度考核</w:t>
      </w:r>
      <w:r>
        <w:rPr>
          <w:rFonts w:ascii="仿宋_GB2312" w:hAnsi="仿宋_GB2312" w:eastAsia="仿宋_GB2312" w:cs="仿宋_GB2312"/>
          <w:bCs/>
          <w:sz w:val="24"/>
        </w:rPr>
        <w:t>90</w:t>
      </w:r>
      <w:r>
        <w:rPr>
          <w:rFonts w:hint="eastAsia" w:ascii="仿宋_GB2312" w:hAnsi="仿宋_GB2312" w:eastAsia="仿宋_GB2312" w:cs="仿宋_GB2312"/>
          <w:bCs/>
          <w:sz w:val="24"/>
        </w:rPr>
        <w:t>分以上为优秀，</w:t>
      </w:r>
      <w:r>
        <w:rPr>
          <w:rFonts w:ascii="仿宋_GB2312" w:hAnsi="仿宋_GB2312" w:eastAsia="仿宋_GB2312" w:cs="仿宋_GB2312"/>
          <w:bCs/>
          <w:sz w:val="24"/>
        </w:rPr>
        <w:t>60-89</w:t>
      </w:r>
      <w:r>
        <w:rPr>
          <w:rFonts w:hint="eastAsia" w:ascii="仿宋_GB2312" w:hAnsi="仿宋_GB2312" w:eastAsia="仿宋_GB2312" w:cs="仿宋_GB2312"/>
          <w:bCs/>
          <w:sz w:val="24"/>
        </w:rPr>
        <w:t>分为合格，</w:t>
      </w:r>
      <w:r>
        <w:rPr>
          <w:rFonts w:ascii="仿宋_GB2312" w:hAnsi="仿宋_GB2312" w:eastAsia="仿宋_GB2312" w:cs="仿宋_GB2312"/>
          <w:bCs/>
          <w:sz w:val="24"/>
        </w:rPr>
        <w:t>60</w:t>
      </w:r>
      <w:r>
        <w:rPr>
          <w:rFonts w:hint="eastAsia" w:ascii="仿宋_GB2312" w:hAnsi="仿宋_GB2312" w:eastAsia="仿宋_GB2312" w:cs="仿宋_GB2312"/>
          <w:bCs/>
          <w:sz w:val="24"/>
        </w:rPr>
        <w:t>分以下为不合格。</w:t>
      </w:r>
    </w:p>
    <w:p/>
    <w:sectPr>
      <w:pgSz w:w="16838" w:h="11906" w:orient="landscape"/>
      <w:pgMar w:top="980" w:right="1440" w:bottom="106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9A8"/>
    <w:multiLevelType w:val="multilevel"/>
    <w:tmpl w:val="0DB879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522C6"/>
    <w:rsid w:val="61E522C6"/>
    <w:rsid w:val="6A9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2019-07-31T04:38:00Z</dcterms:created>
  <dc:creator>留点空间</dc:creator>
  <cp:lastModifiedBy>留点空间</cp:lastModifiedBy>
  <dcterms:modified xsi:type="dcterms:W3CDTF">2019-07-31T04:42:17Z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