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1" w:leftChars="100" w:hanging="1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邵阳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县迎接省2019年县域义务教育均衡发展督查</w:t>
      </w:r>
    </w:p>
    <w:p>
      <w:pPr>
        <w:ind w:firstLine="2429" w:firstLineChars="550"/>
        <w:rPr>
          <w:rFonts w:ascii="黑体" w:hAnsi="黑体" w:eastAsia="黑体" w:cs="黑体"/>
          <w:b/>
          <w:bCs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工  作  方  案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根据湖南省教育督导委员会办公室《关于印发&lt;201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年县域义务教育均衡发展省级督查工作实施方案&gt;的通知》（湘教督办〔201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/>
          <w:sz w:val="32"/>
          <w:szCs w:val="32"/>
        </w:rPr>
        <w:t>号）的精神，省督导委员会将于4月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Times New Roman" w:eastAsia="仿宋_GB2312"/>
          <w:sz w:val="32"/>
          <w:szCs w:val="32"/>
        </w:rPr>
        <w:t>日至4月2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sz w:val="32"/>
          <w:szCs w:val="32"/>
        </w:rPr>
        <w:t>日对我县进行县域义务教育均衡发展督查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消除义务教育大班额专项行动进展情况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和芙蓉学校项目建设情况</w:t>
      </w:r>
      <w:r>
        <w:rPr>
          <w:rFonts w:hint="eastAsia" w:ascii="仿宋_GB2312" w:hAnsi="Times New Roman" w:eastAsia="仿宋_GB2312"/>
          <w:sz w:val="32"/>
          <w:szCs w:val="32"/>
        </w:rPr>
        <w:t>进行专项督导。为确保督查工作和专项督导工作的顺利进行，特制定如下工作方案：</w:t>
      </w:r>
    </w:p>
    <w:p>
      <w:pPr>
        <w:spacing w:line="600" w:lineRule="exact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一、省、市督导评估领导名单及住宿安排</w:t>
      </w:r>
    </w:p>
    <w:tbl>
      <w:tblPr>
        <w:tblStyle w:val="3"/>
        <w:tblpPr w:leftFromText="180" w:rightFromText="180" w:vertAnchor="text" w:horzAnchor="page" w:tblpX="1362" w:tblpY="229"/>
        <w:tblOverlap w:val="never"/>
        <w:tblW w:w="9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3711"/>
        <w:gridCol w:w="2000"/>
        <w:gridCol w:w="1310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单位及职务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分工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房间号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唐亚武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snapToGrid w:val="0"/>
              <w:spacing w:line="370" w:lineRule="exact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省教育厅党组成员、主任督学、副厅长，省委教育工委委员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13974817481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 xml:space="preserve">组 </w:t>
            </w: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长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贺  照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snapToGrid w:val="0"/>
              <w:spacing w:line="370" w:lineRule="exact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省教育厅副主任督学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13874992339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执行组长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江  芳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snapToGrid w:val="0"/>
              <w:spacing w:line="370" w:lineRule="exact"/>
              <w:rPr>
                <w:rFonts w:ascii="宋体" w:hAnsi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省电教馆项目科副科长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rFonts w:ascii="宋体" w:hAnsi="宋体"/>
                <w:b/>
                <w:bCs w:val="0"/>
                <w:color w:val="auto"/>
                <w:sz w:val="24"/>
              </w:rPr>
              <w:t>13808413210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联络员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吴汉湘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snapToGrid w:val="0"/>
              <w:spacing w:line="370" w:lineRule="exact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湘潭市雨湖区教育局计财股股长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13807322522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  <w:r>
              <w:rPr>
                <w:rFonts w:ascii="宋体" w:hAnsi="宋体"/>
                <w:b/>
                <w:bCs w:val="0"/>
                <w:color w:val="auto"/>
                <w:sz w:val="24"/>
              </w:rPr>
              <w:t>经</w:t>
            </w: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 xml:space="preserve">  </w:t>
            </w:r>
            <w:r>
              <w:rPr>
                <w:rFonts w:ascii="宋体" w:hAnsi="宋体"/>
                <w:b/>
                <w:bCs w:val="0"/>
                <w:color w:val="auto"/>
                <w:sz w:val="24"/>
              </w:rPr>
              <w:t>费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</w:rPr>
              <w:t>王小林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snapToGrid w:val="0"/>
              <w:spacing w:line="370" w:lineRule="exact"/>
              <w:rPr>
                <w:rFonts w:ascii="宋体" w:hAnsi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</w:rPr>
              <w:t>永州市教育局原副主任督学（正处长级）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13907461806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赵建奇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snapToGrid w:val="0"/>
              <w:spacing w:line="370" w:lineRule="exact"/>
              <w:rPr>
                <w:rFonts w:ascii="宋体" w:hAnsi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湘潭市教育局副主任督学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13873299192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邓化平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snapToGrid w:val="0"/>
              <w:spacing w:line="370" w:lineRule="exact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资兴市教育局党组成员、市职教中心主任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13707350559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郭述清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snapToGrid w:val="0"/>
              <w:spacing w:line="370" w:lineRule="exact"/>
              <w:rPr>
                <w:rFonts w:hint="eastAsia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桃源县教育局教育督导室副主任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13508414166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资料员1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郭正航</w:t>
            </w:r>
          </w:p>
        </w:tc>
        <w:tc>
          <w:tcPr>
            <w:tcW w:w="3711" w:type="dxa"/>
            <w:noWrap w:val="0"/>
            <w:vAlign w:val="center"/>
          </w:tcPr>
          <w:p>
            <w:pPr>
              <w:snapToGrid w:val="0"/>
              <w:spacing w:line="370" w:lineRule="exact"/>
              <w:rPr>
                <w:rFonts w:hint="eastAsia" w:eastAsia="宋体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ascii="宋体" w:hAnsi="宋体"/>
                <w:b/>
                <w:bCs w:val="0"/>
                <w:color w:val="auto"/>
                <w:sz w:val="24"/>
              </w:rPr>
              <w:t>双峰县教育督导室副主任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13973870466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资料员2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二、市陪同领导名单</w:t>
      </w:r>
    </w:p>
    <w:tbl>
      <w:tblPr>
        <w:tblStyle w:val="3"/>
        <w:tblpPr w:leftFromText="180" w:rightFromText="180" w:vertAnchor="text" w:horzAnchor="page" w:tblpX="1362" w:tblpY="229"/>
        <w:tblOverlap w:val="never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4478"/>
        <w:gridCol w:w="1233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单位及职务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房间号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李华和</w:t>
            </w:r>
          </w:p>
        </w:tc>
        <w:tc>
          <w:tcPr>
            <w:tcW w:w="4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邵阳市人民政府副市长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/>
                <w:b/>
                <w:bCs w:val="0"/>
                <w:sz w:val="22"/>
                <w:szCs w:val="2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杨一丁</w:t>
            </w:r>
          </w:p>
        </w:tc>
        <w:tc>
          <w:tcPr>
            <w:tcW w:w="4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 xml:space="preserve">邵阳市人民政府副秘书长  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/>
                <w:b/>
                <w:bCs w:val="0"/>
                <w:sz w:val="22"/>
                <w:szCs w:val="2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肖玉叶</w:t>
            </w:r>
          </w:p>
        </w:tc>
        <w:tc>
          <w:tcPr>
            <w:tcW w:w="4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both"/>
              <w:textAlignment w:val="auto"/>
              <w:rPr>
                <w:rFonts w:ascii="宋体" w:hAnsi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 xml:space="preserve">邵阳市教育局党委书记、局长  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杨进琼</w:t>
            </w:r>
          </w:p>
        </w:tc>
        <w:tc>
          <w:tcPr>
            <w:tcW w:w="4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邵阳市教育局副主任督学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/>
                <w:b/>
                <w:bCs w:val="0"/>
                <w:sz w:val="22"/>
                <w:szCs w:val="2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陈忠民</w:t>
            </w:r>
          </w:p>
        </w:tc>
        <w:tc>
          <w:tcPr>
            <w:tcW w:w="4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邵阳市教育局督导科科长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李佳倚</w:t>
            </w:r>
          </w:p>
        </w:tc>
        <w:tc>
          <w:tcPr>
            <w:tcW w:w="4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邵阳市教育督督导科干部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三、实地核查线路安排</w:t>
      </w:r>
    </w:p>
    <w:tbl>
      <w:tblPr>
        <w:tblStyle w:val="3"/>
        <w:tblpPr w:leftFromText="180" w:rightFromText="180" w:vertAnchor="text" w:horzAnchor="page" w:tblpX="1384" w:tblpY="102"/>
        <w:tblOverlap w:val="never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1802"/>
        <w:gridCol w:w="2266"/>
        <w:gridCol w:w="1904"/>
        <w:gridCol w:w="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80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226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190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152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陪检领导及人员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第一组（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所）</w:t>
            </w:r>
          </w:p>
        </w:tc>
        <w:tc>
          <w:tcPr>
            <w:tcW w:w="18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塘渡口镇一完小</w:t>
            </w:r>
          </w:p>
        </w:tc>
        <w:tc>
          <w:tcPr>
            <w:tcW w:w="22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县十一中</w:t>
            </w:r>
          </w:p>
        </w:tc>
        <w:tc>
          <w:tcPr>
            <w:tcW w:w="19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塘渡口镇五完小</w:t>
            </w:r>
          </w:p>
        </w:tc>
        <w:tc>
          <w:tcPr>
            <w:tcW w:w="1527" w:type="dxa"/>
            <w:vMerge w:val="restart"/>
            <w:tcBorders>
              <w:top w:val="single" w:color="000000" w:sz="12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4"/>
              </w:tabs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王满元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04"/>
              </w:tabs>
              <w:ind w:firstLine="402" w:firstLineChars="20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刘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丹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04"/>
              </w:tabs>
              <w:ind w:firstLine="402" w:firstLineChars="20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廖献国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04"/>
              </w:tabs>
              <w:ind w:firstLine="402" w:firstLineChars="20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王春光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塘渡口镇二完小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塘渡口镇中学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塘渡口镇红石学校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塘渡口镇三完小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塘渡口镇大岭学校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塘渡口镇玉田中学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塘渡口镇四完小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塘渡口镇双合学校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第二组（</w:t>
            </w:r>
            <w:r>
              <w:rPr>
                <w:rStyle w:val="6"/>
                <w:rFonts w:eastAsia="宋体"/>
                <w:b/>
                <w:bCs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6"/>
                <w:rFonts w:hint="eastAsia" w:eastAsia="宋体"/>
                <w:b/>
                <w:bCs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7"/>
                <w:b/>
                <w:bCs/>
                <w:sz w:val="20"/>
                <w:szCs w:val="20"/>
                <w:lang w:val="en-US" w:eastAsia="zh-CN" w:bidi="ar"/>
              </w:rPr>
              <w:t>所）</w:t>
            </w:r>
          </w:p>
        </w:tc>
        <w:tc>
          <w:tcPr>
            <w:tcW w:w="18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下花桥镇中学</w:t>
            </w:r>
          </w:p>
        </w:tc>
        <w:tc>
          <w:tcPr>
            <w:tcW w:w="22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五峰铺镇青云中学</w:t>
            </w:r>
          </w:p>
        </w:tc>
        <w:tc>
          <w:tcPr>
            <w:tcW w:w="19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郦家坪镇城天堂中学</w:t>
            </w:r>
          </w:p>
        </w:tc>
        <w:tc>
          <w:tcPr>
            <w:tcW w:w="1527" w:type="dxa"/>
            <w:vMerge w:val="restart"/>
            <w:tcBorders>
              <w:top w:val="single" w:color="000000" w:sz="12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陈银宝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阮春华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蒋业首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李艳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61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下花桥镇中心完小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五峰铺镇六里中学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郦家坪镇杉木桥中学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61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下花桥镇岩门学校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五峰铺镇崇文中学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郦家坪镇姚家铺学校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61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五峰铺镇中心完小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郦家坪镇三塘教学点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五峰铺镇大田学校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第三组（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Style w:val="7"/>
                <w:b/>
                <w:bCs/>
                <w:sz w:val="20"/>
                <w:szCs w:val="20"/>
                <w:lang w:val="en-US" w:eastAsia="zh-CN" w:bidi="ar"/>
              </w:rPr>
              <w:t>所）</w:t>
            </w:r>
          </w:p>
        </w:tc>
        <w:tc>
          <w:tcPr>
            <w:tcW w:w="18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金称市镇中学</w:t>
            </w:r>
          </w:p>
        </w:tc>
        <w:tc>
          <w:tcPr>
            <w:tcW w:w="22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小溪市乡中学</w:t>
            </w:r>
          </w:p>
        </w:tc>
        <w:tc>
          <w:tcPr>
            <w:tcW w:w="19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蔡桥乡中学</w:t>
            </w:r>
          </w:p>
        </w:tc>
        <w:tc>
          <w:tcPr>
            <w:tcW w:w="1527" w:type="dxa"/>
            <w:vMerge w:val="restart"/>
            <w:tcBorders>
              <w:top w:val="single" w:color="000000" w:sz="12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李奇生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赵江波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刘秋平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谭余粮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唐小勇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金称市镇芙蓉中学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长阳铺镇中学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蔡桥乡中心完小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金称市镇芙蓉完小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长阳铺镇中心完小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长乐乡中学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36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金称市青莲教学点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长阳铺镇湴田教学点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第四组（10</w:t>
            </w:r>
            <w:r>
              <w:rPr>
                <w:rStyle w:val="7"/>
                <w:b/>
                <w:bCs/>
                <w:sz w:val="20"/>
                <w:szCs w:val="20"/>
                <w:lang w:val="en-US" w:eastAsia="zh-CN" w:bidi="ar"/>
              </w:rPr>
              <w:t>所）</w:t>
            </w:r>
          </w:p>
        </w:tc>
        <w:tc>
          <w:tcPr>
            <w:tcW w:w="18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2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白仓镇中学</w:t>
            </w:r>
          </w:p>
        </w:tc>
        <w:tc>
          <w:tcPr>
            <w:tcW w:w="19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27" w:type="dxa"/>
            <w:vMerge w:val="restart"/>
            <w:tcBorders>
              <w:top w:val="single" w:color="000000" w:sz="12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刘祥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唐琦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刘勋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刘争良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龙松华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莫玉林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61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九公桥镇尤家学校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白仓镇中心完小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黄亭市镇中学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61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谷州镇良山学校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白仓镇塘代教学点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黄亭市镇双清中学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61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塘田市镇中学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黄亭市镇中心完小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361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塘田市镇中心完小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四、督查程序</w:t>
      </w:r>
    </w:p>
    <w:p>
      <w:pPr>
        <w:numPr>
          <w:ilvl w:val="0"/>
          <w:numId w:val="1"/>
        </w:numPr>
        <w:spacing w:line="600" w:lineRule="exact"/>
        <w:ind w:leftChars="0"/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确定学校名单。随机抽取完小以上义务教育学校40所，教学点4个。</w:t>
      </w:r>
    </w:p>
    <w:p>
      <w:pPr>
        <w:numPr>
          <w:ilvl w:val="0"/>
          <w:numId w:val="1"/>
        </w:numPr>
        <w:spacing w:line="600" w:lineRule="exact"/>
        <w:ind w:leftChars="0"/>
        <w:rPr>
          <w:rFonts w:hint="default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查阅资料。审阅县级推进义务教育均衡发展情况的书面汇报，核查县级义务教育经费账目。</w:t>
      </w:r>
    </w:p>
    <w:p>
      <w:pPr>
        <w:numPr>
          <w:ilvl w:val="0"/>
          <w:numId w:val="1"/>
        </w:numPr>
        <w:spacing w:line="600" w:lineRule="exact"/>
        <w:ind w:leftChars="0"/>
        <w:rPr>
          <w:rFonts w:hint="default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学校实地核查。对照评估标准，填写《核查学校过渡表》和《中小学办学条件基本标准达标情况》</w:t>
      </w:r>
    </w:p>
    <w:p>
      <w:pPr>
        <w:numPr>
          <w:ilvl w:val="0"/>
          <w:numId w:val="1"/>
        </w:numPr>
        <w:spacing w:line="600" w:lineRule="exact"/>
        <w:ind w:leftChars="0"/>
        <w:rPr>
          <w:rFonts w:hint="default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汇总督查情况。</w:t>
      </w:r>
    </w:p>
    <w:p>
      <w:pPr>
        <w:numPr>
          <w:ilvl w:val="0"/>
          <w:numId w:val="1"/>
        </w:numPr>
        <w:spacing w:line="600" w:lineRule="exact"/>
        <w:ind w:leftChars="0"/>
        <w:rPr>
          <w:rFonts w:hint="default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反馈督查情况。以市州为单位组织。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五、督查内容、要求和标准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督查标准见《湖南省义务教育学校办学相关指标省级标准一表清》和《湖南省县域义务教育均衡发展督导评估办学条件计分办法》。重点督查师生比、专任教师学历合格率、生均校地面积、生均校舍面积、生均体育场馆面积、实验室、六大功能室、图书馆、生均教学设备值以及生均图书册数等10项指标，“四改三化（学校改食堂、改寝室、改旱厕、改澡堂，净化、亮化、绿化）”工作推进情况，消除义务教育大班额专项督导的内容见《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年县（市、区）消除义务教育大班额专项行动进展情况督查用表》。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芙蓉学校项目建设进展情况专项督导内容（见附件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纳入县域义务教育均衡发展省级督导评估一并组织实施。</w:t>
      </w:r>
    </w:p>
    <w:p>
      <w:pPr>
        <w:spacing w:line="600" w:lineRule="exact"/>
        <w:ind w:firstLine="3840" w:firstLineChars="1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邵阳</w:t>
      </w:r>
      <w:r>
        <w:rPr>
          <w:rFonts w:hint="eastAsia" w:ascii="仿宋_GB2312" w:hAnsi="Times New Roman" w:eastAsia="仿宋_GB2312"/>
          <w:sz w:val="32"/>
          <w:szCs w:val="32"/>
        </w:rPr>
        <w:t>县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人民政府办公室</w:t>
      </w: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p>
      <w:pPr>
        <w:spacing w:line="240" w:lineRule="auto"/>
        <w:jc w:val="center"/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       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 xml:space="preserve">年4月 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4F92"/>
    <w:multiLevelType w:val="singleLevel"/>
    <w:tmpl w:val="4E544F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51746"/>
    <w:rsid w:val="06E12B64"/>
    <w:rsid w:val="0D954FA2"/>
    <w:rsid w:val="16C9056F"/>
    <w:rsid w:val="23046A18"/>
    <w:rsid w:val="265044B4"/>
    <w:rsid w:val="2BC34734"/>
    <w:rsid w:val="2C974C26"/>
    <w:rsid w:val="35A92DF7"/>
    <w:rsid w:val="3EF8601B"/>
    <w:rsid w:val="4E651746"/>
    <w:rsid w:val="4E90437C"/>
    <w:rsid w:val="4F044AEE"/>
    <w:rsid w:val="5C9704DA"/>
    <w:rsid w:val="5DAB2940"/>
    <w:rsid w:val="5E8C3F2E"/>
    <w:rsid w:val="69C62BAB"/>
    <w:rsid w:val="6E9F616A"/>
    <w:rsid w:val="73A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2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2019-04-02T00:36:00Z</dcterms:created>
  <dc:creator>留点空间</dc:creator>
  <cp:lastModifiedBy>留点空间</cp:lastModifiedBy>
  <cp:lastPrinted>2019-04-15T06:43:00Z</cp:lastPrinted>
  <dcterms:modified xsi:type="dcterms:W3CDTF">2019-04-16T07:04:16Z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