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eastAsia="zh-CN"/>
        </w:rPr>
        <w:t>邵阳县应急管理局</w:t>
      </w:r>
      <w:r>
        <w:rPr>
          <w:rFonts w:hint="eastAsia" w:eastAsia="方正小标宋_GBK"/>
          <w:sz w:val="36"/>
          <w:szCs w:val="36"/>
          <w:lang w:val="en-US" w:eastAsia="zh-CN"/>
        </w:rPr>
        <w:t>2020年度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</w:t>
      </w:r>
    </w:p>
    <w:p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绩效报告</w:t>
      </w:r>
    </w:p>
    <w:p>
      <w:pPr>
        <w:adjustRightInd w:val="0"/>
        <w:spacing w:line="600" w:lineRule="exact"/>
        <w:ind w:right="641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为加强财政资金管理，切实提高资金使用效益，根据</w:t>
      </w:r>
      <w:r>
        <w:rPr>
          <w:rFonts w:hint="eastAsia" w:ascii="仿宋_GB2312" w:eastAsia="仿宋_GB2312"/>
          <w:sz w:val="32"/>
          <w:szCs w:val="32"/>
          <w:lang w:eastAsia="zh-CN"/>
        </w:rPr>
        <w:t>县财政局有关文件</w:t>
      </w:r>
      <w:r>
        <w:rPr>
          <w:rFonts w:hint="eastAsia" w:ascii="仿宋_GB2312" w:eastAsia="仿宋_GB2312"/>
          <w:sz w:val="32"/>
          <w:szCs w:val="32"/>
        </w:rPr>
        <w:t>要求，现将我单位整体支出绩效自评报告如下：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val="en-US" w:eastAsia="zh-CN"/>
        </w:rPr>
        <w:t>邵阳县应急管理局2020年底在职人员104名，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内设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eastAsia="zh-CN"/>
        </w:rPr>
        <w:t>股室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val="en-US" w:eastAsia="zh-CN"/>
        </w:rPr>
        <w:t>14个（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eastAsia="zh-CN"/>
        </w:rPr>
        <w:t>办公室、应急指挥中心、政工股、风险监测和综合减灾股、救援协调和预案管理股、火灾防治管理股、防汛抗旱股、工贸行业安全监督管理股（露天矿山安全监督管理股）、矿山安全监督管理股（地震和地质灾害救援股）、危险化学品安全监督管理股（烟花爆竹安全监督管理股）、安全生产综合协调股（调查评估和统计股）、救灾和物资保障股、政策法规股、规划财务股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eastAsia="zh-CN"/>
        </w:rPr>
        <w:t>局属二级事业单位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val="en-US" w:eastAsia="zh-CN"/>
        </w:rPr>
        <w:t>3个（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安全生产执法大队、安全生产技术信息中心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eastAsia="zh-CN"/>
        </w:rPr>
        <w:t>、地震办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  <w:lang w:eastAsia="zh-CN"/>
        </w:rPr>
        <w:t>。主要职责是负责应急管理工作，指导全县各乡镇各部门应对安全生产类、自然灾害类等突发事件和综合防灾减灾救灾工作，负责安全生产综合监督管理和工矿商贸行业(含煤矿)安全生产监督管理工作。</w:t>
      </w:r>
      <w:r>
        <w:rPr>
          <w:rFonts w:hint="eastAsia" w:ascii="楷体_GB2312" w:hAnsi="Times New Roman" w:eastAsia="楷体_GB2312" w:cs="Times New Roman"/>
          <w:color w:val="000000"/>
          <w:kern w:val="0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部门整体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收支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概况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2020年收入2854.14万元，其中一般公共预算拨款收入2854.14万元；上级补助收入0万元，占0%；事业收入0万元，占0%；经营收入0万元，占0%；附属单位上缴收入0万元，占0%；其他收入0万元，占0%。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2020年度支出合计2,854.14万元，其中：基本支出2,854.14万元，占100%；项目支出0万元，占0%；上缴上级支出0万元，占0%；经营支出0万元，占0%；对附属单位补助支出0万元，占0%。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2020年度基本支出2,101.51万元，主要包括人员经费和日常公用经费。其中：人员经费1,351.52万元，占基本支出的64.31%，公用经费749.99万元，占基本支出的35.69%。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资金通过财政实行国库集中支付，资金的使用严格按照财务审批制度和审批程序层层把关。“三公经费”中，公务用车购置及运行维护费0万元；公务接待费1.49</w:t>
      </w:r>
      <w:bookmarkStart w:id="0" w:name="_GoBack"/>
      <w:bookmarkEnd w:id="0"/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万元，出国境费为0万元。公务接待严格控制接待标准和陪餐人数，全局按照厉行节约的管理思路，严格控制“三公经费”的支出。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专项支出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年我局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专项资金预算。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2020年我局无专项资金预算。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我局建立了资产管理长效机制，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固定资产采购必须按制度执行，政府集中采购目录及限额以上的采购项目严格按照采购程序报批。办公设备、固定资产日常管理按照“谁使用、谁负责”的原则，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各股室（大队、中心）对其使用的资产负责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。年底对固定资产进行一次全面清查，核准数量，及时作好固定资产价值的增减处理。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县财政局有关文件要求</w:t>
      </w:r>
      <w:r>
        <w:rPr>
          <w:rFonts w:hint="eastAsia" w:ascii="仿宋_GB2312" w:eastAsia="仿宋_GB2312"/>
          <w:sz w:val="32"/>
          <w:szCs w:val="32"/>
        </w:rPr>
        <w:t>，我局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预算执行、预算管理、资产管理、绩效管理、职责履行、履职效益等方面进行了自评，20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年度整体支出绩效评为“</w:t>
      </w:r>
      <w:r>
        <w:rPr>
          <w:rFonts w:hint="eastAsia" w:ascii="仿宋_GB2312" w:eastAsia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六、综合评价情况及评价结论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2020年，在县委、县政府的正确领导下，我局紧紧围绕年度目标任务，以高度的政治责任感和极端负责的态度，全力推进安全生产工作，持之以恒抓牢抓紧安全生产工作，全县安全生产形势持续稳定向好，未发生较大以上生产安全事故。</w:t>
      </w:r>
      <w:r>
        <w:rPr>
          <w:rFonts w:hint="eastAsia" w:ascii="仿宋_GB2312" w:eastAsia="仿宋_GB2312"/>
          <w:sz w:val="32"/>
          <w:szCs w:val="32"/>
        </w:rPr>
        <w:t>根据《部门整体支出绩效评价指标评分表》</w:t>
      </w:r>
      <w:r>
        <w:rPr>
          <w:rFonts w:hint="eastAsia" w:ascii="仿宋_GB2312" w:eastAsia="仿宋_GB2312"/>
          <w:sz w:val="32"/>
          <w:szCs w:val="32"/>
          <w:lang w:eastAsia="zh-CN"/>
        </w:rPr>
        <w:t>，我局自评分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七、部门整体支出主要</w:t>
      </w:r>
      <w:r>
        <w:rPr>
          <w:rFonts w:eastAsia="黑体"/>
          <w:sz w:val="32"/>
          <w:szCs w:val="32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根据我局年初工作计划，围绕财政工作部署，积极履行职责，强化财务管理，较好地完成了年度工作目标，同时加强预算收支的管理，建立健全内部管理制度，严格内部管理流程，部门整体支出管理得到了提升。2020年，我单位被评全市安全生产工作良好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rightChars="0" w:firstLine="640" w:firstLineChars="200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因乡村振兴、文明创建等中心工作没有资金预算，都要用办公经费来弥补，所以存在单位经费不足、串用指标的问题。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一是进一步规范资金管理，完善财务制度，严格控制各项费用；二是加强培训，提高财务人员的工作水平。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DY2MDM4YTAxMjFhM2Y1OWIzYWFmNzFhYzVmNTUifQ=="/>
  </w:docVars>
  <w:rsids>
    <w:rsidRoot w:val="250D4C67"/>
    <w:rsid w:val="0D9B679F"/>
    <w:rsid w:val="250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1540</Characters>
  <Lines>0</Lines>
  <Paragraphs>0</Paragraphs>
  <TotalTime>4</TotalTime>
  <ScaleCrop>false</ScaleCrop>
  <LinksUpToDate>false</LinksUpToDate>
  <CharactersWithSpaces>1543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2022-06-14T06:48:00Z</dcterms:created>
  <dc:creator>Administrator</dc:creator>
  <cp:lastModifiedBy>Administrator</cp:lastModifiedBy>
  <dcterms:modified xsi:type="dcterms:W3CDTF">2022-06-21T01:37:18Z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FCBFB65D12954962BCC7FD7CC46605A5</vt:lpwstr>
  </property>
</Properties>
</file>