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44"/>
        </w:rPr>
      </w:pPr>
    </w:p>
    <w:p>
      <w:pPr>
        <w:jc w:val="center"/>
        <w:rPr>
          <w:rFonts w:hint="eastAsia" w:ascii="华文宋体" w:hAnsi="华文宋体" w:eastAsia="华文宋体" w:cs="华文宋体"/>
          <w:sz w:val="44"/>
          <w:szCs w:val="44"/>
        </w:rPr>
      </w:pPr>
      <w:r>
        <w:rPr>
          <w:rFonts w:hint="eastAsia" w:ascii="华文宋体" w:hAnsi="华文宋体" w:eastAsia="华文宋体" w:cs="华文宋体"/>
          <w:sz w:val="44"/>
          <w:szCs w:val="44"/>
        </w:rPr>
        <w:t>部门整体支出绩效报告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（一）部门基本情况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邵阳县应急管理局</w:t>
      </w:r>
      <w:r>
        <w:rPr>
          <w:rFonts w:hint="eastAsia" w:eastAsia="仿宋_GB2312"/>
          <w:sz w:val="32"/>
          <w:szCs w:val="32"/>
        </w:rPr>
        <w:t>为全额财政拨款的县级部门一级预算单位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2022年底在职人员103名，</w:t>
      </w:r>
      <w:r>
        <w:rPr>
          <w:rFonts w:hint="eastAsia" w:ascii="仿宋" w:hAnsi="仿宋" w:eastAsia="仿宋" w:cs="仿宋"/>
          <w:sz w:val="32"/>
          <w:szCs w:val="32"/>
        </w:rPr>
        <w:t>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14个（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、应急指挥中心、政工股、风险监测和综合减灾股、救援协调和预案管理股、火灾防治管理股、防汛抗旱股、工贸行业安全监督管理股（露天矿山安全监督管理股）、矿山安全监督管理股（地震和地质灾害救援股）、危险化学品安全监督管理股（烟花爆竹安全监督管理股）、安全生产综合协调股（调查评估和统计股）、救灾和物资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、政策法规股、规划财务股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局属二级事业单位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3个（</w:t>
      </w:r>
      <w:r>
        <w:rPr>
          <w:rFonts w:hint="eastAsia" w:ascii="仿宋" w:hAnsi="仿宋" w:eastAsia="仿宋" w:cs="仿宋"/>
          <w:sz w:val="32"/>
          <w:szCs w:val="32"/>
        </w:rPr>
        <w:t>安全生产执法大队、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应急救援事务中心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、地震办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。主要职责是负责应急管理工作，指导全县各乡镇各部门应对安全生产类、自然灾害类等突发事件和综合防灾减灾救灾工作，负责安全生产综合监督管理和工矿商贸行业(含煤矿)安全生产监督管理工作。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（二）部门整体支出规模、使用方向和主要内容、涉及范围等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2022年基本支出2612.46万元，主要用于工资福利支出及单位运转支出。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二、部门整体支出管理及使用情况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（一）预算执行情况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2022年收入1588.53万元，其中一般公共预算拨款收入1588.53万元；经费支出2612.46万元，其中基本支出2612.46万元，项目支出0万元。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（二）基本支出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2022年度基本支出2612.46万元，主要包括人员经费和日常公用经费。其中：工资福利支出1587.36万元；商品和服务支出964.24万元；对个人和家庭的补助57.5万元；资本性支出3.36万元。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通过财政实行国库集中支付，资金的使用严格按照财务审批制度和审批程序层层把关。“三公经费”中，公务用车购置及运行维护费0万元；公务接待费1.35万元，出国境费为0万元。公务接待严格控制接待标准和陪餐人数，全局按照厉行节约的管理思路，严格控制“三公经费”的支出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专项支出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三、部门专项组织实施情况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四、资产管理情况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建立了资产管理长效机制，固定资产采购必须按制度执行，政府集中采购目录及限额以上的采购项目严格按照采购程序报批。办公设备、固定资产日常管理按照“谁使用、谁负责”的原则，各股室（大队、中心）对其使用的资产负责。年底对固定资产进行一次全面清查，核准数量，及时作好固定资产价值的增减处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五、绩效评价工作情况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根据《邵阳县财政局关于开展202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年度部门整体支出绩效自评和专项项目资金绩效评价工作的通知》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邵财绩〔20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预算执行、预算管理、资产管理、绩效管理、职责履行、履职效益等方面进行了自评，20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年度整体支出绩效评为“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六、综合评价情况及评价结论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在县委、县政府的正确领导下，我局紧紧围绕年度目标任务，以高度的政治责任感和极端负责的态度，全力推进安全生产工作，持之以恒抓牢抓紧安全生产工作，全县安全生产形势持续稳定向好，未发生较大以上生产安全事故。</w:t>
      </w:r>
      <w:r>
        <w:rPr>
          <w:rFonts w:hint="eastAsia" w:ascii="仿宋" w:hAnsi="仿宋" w:eastAsia="仿宋" w:cs="仿宋"/>
          <w:sz w:val="32"/>
          <w:szCs w:val="32"/>
        </w:rPr>
        <w:t>根据《部门整体支出绩效评价指标评分表》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，我局自评分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七、部门整体支出主要</w:t>
      </w:r>
      <w:r>
        <w:rPr>
          <w:rFonts w:eastAsia="黑体"/>
          <w:sz w:val="32"/>
          <w:szCs w:val="32"/>
        </w:rPr>
        <w:t>绩效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2022年，我局从源头管控、机制创新、长效监管等方面入手，强化监管执法，着力整改隐患，狠抓打非治违，有力地促进了全县安全生产形势持续稳定。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left"/>
        <w:textAlignment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1.责任网络不断织密。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扛牢领导责任。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整县安委会组成人员，由县委书记、县长共同担任县安委会主任。对照国15条硬措施，出台我县贯彻落实具体措施105条，下发《邵阳县关于调整安委会成员单位的通知》，明确12个专委会组成单位，规范各专委会运行。组织召开了7次县委常委会议、10次县政府常务会议、7县安委会全体（扩大）会议、13次县防指成员单位会商会、18次县森指成员单位会商会，专题研究部署安全生产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压实行业监管职责。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发《邵阳县安全生产工作职责规定》，特别是对涉及多部门事项进行明确，厘清各单位责任边界。制定《乡镇场安全生产月度考核细则》《各专委会安全生产季度考评细则》，对乡镇场和县直单位进行量化考核，县安委办每月进行暗访督导，对发现的问题责令限期整改，针对行业突出共性问题，及时移交相关县直职能部门，督促开展专项整治行动，全年开展安全生产暗访10次，发现问题562条，向乡镇和县直单位发放交办函87个，督促开展燃气整治、摩托车拆伞戴帽等专项行动5个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落实企业主体责任。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严格准入条件，加大生产前班组会议检查，健全安全生产领域失信联合惩戒和 “黑名单”管理办法，完善安全生产举报机制，增强企业抓安全生产主体意识。2022年组织企业安全教育培训82场，开展联合执法100余次，发放举报奖金2.9万元，警示曝光严重隐患和问题突出企业13家。织密全县安全生产“横向到边、纵向到底”的安全生产责任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2.专项行动卓有成效。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实行一周一调度，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圆满完成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安全生产专项整治“三年行动”、“四大”专项行动、安全生产大检查、“打非治违”等专项行动，组织联合执法、集中执法，严厉打击各类非法违法行为，细致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排查整治安全隐患。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发放“四大”行动专项通报19期，开展“敲门行动”4轮次，实行安全大检查30余次，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组织各单位、企业代表400余人参与“安全生产月”活动启动仪式，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发放宣传手册5000份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“新安法知识竞赛”积分排名全市第一。下发各行业领域重大隐患认定标准，分级分类建立安全隐患台账，全年共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排查隐患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2253处，完成整改2179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3.执法水平大幅提升。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安全生产执法情况纳入日常考核重要内容，大力开展乡镇场简易执法，规范信息录入。建立乡镇安全执法指导联系制度，每月派出联合专家组到乡镇指导，邀请市县专家开展执法业务培训3次。完善县乡执法队伍建设，全面落实应急管理队伍着装要求，统一配备执法服装。推进常态化案卷审查，组织县司法局、县检察院、县应急管理局等单位建立定期案卷审查制度，随机抽查，提高案卷规范化水平。加强部门沟通协调，“行刑衔接”取到重大突破，办理相关案件4起。深入推进“强执法防事故”，聚焦重点行业领域执法监督。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检查经营企业324家次，责令停业整顿18家，立案169起，行政拘留51人，刑事拘留4人，行政处罚111.5万元，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执法威慑力进一步增强，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第二季度安全生产执法工作全市第一。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4.防范能力稳步增强。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应急管理领域改革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持续深入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“大安全、大应急、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大减灾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”理念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进一步巩固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如期完成县应急管理综合执法局改革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，优化调整职能，密切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协同配合，实现由“物理相加”到“化学融合”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基层队伍快速发展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格落实安全生产</w:t>
      </w:r>
      <w:r>
        <w:rPr>
          <w:rFonts w:hint="eastAsia" w:ascii="仿宋_GB2312" w:hAnsi="仿宋" w:eastAsia="仿宋_GB2312"/>
          <w:sz w:val="32"/>
          <w:szCs w:val="32"/>
        </w:rPr>
        <w:t>应急管理“3533”工作机制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明确县直单位由排第一的副职分管安全生产工作，村（社区）支部书记兼任村（社区）安全生产监管员。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救援力量不断壮大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推动专业救援队伍和社会救援力量共同发展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培育行业救援队伍1个、社会救援力量2支，每个村都配备了扑火小队。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基础建设逐渐完善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新建防火林道13.4公里，维修防火林道41公里，修建防火水池5个，建设生物防火林带15公里；</w:t>
      </w:r>
      <w:r>
        <w:rPr>
          <w:rFonts w:hint="eastAsia" w:ascii="仿宋_GB2312" w:eastAsia="仿宋_GB2312"/>
          <w:sz w:val="32"/>
          <w:szCs w:val="32"/>
        </w:rPr>
        <w:t>采取县乡分级储备、实物储备和协议储备的模式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储备各类防汛防火减灾物资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“10.15”疫情防控期间提供帐篷53顶、折叠床139个、冬棉被872床、防寒大衣66件、应急电筒110只、桌椅42套。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八、存在的问题</w:t>
      </w:r>
      <w:r>
        <w:rPr>
          <w:rFonts w:hint="eastAsia" w:ascii="黑体" w:eastAsia="黑体"/>
          <w:sz w:val="32"/>
          <w:szCs w:val="32"/>
          <w:lang w:val="en-US" w:eastAsia="zh-CN"/>
        </w:rPr>
        <w:t>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因乡村振兴、文明创建等中心工作没有资金预算，都要用办公经费来弥补，所以存在单位经费不足、串用指标的问题。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下一步</w:t>
      </w:r>
      <w:r>
        <w:rPr>
          <w:rFonts w:hint="eastAsia" w:eastAsia="黑体"/>
          <w:sz w:val="32"/>
          <w:szCs w:val="32"/>
        </w:rPr>
        <w:t>改进措施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一是进一步规范资金管理，完善财务制度，严格控制各项费用；二是加强培训，提高财务人员的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业务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工作水平。</w:t>
      </w:r>
    </w:p>
    <w:p>
      <w:pPr>
        <w:pStyle w:val="11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1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11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TM4Y2JiNjUzNjYzOTRlYTk1YTM3YWZiOTk0OTcifQ=="/>
  </w:docVars>
  <w:rsids>
    <w:rsidRoot w:val="6F837893"/>
    <w:rsid w:val="01721FCC"/>
    <w:rsid w:val="045E7520"/>
    <w:rsid w:val="05314DDB"/>
    <w:rsid w:val="0650274C"/>
    <w:rsid w:val="08F64AB4"/>
    <w:rsid w:val="1D1A0106"/>
    <w:rsid w:val="21AB604B"/>
    <w:rsid w:val="224E4755"/>
    <w:rsid w:val="2C1C060D"/>
    <w:rsid w:val="314C1D11"/>
    <w:rsid w:val="356D6883"/>
    <w:rsid w:val="3D895AC3"/>
    <w:rsid w:val="405B0841"/>
    <w:rsid w:val="43456CA3"/>
    <w:rsid w:val="4CDC380F"/>
    <w:rsid w:val="4E80452C"/>
    <w:rsid w:val="62394721"/>
    <w:rsid w:val="642A10C5"/>
    <w:rsid w:val="686B3B71"/>
    <w:rsid w:val="6D287EE6"/>
    <w:rsid w:val="6F215AA4"/>
    <w:rsid w:val="6F837893"/>
    <w:rsid w:val="77021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6711</Words>
  <Characters>7151</Characters>
  <Lines>0</Lines>
  <Paragraphs>0</Paragraphs>
  <TotalTime>90</TotalTime>
  <ScaleCrop>false</ScaleCrop>
  <LinksUpToDate>false</LinksUpToDate>
  <CharactersWithSpaces>7543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2022-02-17T02:28:00Z</dcterms:created>
  <dc:creator>谭州 192.168.200.33</dc:creator>
  <cp:lastModifiedBy>吕绍鑫</cp:lastModifiedBy>
  <cp:lastPrinted>2023-11-13T08:59:00Z</cp:lastPrinted>
  <dcterms:modified xsi:type="dcterms:W3CDTF">2023-11-23T03:29:43Z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857CEA81BA3F4BCF9E0E24C21B3716D8</vt:lpwstr>
  </property>
</Properties>
</file>