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eastAsia"/>
        </w:rPr>
      </w:pPr>
      <w:r>
        <w:rPr>
          <w:rFonts w:hint="eastAsia"/>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22</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邵阳县白仓镇人民政府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2023</w:t>
      </w:r>
      <w:r>
        <w:rPr>
          <w:rFonts w:hint="eastAsia" w:ascii="楷体" w:hAnsi="楷体" w:eastAsia="楷体" w:cs="楷体"/>
          <w:sz w:val="36"/>
        </w:rPr>
        <w:t>年</w:t>
      </w:r>
      <w:r>
        <w:rPr>
          <w:rFonts w:hint="eastAsia" w:ascii="楷体" w:hAnsi="楷体" w:eastAsia="楷体" w:cs="楷体"/>
          <w:sz w:val="36"/>
          <w:lang w:val="en-US" w:eastAsia="zh-CN"/>
        </w:rPr>
        <w:t>2</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keepNext w:val="0"/>
        <w:keepLines w:val="0"/>
        <w:widowControl/>
        <w:suppressLineNumbers w:val="0"/>
        <w:shd w:val="clear" w:fill="FFFFFF"/>
        <w:snapToGrid w:val="0"/>
        <w:spacing w:before="0" w:beforeAutospacing="1" w:after="0" w:afterAutospacing="1" w:line="360" w:lineRule="auto"/>
        <w:ind w:left="0" w:right="0" w:firstLine="643"/>
        <w:jc w:val="left"/>
      </w:pPr>
      <w:r>
        <w:rPr>
          <w:rFonts w:hint="eastAsia" w:ascii="宋体" w:hAnsi="仿宋" w:eastAsia="宋体" w:cs="宋体"/>
          <w:b/>
          <w:bCs/>
          <w:color w:val="000000"/>
          <w:kern w:val="0"/>
          <w:sz w:val="28"/>
          <w:szCs w:val="28"/>
          <w:shd w:val="clear" w:fill="FFFFFF"/>
          <w:lang w:val="en-US" w:eastAsia="zh-CN" w:bidi="ar"/>
        </w:rPr>
        <w:t>（一）主要职责</w:t>
      </w:r>
    </w:p>
    <w:p>
      <w:pPr>
        <w:keepNext w:val="0"/>
        <w:keepLines w:val="0"/>
        <w:widowControl/>
        <w:suppressLineNumbers w:val="0"/>
        <w:shd w:val="clear" w:fill="FFFFFF"/>
        <w:spacing w:before="0" w:beforeAutospacing="1" w:after="0" w:afterAutospacing="1" w:line="360" w:lineRule="auto"/>
        <w:ind w:left="0" w:right="0" w:firstLine="800"/>
        <w:jc w:val="left"/>
      </w:pPr>
      <w:r>
        <w:rPr>
          <w:rFonts w:hint="eastAsia" w:ascii="宋体" w:hAnsi="宋体" w:eastAsia="宋体" w:cs="宋体"/>
          <w:color w:val="000000"/>
          <w:kern w:val="0"/>
          <w:sz w:val="28"/>
          <w:szCs w:val="28"/>
          <w:shd w:val="clear" w:fill="FFFFFF"/>
          <w:lang w:val="en-US" w:eastAsia="zh-CN" w:bidi="ar"/>
        </w:rPr>
        <w:t>根据《宪法》和《预算法》规定，邵阳县白仓镇人民政府依法履行下列职能职责：</w:t>
      </w:r>
    </w:p>
    <w:p>
      <w:pPr>
        <w:keepNext w:val="0"/>
        <w:keepLines w:val="0"/>
        <w:widowControl/>
        <w:suppressLineNumbers w:val="0"/>
        <w:shd w:val="clear" w:fill="FFFFFF"/>
        <w:spacing w:before="0" w:beforeAutospacing="1" w:after="0" w:afterAutospacing="1" w:line="360" w:lineRule="auto"/>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（1）执行上级国家行政机关的决定，命令和国家制定的法令，法规，接受同级党委的领导，执行本级人民代表大会的各项决议，并报告执行决议、决定和命令。</w:t>
      </w:r>
    </w:p>
    <w:p>
      <w:pPr>
        <w:keepNext w:val="0"/>
        <w:keepLines w:val="0"/>
        <w:widowControl/>
        <w:suppressLineNumbers w:val="0"/>
        <w:shd w:val="clear" w:fill="FFFFFF"/>
        <w:spacing w:before="0" w:beforeAutospacing="1" w:after="0" w:afterAutospacing="1" w:line="405" w:lineRule="atLeast"/>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（2）制定并落实本行政区域的经济计划和措施，促进产业结构调整及其他经济保持平衡发展，全面提高人民群众的生活水平和生活质量。</w:t>
      </w:r>
    </w:p>
    <w:p>
      <w:pPr>
        <w:keepNext w:val="0"/>
        <w:keepLines w:val="0"/>
        <w:widowControl/>
        <w:suppressLineNumbers w:val="0"/>
        <w:shd w:val="clear" w:fill="FFFFFF"/>
        <w:spacing w:before="0" w:beforeAutospacing="1" w:after="0" w:afterAutospacing="1" w:line="360" w:lineRule="auto"/>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 xml:space="preserve">（3）加强镇级财政的监督和管理，按计划组织，管理镇财政收入和支出，执行国家有关财经纪律和政策，保证国家财政收入的完成；做好统计工作  </w:t>
      </w:r>
    </w:p>
    <w:p>
      <w:pPr>
        <w:keepNext w:val="0"/>
        <w:keepLines w:val="0"/>
        <w:widowControl/>
        <w:suppressLineNumbers w:val="0"/>
        <w:shd w:val="clear" w:fill="FFFFFF"/>
        <w:spacing w:before="0" w:beforeAutospacing="1" w:after="0" w:afterAutospacing="1" w:line="405" w:lineRule="atLeast"/>
        <w:ind w:left="0" w:right="0" w:firstLine="800"/>
        <w:jc w:val="left"/>
        <w:rPr>
          <w:rFonts w:eastAsia="宋体"/>
          <w:sz w:val="28"/>
        </w:rPr>
      </w:pPr>
      <w:r>
        <w:rPr>
          <w:rFonts w:hint="eastAsia" w:ascii="宋体" w:hAnsi="宋体" w:eastAsia="宋体" w:cs="宋体"/>
          <w:color w:val="000000"/>
          <w:kern w:val="0"/>
          <w:sz w:val="28"/>
          <w:szCs w:val="28"/>
          <w:shd w:val="clear" w:fill="FFFFFF"/>
          <w:lang w:val="en-US" w:eastAsia="zh-CN" w:bidi="ar"/>
        </w:rPr>
        <w:t>（4）协助和支持设置在本行政区域内不隶属于镇的国家机关和企事业单位工作，监督其遵守和执行国家的法律、法规和政策。</w:t>
      </w:r>
    </w:p>
    <w:p>
      <w:pPr>
        <w:keepNext w:val="0"/>
        <w:keepLines w:val="0"/>
        <w:widowControl/>
        <w:suppressLineNumbers w:val="0"/>
        <w:shd w:val="clear" w:fill="FFFFFF"/>
        <w:spacing w:before="0" w:beforeAutospacing="1" w:after="0" w:afterAutospacing="1" w:line="360" w:lineRule="auto"/>
        <w:ind w:left="0" w:right="0" w:firstLine="800"/>
        <w:jc w:val="left"/>
        <w:rPr>
          <w:rFonts w:hint="eastAsia" w:eastAsia="宋体"/>
          <w:sz w:val="28"/>
          <w:szCs w:val="32"/>
        </w:rPr>
      </w:pPr>
      <w:r>
        <w:rPr>
          <w:rFonts w:hint="eastAsia" w:ascii="宋体" w:hAnsi="宋体" w:eastAsia="宋体" w:cs="宋体"/>
          <w:color w:val="000000"/>
          <w:kern w:val="0"/>
          <w:sz w:val="28"/>
          <w:szCs w:val="28"/>
          <w:shd w:val="clear" w:fill="FFFFFF"/>
          <w:lang w:val="en-US" w:eastAsia="zh-CN" w:bidi="ar"/>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60" w:firstLineChars="200"/>
        <w:jc w:val="left"/>
      </w:pPr>
      <w:r>
        <w:rPr>
          <w:rFonts w:hint="eastAsia" w:ascii="宋体" w:hAnsi="宋体" w:eastAsia="宋体" w:cs="宋体"/>
          <w:b w:val="0"/>
          <w:i w:val="0"/>
          <w:caps w:val="0"/>
          <w:color w:val="000000"/>
          <w:spacing w:val="0"/>
          <w:kern w:val="0"/>
          <w:sz w:val="28"/>
          <w:szCs w:val="28"/>
          <w:shd w:val="clear" w:fill="FFFFFF"/>
        </w:rPr>
        <w:t>1)、扶贫工作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(2)、党建工作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(3)、安全生产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(4)、城乡环境卫生同治</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(5)、社会治安综合治理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rPr>
          <w:rFonts w:hint="eastAsia" w:ascii="宋体" w:hAnsi="宋体" w:eastAsia="宋体" w:cs="宋体"/>
          <w:b w:val="0"/>
          <w:i w:val="0"/>
          <w:caps w:val="0"/>
          <w:color w:val="000000"/>
          <w:spacing w:val="0"/>
          <w:kern w:val="0"/>
          <w:sz w:val="28"/>
          <w:szCs w:val="28"/>
          <w:shd w:val="clear" w:fill="FFFFFF"/>
        </w:rPr>
      </w:pPr>
      <w:r>
        <w:rPr>
          <w:rFonts w:hint="eastAsia" w:ascii="宋体" w:hAnsi="宋体" w:eastAsia="宋体" w:cs="宋体"/>
          <w:b w:val="0"/>
          <w:i w:val="0"/>
          <w:caps w:val="0"/>
          <w:color w:val="000000"/>
          <w:spacing w:val="0"/>
          <w:kern w:val="0"/>
          <w:sz w:val="28"/>
          <w:szCs w:val="28"/>
          <w:shd w:val="clear" w:fill="FFFFFF"/>
        </w:rPr>
        <w:t>(6)、油茶生产</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left"/>
      </w:pPr>
      <w:r>
        <w:rPr>
          <w:rFonts w:hint="eastAsia" w:ascii="宋体" w:hAnsi="宋体" w:eastAsia="宋体" w:cs="宋体"/>
          <w:b w:val="0"/>
          <w:i w:val="0"/>
          <w:caps w:val="0"/>
          <w:color w:val="000000"/>
          <w:spacing w:val="0"/>
          <w:kern w:val="0"/>
          <w:sz w:val="28"/>
          <w:szCs w:val="28"/>
          <w:shd w:val="clear" w:fill="FFFFFF"/>
        </w:rPr>
        <w:t>(7)、烤烟生产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right="0" w:firstLine="560" w:firstLineChars="200"/>
        <w:jc w:val="left"/>
        <w:rPr>
          <w:rFonts w:hint="eastAsia" w:eastAsia="仿宋_GB2312"/>
          <w:sz w:val="32"/>
          <w:szCs w:val="32"/>
        </w:rPr>
      </w:pPr>
      <w:r>
        <w:rPr>
          <w:rFonts w:hint="eastAsia" w:ascii="宋体" w:hAnsi="宋体" w:eastAsia="宋体" w:cs="宋体"/>
          <w:b w:val="0"/>
          <w:i w:val="0"/>
          <w:caps w:val="0"/>
          <w:color w:val="000000"/>
          <w:spacing w:val="0"/>
          <w:kern w:val="0"/>
          <w:sz w:val="28"/>
          <w:szCs w:val="28"/>
          <w:shd w:val="clear" w:fill="FFFFFF"/>
          <w:lang w:val="en-US" w:eastAsia="zh-CN" w:bidi="ar"/>
        </w:rPr>
        <w:t>(8)、其他中心工作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560" w:firstLineChars="200"/>
        <w:rPr>
          <w:rFonts w:hint="eastAsia" w:eastAsia="宋体"/>
          <w:b w:val="0"/>
          <w:sz w:val="28"/>
          <w:szCs w:val="32"/>
        </w:rPr>
      </w:pPr>
      <w:r>
        <w:rPr>
          <w:rFonts w:hint="eastAsia" w:eastAsia="宋体"/>
          <w:b w:val="0"/>
          <w:sz w:val="28"/>
          <w:szCs w:val="32"/>
          <w:lang w:val="en-US" w:eastAsia="zh-CN"/>
        </w:rPr>
        <w:t>内设机构设置。白仓镇人民政府单位内设机构包括“六办三中心一大队一站”:即白仓镇党政综合办公室、基层党建办公室、经济发展办公室、社会事务办公室、社会治安和应急管理办公室、自然资源和生态环境办公室、政务（便民）服务中心、社会事务综合服务中心、农业综合服务中心、综合行政执法大队、退役军人事务站。</w:t>
      </w:r>
    </w:p>
    <w:p>
      <w:pPr>
        <w:keepNext w:val="0"/>
        <w:keepLines w:val="0"/>
        <w:widowControl/>
        <w:suppressLineNumbers w:val="0"/>
        <w:shd w:val="clear" w:fill="FFFFFF"/>
        <w:spacing w:before="0" w:beforeAutospacing="1" w:after="0" w:afterAutospacing="1" w:line="600" w:lineRule="atLeast"/>
        <w:ind w:left="0" w:right="0" w:firstLine="600"/>
        <w:jc w:val="left"/>
        <w:rPr>
          <w:rFonts w:hint="eastAsia" w:ascii="仿宋_GB2312" w:hAnsi="仿宋" w:eastAsia="宋体" w:cs="宋体"/>
          <w:b w:val="0"/>
          <w:color w:val="000000"/>
          <w:kern w:val="0"/>
          <w:sz w:val="28"/>
          <w:szCs w:val="28"/>
          <w:shd w:val="clear" w:fill="FFFFFF"/>
          <w:lang w:val="en-US" w:eastAsia="zh-CN" w:bidi="ar"/>
        </w:rPr>
      </w:pPr>
      <w:r>
        <w:rPr>
          <w:rFonts w:hint="eastAsia" w:ascii="仿宋_GB2312" w:hAnsi="仿宋" w:eastAsia="宋体" w:cs="宋体"/>
          <w:b w:val="0"/>
          <w:color w:val="000000"/>
          <w:kern w:val="0"/>
          <w:sz w:val="28"/>
          <w:szCs w:val="28"/>
          <w:shd w:val="clear" w:fill="FFFFFF"/>
          <w:lang w:val="en-US" w:eastAsia="zh-CN" w:bidi="ar"/>
        </w:rPr>
        <w:t>部门在职实有人数</w:t>
      </w:r>
      <w:r>
        <w:rPr>
          <w:rFonts w:hint="eastAsia" w:ascii="仿宋_GB2312" w:hAnsi="仿宋" w:cs="宋体"/>
          <w:b w:val="0"/>
          <w:color w:val="000000"/>
          <w:kern w:val="0"/>
          <w:sz w:val="28"/>
          <w:szCs w:val="28"/>
          <w:shd w:val="clear" w:fill="FFFFFF"/>
          <w:lang w:val="en-US" w:eastAsia="zh-CN" w:bidi="ar"/>
        </w:rPr>
        <w:t>166</w:t>
      </w:r>
      <w:r>
        <w:rPr>
          <w:rFonts w:hint="eastAsia" w:ascii="仿宋_GB2312" w:hAnsi="仿宋" w:eastAsia="宋体" w:cs="宋体"/>
          <w:b w:val="0"/>
          <w:color w:val="000000"/>
          <w:kern w:val="0"/>
          <w:sz w:val="28"/>
          <w:szCs w:val="28"/>
          <w:shd w:val="clear" w:fill="FFFFFF"/>
          <w:lang w:val="en-US" w:eastAsia="zh-CN" w:bidi="ar"/>
        </w:rPr>
        <w:t>人，离退休人员48人，其中：财政差额及定额补助事业人员</w:t>
      </w:r>
      <w:r>
        <w:rPr>
          <w:rFonts w:hint="eastAsia" w:ascii="仿宋_GB2312" w:hAnsi="仿宋" w:cs="宋体"/>
          <w:b w:val="0"/>
          <w:color w:val="000000"/>
          <w:kern w:val="0"/>
          <w:sz w:val="28"/>
          <w:szCs w:val="28"/>
          <w:shd w:val="clear" w:fill="FFFFFF"/>
          <w:lang w:val="en-US" w:eastAsia="zh-CN" w:bidi="ar"/>
        </w:rPr>
        <w:t>4</w:t>
      </w:r>
      <w:r>
        <w:rPr>
          <w:rFonts w:hint="eastAsia" w:ascii="仿宋_GB2312" w:hAnsi="仿宋" w:eastAsia="宋体" w:cs="宋体"/>
          <w:b w:val="0"/>
          <w:color w:val="000000"/>
          <w:kern w:val="0"/>
          <w:sz w:val="28"/>
          <w:szCs w:val="28"/>
          <w:shd w:val="clear" w:fill="FFFFFF"/>
          <w:lang w:val="en-US" w:eastAsia="zh-CN" w:bidi="ar"/>
        </w:rPr>
        <w:t>人；在编实有车辆1辆。</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eastAsia="楷体_GB2312"/>
          <w:lang w:val="en-US" w:eastAsia="zh-CN"/>
        </w:rPr>
      </w:pPr>
      <w:r>
        <w:rPr>
          <w:rFonts w:hint="eastAsia" w:ascii="楷体_GB2312" w:eastAsia="楷体_GB2312"/>
          <w:b/>
          <w:sz w:val="32"/>
          <w:szCs w:val="32"/>
        </w:rPr>
        <w:t>（一）预算执行情</w:t>
      </w:r>
      <w:r>
        <w:rPr>
          <w:rFonts w:hint="eastAsia" w:ascii="楷体_GB2312" w:eastAsia="楷体_GB2312"/>
          <w:b/>
          <w:sz w:val="32"/>
          <w:szCs w:val="32"/>
          <w:lang w:eastAsia="zh-CN"/>
        </w:rPr>
        <w:t>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宋体" w:hAnsi="宋体" w:eastAsia="宋体" w:cs="宋体"/>
          <w:i w:val="0"/>
          <w:caps w:val="0"/>
          <w:color w:val="000000"/>
          <w:spacing w:val="0"/>
          <w:sz w:val="32"/>
          <w:szCs w:val="32"/>
        </w:rPr>
        <w:t>2,235.38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其中：工资福利支出1487.24万元,商品和福利支出621.96万元,对个人和家庭补助支出126.18万元。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2022年决算总支出3,796.41万元，其中工资福利支出1,610.17万元、商品和服务支出2,021.14万元、对个人和家庭的补助32.81万元，其他资本性支出132.29万元。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宋体" w:hAnsi="宋体" w:eastAsia="宋体" w:cs="宋体"/>
          <w:i w:val="0"/>
          <w:caps w:val="0"/>
          <w:color w:val="000000"/>
          <w:spacing w:val="0"/>
          <w:sz w:val="32"/>
          <w:szCs w:val="32"/>
        </w:rPr>
        <w:t>2,235.38</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其中：工资福利支出1487.24万元,商品和福利支出621.96万元,对个人和家庭补助支出126.18万元。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2022年决算总支出3,796.41万元，其中工资福利支出1,610.17万元、商品和服务支出2,021.14万元、对个人和家庭的补助32.81万元，其他资本性支出132.29万元。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2022年“三公”经费预算数为6万元，</w:t>
      </w:r>
      <w:r>
        <w:rPr>
          <w:rFonts w:ascii="宋体" w:hAnsi="宋体" w:eastAsia="宋体" w:cs="宋体"/>
          <w:i w:val="0"/>
          <w:caps w:val="0"/>
          <w:color w:val="000000"/>
          <w:spacing w:val="0"/>
          <w:sz w:val="32"/>
          <w:szCs w:val="32"/>
        </w:rPr>
        <w:t>其中</w:t>
      </w:r>
      <w:r>
        <w:rPr>
          <w:rFonts w:hint="eastAsia" w:ascii="仿宋_GB2312" w:hAnsi="宋体" w:eastAsia="仿宋_GB2312" w:cs="Times New Roman"/>
          <w:sz w:val="32"/>
          <w:szCs w:val="32"/>
          <w:lang w:val="en-US" w:eastAsia="zh-CN"/>
        </w:rPr>
        <w:t>，公务接待费6万元，公务用车购置及运行费0万元，因公出国（境）费0万元。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全年决算支出“三公”经费</w:t>
      </w:r>
      <w:r>
        <w:rPr>
          <w:rFonts w:hint="eastAsia" w:ascii="宋体" w:hAnsi="宋体" w:eastAsia="宋体" w:cs="宋体"/>
          <w:i w:val="0"/>
          <w:caps w:val="0"/>
          <w:color w:val="000000"/>
          <w:spacing w:val="0"/>
          <w:sz w:val="32"/>
          <w:szCs w:val="32"/>
        </w:rPr>
        <w:t>5.</w:t>
      </w:r>
      <w:r>
        <w:rPr>
          <w:rFonts w:hint="eastAsia" w:ascii="宋体" w:hAnsi="宋体" w:cs="宋体"/>
          <w:i w:val="0"/>
          <w:caps w:val="0"/>
          <w:color w:val="000000"/>
          <w:spacing w:val="0"/>
          <w:sz w:val="32"/>
          <w:szCs w:val="32"/>
          <w:lang w:val="en-US" w:eastAsia="zh-CN"/>
        </w:rPr>
        <w:t>0</w:t>
      </w:r>
      <w:r>
        <w:rPr>
          <w:rFonts w:hint="eastAsia" w:ascii="宋体" w:hAnsi="宋体" w:eastAsia="宋体" w:cs="宋体"/>
          <w:i w:val="0"/>
          <w:caps w:val="0"/>
          <w:color w:val="000000"/>
          <w:spacing w:val="0"/>
          <w:sz w:val="32"/>
          <w:szCs w:val="32"/>
        </w:rPr>
        <w:t>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全部用于</w:t>
      </w:r>
      <w:r>
        <w:rPr>
          <w:rFonts w:hint="eastAsia" w:ascii="仿宋_GB2312" w:hAnsi="仿宋_GB2312" w:eastAsia="仿宋_GB2312" w:cs="仿宋_GB2312"/>
          <w:color w:val="auto"/>
          <w:sz w:val="32"/>
          <w:szCs w:val="32"/>
        </w:rPr>
        <w:t>公务接待。</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白仓镇人民政府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2022年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93.8</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p>
    <w:tbl>
      <w:tblPr>
        <w:tblStyle w:val="7"/>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166人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人员经费及公用经费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3796.41万元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
          <w:bCs/>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bookmarkStart w:id="1" w:name="_Toc390113230"/>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eastAsia="zh-CN"/>
        </w:rPr>
        <w:t>白仓镇财务管理制度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5"/>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邵阳县白仓镇人民政府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2023</w:t>
      </w:r>
      <w:bookmarkStart w:id="4" w:name="_GoBack"/>
      <w:bookmarkEnd w:id="4"/>
      <w:r>
        <w:rPr>
          <w:rFonts w:hint="eastAsia" w:ascii="仿宋_GB2312" w:hAnsi="仿宋_GB2312" w:eastAsia="仿宋_GB2312" w:cs="仿宋_GB2312"/>
          <w:kern w:val="2"/>
          <w:sz w:val="32"/>
          <w:szCs w:val="32"/>
          <w:lang w:val="en-US" w:eastAsia="zh-CN" w:bidi="ar-SA"/>
        </w:rPr>
        <w:t>年2月18日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4OGI3ZjFlOWNhOWY5Mzc2YTA4MWQ2NWFkMDAzZjIifQ=="/>
  </w:docVars>
  <w:rsids>
    <w:rsidRoot w:val="1A01282E"/>
    <w:rsid w:val="06A25465"/>
    <w:rsid w:val="0FF3013F"/>
    <w:rsid w:val="1A01282E"/>
    <w:rsid w:val="1DE34753"/>
    <w:rsid w:val="1E020FD5"/>
    <w:rsid w:val="1EB67CA3"/>
    <w:rsid w:val="3B43106E"/>
    <w:rsid w:val="442C6D37"/>
    <w:rsid w:val="53672257"/>
    <w:rsid w:val="55B84DBF"/>
    <w:rsid w:val="69FC6C42"/>
    <w:rsid w:val="7AC73B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9">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1981</Words>
  <Characters>2159</Characters>
  <Lines>0</Lines>
  <Paragraphs>0</Paragraphs>
  <TotalTime>3</TotalTime>
  <ScaleCrop>false</ScaleCrop>
  <LinksUpToDate>false</LinksUpToDate>
  <CharactersWithSpaces>2303</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2022-06-14T14:29:00Z</dcterms:created>
  <dc:creator>-mmmmmmy°</dc:creator>
  <cp:lastModifiedBy>Sveta</cp:lastModifiedBy>
  <dcterms:modified xsi:type="dcterms:W3CDTF">2023-11-14T10:00:45Z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2EEE96C1644241F1A93B46105997FDDF</vt:lpwstr>
  </property>
</Properties>
</file>