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F8BDE">
      <w:pPr>
        <w:rPr>
          <w:rFonts w:hint="eastAsia" w:ascii="黑体" w:hAnsi="宋体" w:eastAsia="黑体"/>
          <w:sz w:val="32"/>
          <w:szCs w:val="32"/>
          <w:lang w:val="en-US" w:eastAsia="zh-CN"/>
        </w:rPr>
      </w:pPr>
      <w:bookmarkStart w:id="0" w:name="_GoBack"/>
      <w:bookmarkEnd w:id="0"/>
      <w:r>
        <w:rPr>
          <w:rFonts w:hint="eastAsia" w:ascii="黑体" w:eastAsia="黑体"/>
          <w:sz w:val="32"/>
          <w:szCs w:val="32"/>
        </w:rPr>
        <w:t>附件</w:t>
      </w:r>
      <w:r>
        <w:rPr>
          <w:rFonts w:hint="eastAsia" w:ascii="黑体" w:eastAsia="黑体"/>
          <w:sz w:val="32"/>
          <w:szCs w:val="32"/>
          <w:lang w:val="en-US" w:eastAsia="zh-CN"/>
        </w:rPr>
        <w:t>1</w:t>
      </w:r>
    </w:p>
    <w:p w14:paraId="34AAB03E">
      <w:pPr>
        <w:rPr>
          <w:rFonts w:eastAsia="黑体"/>
          <w:sz w:val="44"/>
        </w:rPr>
      </w:pPr>
    </w:p>
    <w:p w14:paraId="051C9C88">
      <w:pPr>
        <w:rPr>
          <w:rFonts w:eastAsia="黑体"/>
          <w:sz w:val="44"/>
        </w:rPr>
      </w:pPr>
    </w:p>
    <w:p w14:paraId="06BA3E44">
      <w:pPr>
        <w:rPr>
          <w:rFonts w:eastAsia="黑体"/>
          <w:sz w:val="44"/>
        </w:rPr>
      </w:pPr>
    </w:p>
    <w:p w14:paraId="63CA0567">
      <w:pPr>
        <w:jc w:val="center"/>
        <w:rPr>
          <w:rFonts w:ascii="宋体" w:hAnsi="宋体"/>
          <w:sz w:val="44"/>
          <w:szCs w:val="44"/>
        </w:rPr>
      </w:pPr>
    </w:p>
    <w:p w14:paraId="1882007D">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23</w:t>
      </w:r>
      <w:r>
        <w:rPr>
          <w:rFonts w:hint="eastAsia" w:ascii="宋体" w:hAnsi="宋体"/>
          <w:sz w:val="44"/>
          <w:szCs w:val="44"/>
        </w:rPr>
        <w:t xml:space="preserve">年度部门整体支出绩效自评报告   </w:t>
      </w:r>
    </w:p>
    <w:p w14:paraId="59658264">
      <w:pPr>
        <w:jc w:val="center"/>
        <w:rPr>
          <w:rFonts w:ascii="宋体" w:hAnsi="宋体"/>
          <w:sz w:val="44"/>
          <w:szCs w:val="44"/>
        </w:rPr>
      </w:pPr>
      <w:r>
        <w:rPr>
          <w:rFonts w:hint="eastAsia" w:ascii="宋体" w:hAnsi="宋体"/>
          <w:sz w:val="44"/>
          <w:szCs w:val="44"/>
        </w:rPr>
        <w:t>（封面）</w:t>
      </w:r>
    </w:p>
    <w:p w14:paraId="37070B9E">
      <w:pPr>
        <w:jc w:val="center"/>
        <w:rPr>
          <w:rFonts w:ascii="宋体" w:hAnsi="宋体"/>
          <w:sz w:val="44"/>
          <w:szCs w:val="44"/>
        </w:rPr>
      </w:pPr>
    </w:p>
    <w:p w14:paraId="2029B2C9">
      <w:pPr>
        <w:spacing w:line="600" w:lineRule="exact"/>
        <w:rPr>
          <w:sz w:val="36"/>
        </w:rPr>
      </w:pPr>
    </w:p>
    <w:p w14:paraId="30DCEC9D">
      <w:pPr>
        <w:spacing w:line="600" w:lineRule="exact"/>
        <w:rPr>
          <w:sz w:val="36"/>
        </w:rPr>
      </w:pPr>
    </w:p>
    <w:p w14:paraId="051EC5F7">
      <w:pPr>
        <w:spacing w:line="600" w:lineRule="exact"/>
        <w:rPr>
          <w:sz w:val="36"/>
        </w:rPr>
      </w:pPr>
    </w:p>
    <w:p w14:paraId="005B3F67">
      <w:pPr>
        <w:spacing w:line="600" w:lineRule="exact"/>
        <w:rPr>
          <w:sz w:val="36"/>
        </w:rPr>
      </w:pPr>
    </w:p>
    <w:p w14:paraId="650DD1DD">
      <w:pPr>
        <w:spacing w:line="600" w:lineRule="exact"/>
        <w:rPr>
          <w:sz w:val="36"/>
        </w:rPr>
      </w:pPr>
    </w:p>
    <w:p w14:paraId="7DDBCFD7">
      <w:pPr>
        <w:spacing w:line="600" w:lineRule="exact"/>
        <w:rPr>
          <w:sz w:val="36"/>
        </w:rPr>
      </w:pPr>
    </w:p>
    <w:p w14:paraId="77054E23">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lang w:val="en-US" w:eastAsia="zh-CN"/>
        </w:rPr>
        <w:t>中共邵阳县委机构编制委员会办公室</w:t>
      </w:r>
      <w:r>
        <w:rPr>
          <w:rFonts w:hint="eastAsia"/>
          <w:bCs/>
          <w:sz w:val="32"/>
          <w:szCs w:val="32"/>
        </w:rPr>
        <w:t>（单位公章）</w:t>
      </w:r>
    </w:p>
    <w:p w14:paraId="56BED809">
      <w:pPr>
        <w:spacing w:line="600" w:lineRule="exact"/>
      </w:pPr>
    </w:p>
    <w:p w14:paraId="6849848C">
      <w:pPr>
        <w:spacing w:line="600" w:lineRule="exact"/>
      </w:pPr>
    </w:p>
    <w:p w14:paraId="7F0EC896">
      <w:pPr>
        <w:spacing w:line="600" w:lineRule="exact"/>
      </w:pPr>
    </w:p>
    <w:p w14:paraId="1C882C3D">
      <w:pPr>
        <w:spacing w:line="600" w:lineRule="exact"/>
      </w:pPr>
    </w:p>
    <w:p w14:paraId="7054F294">
      <w:pPr>
        <w:spacing w:line="600" w:lineRule="exact"/>
      </w:pPr>
    </w:p>
    <w:p w14:paraId="5FA3EE9D">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14:paraId="6709D697">
      <w:pPr>
        <w:spacing w:line="600" w:lineRule="exact"/>
        <w:rPr>
          <w:rFonts w:eastAsia="仿宋_GB2312"/>
          <w:sz w:val="28"/>
          <w:szCs w:val="28"/>
        </w:rPr>
      </w:pPr>
    </w:p>
    <w:p w14:paraId="1127318F">
      <w:pPr>
        <w:spacing w:line="600" w:lineRule="exact"/>
        <w:rPr>
          <w:rFonts w:eastAsia="仿宋_GB2312"/>
          <w:sz w:val="28"/>
          <w:szCs w:val="28"/>
        </w:rPr>
      </w:pPr>
    </w:p>
    <w:p w14:paraId="0EA28C77">
      <w:pPr>
        <w:spacing w:line="600" w:lineRule="exact"/>
        <w:rPr>
          <w:rFonts w:eastAsia="仿宋_GB2312"/>
          <w:sz w:val="28"/>
          <w:szCs w:val="28"/>
        </w:rPr>
      </w:pPr>
    </w:p>
    <w:p w14:paraId="598D98E4">
      <w:pPr>
        <w:adjustRightInd w:val="0"/>
        <w:spacing w:line="600" w:lineRule="exact"/>
        <w:ind w:right="641"/>
        <w:rPr>
          <w:rFonts w:ascii="黑体" w:eastAsia="黑体"/>
          <w:sz w:val="32"/>
          <w:szCs w:val="32"/>
        </w:rPr>
      </w:pPr>
      <w:r>
        <w:rPr>
          <w:rFonts w:hint="eastAsia" w:ascii="黑体" w:eastAsia="黑体"/>
          <w:sz w:val="32"/>
          <w:szCs w:val="32"/>
        </w:rPr>
        <w:t>附件2</w:t>
      </w:r>
    </w:p>
    <w:p w14:paraId="6319C895">
      <w:pPr>
        <w:spacing w:line="560" w:lineRule="exact"/>
        <w:jc w:val="center"/>
        <w:rPr>
          <w:rFonts w:hint="eastAsia" w:ascii="黑体" w:hAnsi="黑体" w:eastAsia="黑体" w:cs="黑体"/>
          <w:sz w:val="44"/>
          <w:szCs w:val="44"/>
        </w:rPr>
      </w:pPr>
      <w:r>
        <w:rPr>
          <w:rFonts w:hint="eastAsia" w:ascii="黑体" w:hAnsi="黑体" w:eastAsia="黑体" w:cs="黑体"/>
          <w:sz w:val="44"/>
          <w:szCs w:val="44"/>
          <w:lang w:val="en-US" w:eastAsia="zh-CN"/>
        </w:rPr>
        <w:t>2023年</w:t>
      </w:r>
      <w:r>
        <w:rPr>
          <w:rFonts w:hint="eastAsia" w:ascii="黑体" w:hAnsi="黑体" w:eastAsia="黑体" w:cs="黑体"/>
          <w:sz w:val="44"/>
          <w:szCs w:val="44"/>
        </w:rPr>
        <w:t>部门整体支出绩效评价报告</w:t>
      </w:r>
    </w:p>
    <w:p w14:paraId="6BD90369">
      <w:pPr>
        <w:spacing w:line="560" w:lineRule="exact"/>
        <w:jc w:val="center"/>
        <w:rPr>
          <w:rFonts w:eastAsia="方正小标宋_GBK"/>
          <w:sz w:val="32"/>
          <w:szCs w:val="32"/>
        </w:rPr>
      </w:pPr>
    </w:p>
    <w:p w14:paraId="3994BA29">
      <w:pPr>
        <w:pStyle w:val="8"/>
        <w:numPr>
          <w:ilvl w:val="0"/>
          <w:numId w:val="1"/>
        </w:numPr>
        <w:spacing w:line="560" w:lineRule="exact"/>
        <w:ind w:left="640" w:firstLine="0" w:firstLineChars="0"/>
        <w:rPr>
          <w:rFonts w:hint="eastAsia" w:eastAsia="黑体"/>
          <w:sz w:val="32"/>
          <w:szCs w:val="32"/>
        </w:rPr>
      </w:pPr>
      <w:r>
        <w:rPr>
          <w:rFonts w:hint="eastAsia" w:eastAsia="黑体"/>
          <w:sz w:val="32"/>
          <w:szCs w:val="32"/>
          <w:lang w:val="en-US" w:eastAsia="zh-CN"/>
        </w:rPr>
        <w:t>部门、</w:t>
      </w:r>
      <w:r>
        <w:rPr>
          <w:rFonts w:hint="eastAsia" w:eastAsia="黑体"/>
          <w:sz w:val="32"/>
          <w:szCs w:val="32"/>
        </w:rPr>
        <w:t>单位基本情况</w:t>
      </w:r>
    </w:p>
    <w:p w14:paraId="04A6F136">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1、人员编制及内设机构情况</w:t>
      </w:r>
    </w:p>
    <w:p w14:paraId="5458DE86">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eastAsia="zh-CN"/>
        </w:rPr>
      </w:pPr>
      <w:r>
        <w:rPr>
          <w:rFonts w:hint="eastAsia" w:ascii="仿宋" w:hAnsi="仿宋" w:eastAsia="仿宋" w:cs="仿宋"/>
          <w:kern w:val="2"/>
          <w:sz w:val="32"/>
          <w:szCs w:val="32"/>
          <w:lang w:val="en-US" w:eastAsia="zh-CN" w:bidi="ar"/>
        </w:rPr>
        <w:t>2023年底中共邵阳县机构编制委员会办公室在职人员14人，退休人员4人，下设1个二级机构（机构编制事务中心）。设置</w:t>
      </w:r>
      <w:r>
        <w:rPr>
          <w:rFonts w:hint="eastAsia" w:ascii="仿宋_GB2312" w:eastAsia="仿宋_GB2312"/>
          <w:sz w:val="32"/>
          <w:szCs w:val="32"/>
          <w:lang w:val="en-US" w:eastAsia="zh-CN"/>
        </w:rPr>
        <w:t>督查办公室</w:t>
      </w:r>
      <w:r>
        <w:rPr>
          <w:rFonts w:hint="eastAsia" w:ascii="仿宋_GB2312" w:eastAsia="仿宋_GB2312"/>
          <w:sz w:val="32"/>
          <w:szCs w:val="32"/>
        </w:rPr>
        <w:t>、</w:t>
      </w:r>
      <w:r>
        <w:rPr>
          <w:rFonts w:hint="eastAsia" w:ascii="仿宋_GB2312" w:eastAsia="仿宋_GB2312"/>
          <w:sz w:val="32"/>
          <w:szCs w:val="32"/>
          <w:lang w:val="en-US" w:eastAsia="zh-CN"/>
        </w:rPr>
        <w:t>机构编制组</w:t>
      </w:r>
      <w:r>
        <w:rPr>
          <w:rFonts w:hint="eastAsia" w:ascii="仿宋_GB2312" w:eastAsia="仿宋_GB2312"/>
          <w:sz w:val="32"/>
          <w:szCs w:val="32"/>
        </w:rPr>
        <w:t>、</w:t>
      </w:r>
      <w:r>
        <w:rPr>
          <w:rFonts w:hint="eastAsia" w:ascii="仿宋_GB2312" w:eastAsia="仿宋_GB2312"/>
          <w:sz w:val="32"/>
          <w:szCs w:val="32"/>
          <w:lang w:val="en-US" w:eastAsia="zh-CN"/>
        </w:rPr>
        <w:t>实名制组</w:t>
      </w:r>
      <w:r>
        <w:rPr>
          <w:rFonts w:hint="eastAsia" w:ascii="仿宋_GB2312" w:eastAsia="仿宋_GB2312"/>
          <w:sz w:val="32"/>
          <w:szCs w:val="32"/>
        </w:rPr>
        <w:t>、</w:t>
      </w:r>
      <w:r>
        <w:rPr>
          <w:rFonts w:hint="eastAsia" w:ascii="仿宋_GB2312" w:eastAsia="仿宋_GB2312"/>
          <w:sz w:val="32"/>
          <w:szCs w:val="32"/>
          <w:lang w:val="en-US" w:eastAsia="zh-CN"/>
        </w:rPr>
        <w:t>事业单位登记管理组</w:t>
      </w:r>
      <w:r>
        <w:rPr>
          <w:rFonts w:hint="eastAsia" w:ascii="仿宋_GB2312" w:eastAsia="仿宋_GB2312"/>
          <w:sz w:val="32"/>
          <w:szCs w:val="32"/>
          <w:lang w:eastAsia="zh-CN"/>
        </w:rPr>
        <w:t>。</w:t>
      </w:r>
    </w:p>
    <w:p w14:paraId="2EB151EA">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2、主要职能</w:t>
      </w:r>
    </w:p>
    <w:p w14:paraId="0BEBF9A4">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（1）承担贯彻执行中央和省市有关行政管理体制和机构改革以及机构编制管理的方针政策和法律法规；统一管理全县各类机关（党委、人大、政府、政协、监察、群团，下同）和事业单位的机构编制工作。</w:t>
      </w:r>
    </w:p>
    <w:p w14:paraId="13AC845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（2）拟订全县行政管理体制与机构改革总体方案并组织实施；审核县直党政机关各部门和乡镇党政机构改革方案；指导、协调全县各级行政管理体制和机构改革工作。</w:t>
      </w:r>
    </w:p>
    <w:p w14:paraId="668F501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（3）拟订全县事业单位管理体制与机构改革总体方案并组织实施；审核全县各类事业单位机构改革方案；指导、协调全县各类事业单位机构改革工作。</w:t>
      </w:r>
    </w:p>
    <w:p w14:paraId="1082A13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审核全县科级机构、乡镇党政机关股级机构的设置和调整以及乡镇党政机构限额；研究提出县直党政机关职责配置和调整的意见，协调各部门之间、县直与乡镇之间的事权划分和职责分工；审定全县各类机关的股级内设机构设置和调整。</w:t>
      </w:r>
    </w:p>
    <w:p w14:paraId="25110701">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审核县直各类机关、全县副科级及以上事业单位人员编制方案；审核县直股级事业单位人员编制方案；提出县直机关、科级事业单位领导职数配备和调整预案并按程序报批，审定县直和乡镇机关、事业单位股级领导职数；拟订全县各类机关行政编制、政法专项编制总额分配和调整方案。</w:t>
      </w:r>
    </w:p>
    <w:p w14:paraId="528FD5A3">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（6）拟定全县乡镇机构改革总体方案并指导实施；管理全县乡镇人员编制总量。</w:t>
      </w:r>
    </w:p>
    <w:p w14:paraId="54481B07">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负责全县各类机关、事业单位机构编制实名制、信息库管理及机构编制统计工作；负责审核、报批县直机关事业单位进人计划，负责按权限和程序审定或报批核编进人事项；审核全县公务员和参照公务员公开招考计划；参与公务员招考及事业单位招聘考务工作，负责各类机关（不含公务员）事业单位工资统发审核工作。</w:t>
      </w:r>
    </w:p>
    <w:p w14:paraId="7E49F7B1">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（8）贯彻执行国家、省市有关事业单位登记管理的法律、法规、规章、政策；依法对全县事业单位进行登记管理；指导、协调、监督全县事业单位登记管理工作。</w:t>
      </w:r>
    </w:p>
    <w:p w14:paraId="2435A320">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（9）监督检查全县各类机关、事业单位机构编制及机构改革方案的执行情况，会同有关部门查处机构编制违规违纪行为。</w:t>
      </w:r>
    </w:p>
    <w:p w14:paraId="6E47D997">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（10）负责全县各类机关、事业单位、驻邵中央、省直属行政事业单位和县直国有企业的公务用车定编和核编工作。</w:t>
      </w:r>
    </w:p>
    <w:p w14:paraId="2BAEE9FD">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（11）完成县委和县政府交办的其他任务。</w:t>
      </w:r>
    </w:p>
    <w:p w14:paraId="4F1F926D">
      <w:pPr>
        <w:pStyle w:val="8"/>
        <w:spacing w:line="560" w:lineRule="exact"/>
        <w:ind w:left="640" w:firstLine="0" w:firstLineChars="0"/>
        <w:rPr>
          <w:rFonts w:eastAsia="黑体"/>
          <w:sz w:val="32"/>
          <w:szCs w:val="32"/>
        </w:rPr>
      </w:pPr>
      <w:r>
        <w:rPr>
          <w:rFonts w:hint="eastAsia" w:eastAsia="黑体"/>
          <w:sz w:val="32"/>
          <w:szCs w:val="32"/>
        </w:rPr>
        <w:t>二、一般公共预算支出情况</w:t>
      </w:r>
    </w:p>
    <w:p w14:paraId="35CE97B1">
      <w:pPr>
        <w:pStyle w:val="8"/>
        <w:spacing w:line="560" w:lineRule="exact"/>
        <w:ind w:left="640" w:firstLine="0" w:firstLineChars="0"/>
        <w:rPr>
          <w:rFonts w:hint="eastAsia" w:eastAsia="黑体"/>
          <w:sz w:val="32"/>
          <w:szCs w:val="32"/>
        </w:rPr>
      </w:pPr>
      <w:r>
        <w:rPr>
          <w:rFonts w:hint="eastAsia" w:eastAsia="黑体"/>
          <w:sz w:val="32"/>
          <w:szCs w:val="32"/>
        </w:rPr>
        <w:t>（一）基本支出情况</w:t>
      </w:r>
    </w:p>
    <w:p w14:paraId="49BEA630">
      <w:pPr>
        <w:adjustRightInd w:val="0"/>
        <w:snapToGrid w:val="0"/>
        <w:spacing w:line="600" w:lineRule="exact"/>
        <w:ind w:firstLine="640" w:firstLineChars="200"/>
        <w:rPr>
          <w:rFonts w:hint="eastAsia" w:eastAsia="仿宋_GB2312" w:cs="Times New Roman"/>
          <w:sz w:val="32"/>
          <w:szCs w:val="32"/>
          <w:lang w:val="en-US" w:eastAsia="zh-CN"/>
        </w:rPr>
      </w:pPr>
      <w:r>
        <w:rPr>
          <w:rFonts w:hint="eastAsia" w:ascii="Calibri" w:hAnsi="Calibri"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eastAsia" w:ascii="Calibri" w:hAnsi="Calibri" w:eastAsia="仿宋_GB2312" w:cs="Times New Roman"/>
          <w:color w:val="auto"/>
          <w:sz w:val="32"/>
          <w:szCs w:val="32"/>
          <w:lang w:val="en-US" w:eastAsia="zh-CN"/>
        </w:rPr>
        <w:t>年预算执行情况:202</w:t>
      </w:r>
      <w:r>
        <w:rPr>
          <w:rFonts w:hint="eastAsia" w:eastAsia="仿宋_GB2312" w:cs="Times New Roman"/>
          <w:color w:val="auto"/>
          <w:sz w:val="32"/>
          <w:szCs w:val="32"/>
          <w:lang w:val="en-US" w:eastAsia="zh-CN"/>
        </w:rPr>
        <w:t>3</w:t>
      </w:r>
      <w:r>
        <w:rPr>
          <w:rFonts w:hint="eastAsia" w:ascii="Calibri" w:hAnsi="Calibri" w:eastAsia="仿宋_GB2312" w:cs="Times New Roman"/>
          <w:color w:val="auto"/>
          <w:sz w:val="32"/>
          <w:szCs w:val="32"/>
          <w:lang w:val="en-US" w:eastAsia="zh-CN"/>
        </w:rPr>
        <w:t>年年初预算为</w:t>
      </w:r>
      <w:r>
        <w:rPr>
          <w:rFonts w:hint="eastAsia" w:eastAsia="仿宋_GB2312" w:cs="Times New Roman"/>
          <w:color w:val="auto"/>
          <w:sz w:val="32"/>
          <w:szCs w:val="32"/>
          <w:lang w:val="en-US" w:eastAsia="zh-CN"/>
        </w:rPr>
        <w:t>200.93</w:t>
      </w:r>
      <w:r>
        <w:rPr>
          <w:rFonts w:hint="eastAsia" w:ascii="Calibri" w:hAnsi="Calibri" w:eastAsia="仿宋_GB2312" w:cs="Times New Roman"/>
          <w:color w:val="auto"/>
          <w:sz w:val="32"/>
          <w:szCs w:val="32"/>
          <w:lang w:val="en-US" w:eastAsia="zh-CN"/>
        </w:rPr>
        <w:t>万元，</w:t>
      </w:r>
      <w:r>
        <w:rPr>
          <w:rFonts w:hint="eastAsia" w:ascii="Calibri" w:hAnsi="Calibri" w:eastAsia="仿宋_GB2312" w:cs="Times New Roman"/>
          <w:sz w:val="32"/>
          <w:szCs w:val="32"/>
          <w:lang w:val="en-US" w:eastAsia="zh-CN"/>
        </w:rPr>
        <w:t>其中基本支出：工资福利支出</w:t>
      </w:r>
      <w:r>
        <w:rPr>
          <w:rFonts w:hint="eastAsia" w:eastAsia="仿宋_GB2312" w:cs="Times New Roman"/>
          <w:sz w:val="32"/>
          <w:szCs w:val="32"/>
          <w:lang w:val="en-US" w:eastAsia="zh-CN"/>
        </w:rPr>
        <w:t>166.64</w:t>
      </w:r>
      <w:r>
        <w:rPr>
          <w:rFonts w:hint="eastAsia" w:ascii="Calibri" w:hAnsi="Calibri" w:eastAsia="仿宋_GB2312" w:cs="Times New Roman"/>
          <w:sz w:val="32"/>
          <w:szCs w:val="32"/>
          <w:lang w:val="en-US" w:eastAsia="zh-CN"/>
        </w:rPr>
        <w:t>万元，商品和服务支出</w:t>
      </w:r>
      <w:r>
        <w:rPr>
          <w:rFonts w:hint="eastAsia" w:eastAsia="仿宋_GB2312" w:cs="Times New Roman"/>
          <w:sz w:val="32"/>
          <w:szCs w:val="32"/>
          <w:lang w:val="en-US" w:eastAsia="zh-CN"/>
        </w:rPr>
        <w:t>24.08</w:t>
      </w:r>
      <w:r>
        <w:rPr>
          <w:rFonts w:hint="eastAsia" w:ascii="Calibri" w:hAnsi="Calibri" w:eastAsia="仿宋_GB2312" w:cs="Times New Roman"/>
          <w:sz w:val="32"/>
          <w:szCs w:val="32"/>
          <w:lang w:val="en-US" w:eastAsia="zh-CN"/>
        </w:rPr>
        <w:t>万元，对个人和家庭的补助</w:t>
      </w:r>
      <w:r>
        <w:rPr>
          <w:rFonts w:hint="eastAsia" w:eastAsia="仿宋_GB2312" w:cs="Times New Roman"/>
          <w:sz w:val="32"/>
          <w:szCs w:val="32"/>
          <w:lang w:val="en-US" w:eastAsia="zh-CN"/>
        </w:rPr>
        <w:t>10.21</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w:t>
      </w:r>
    </w:p>
    <w:p w14:paraId="7EF47EB5">
      <w:pPr>
        <w:adjustRightInd w:val="0"/>
        <w:snapToGrid w:val="0"/>
        <w:spacing w:line="600" w:lineRule="exact"/>
        <w:ind w:firstLine="640" w:firstLineChars="200"/>
        <w:rPr>
          <w:rFonts w:hint="eastAsia" w:eastAsia="黑体"/>
          <w:sz w:val="32"/>
          <w:szCs w:val="32"/>
        </w:rPr>
      </w:pPr>
      <w:r>
        <w:rPr>
          <w:rFonts w:hint="eastAsia" w:ascii="Calibri" w:hAnsi="Calibri" w:eastAsia="仿宋_GB2312" w:cs="Times New Roman"/>
          <w:sz w:val="32"/>
          <w:szCs w:val="32"/>
          <w:lang w:val="en-US" w:eastAsia="zh-CN"/>
        </w:rPr>
        <w:t>基本支出使用管理情况</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本单位20</w:t>
      </w:r>
      <w:r>
        <w:rPr>
          <w:rFonts w:hint="eastAsia" w:eastAsia="仿宋_GB2312" w:cs="Times New Roman"/>
          <w:sz w:val="32"/>
          <w:szCs w:val="32"/>
          <w:lang w:val="en-US" w:eastAsia="zh-CN"/>
        </w:rPr>
        <w:t>23</w:t>
      </w:r>
      <w:r>
        <w:rPr>
          <w:rFonts w:hint="eastAsia" w:ascii="Calibri" w:hAnsi="Calibri" w:eastAsia="仿宋_GB2312" w:cs="Times New Roman"/>
          <w:sz w:val="32"/>
          <w:szCs w:val="32"/>
          <w:lang w:val="en-US" w:eastAsia="zh-CN"/>
        </w:rPr>
        <w:t>年度基本支出为342</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64</w:t>
      </w:r>
      <w:r>
        <w:rPr>
          <w:rFonts w:hint="eastAsia" w:eastAsia="仿宋_GB2312" w:cs="Times New Roman"/>
          <w:sz w:val="32"/>
          <w:szCs w:val="32"/>
          <w:lang w:val="en-US" w:eastAsia="zh-CN"/>
        </w:rPr>
        <w:t xml:space="preserve"> </w:t>
      </w:r>
      <w:r>
        <w:rPr>
          <w:rFonts w:hint="eastAsia" w:ascii="Calibri" w:hAnsi="Calibri" w:eastAsia="仿宋_GB2312" w:cs="Times New Roman"/>
          <w:sz w:val="32"/>
          <w:szCs w:val="32"/>
          <w:lang w:val="en-US" w:eastAsia="zh-CN"/>
        </w:rPr>
        <w:t>万元，其中工资福利支出</w:t>
      </w:r>
      <w:r>
        <w:rPr>
          <w:rFonts w:hint="eastAsia" w:eastAsia="仿宋_GB2312" w:cs="Times New Roman"/>
          <w:sz w:val="32"/>
          <w:szCs w:val="32"/>
          <w:lang w:val="en-US" w:eastAsia="zh-CN"/>
        </w:rPr>
        <w:t>246.93</w:t>
      </w:r>
      <w:r>
        <w:rPr>
          <w:rFonts w:hint="eastAsia" w:ascii="Calibri" w:hAnsi="Calibri" w:eastAsia="仿宋_GB2312" w:cs="Times New Roman"/>
          <w:sz w:val="32"/>
          <w:szCs w:val="32"/>
          <w:lang w:val="en-US" w:eastAsia="zh-CN"/>
        </w:rPr>
        <w:t>万元，用来支付单位职工的基本工资，津补贴、绩效工资社会保障缴纳</w:t>
      </w:r>
      <w:r>
        <w:rPr>
          <w:rFonts w:hint="eastAsia" w:eastAsia="仿宋_GB2312" w:cs="Times New Roman"/>
          <w:sz w:val="32"/>
          <w:szCs w:val="32"/>
          <w:lang w:val="en-US" w:eastAsia="zh-CN"/>
        </w:rPr>
        <w:t>及单位住房公积金</w:t>
      </w:r>
      <w:r>
        <w:rPr>
          <w:rFonts w:hint="eastAsia" w:ascii="Calibri" w:hAnsi="Calibri" w:eastAsia="仿宋_GB2312" w:cs="Times New Roman"/>
          <w:sz w:val="32"/>
          <w:szCs w:val="32"/>
          <w:lang w:val="en-US" w:eastAsia="zh-CN"/>
        </w:rPr>
        <w:t>；商品和服务支出</w:t>
      </w:r>
      <w:r>
        <w:rPr>
          <w:rFonts w:hint="eastAsia" w:eastAsia="仿宋_GB2312" w:cs="Times New Roman"/>
          <w:sz w:val="32"/>
          <w:szCs w:val="32"/>
          <w:lang w:val="en-US" w:eastAsia="zh-CN"/>
        </w:rPr>
        <w:t>93</w:t>
      </w:r>
      <w:r>
        <w:rPr>
          <w:rFonts w:hint="eastAsia" w:ascii="Calibri" w:hAnsi="Calibri" w:eastAsia="仿宋_GB2312" w:cs="Times New Roman"/>
          <w:sz w:val="32"/>
          <w:szCs w:val="32"/>
          <w:lang w:val="en-US" w:eastAsia="zh-CN"/>
        </w:rPr>
        <w:t>万元，用来支付单位日常公用支出、</w:t>
      </w:r>
      <w:r>
        <w:rPr>
          <w:rFonts w:hint="eastAsia" w:eastAsia="仿宋_GB2312" w:cs="Times New Roman"/>
          <w:sz w:val="32"/>
          <w:szCs w:val="32"/>
          <w:lang w:val="en-US" w:eastAsia="zh-CN"/>
        </w:rPr>
        <w:t>水电费、</w:t>
      </w:r>
      <w:r>
        <w:rPr>
          <w:rFonts w:hint="eastAsia" w:ascii="Calibri" w:hAnsi="Calibri" w:eastAsia="仿宋_GB2312" w:cs="Times New Roman"/>
          <w:sz w:val="32"/>
          <w:szCs w:val="32"/>
          <w:lang w:val="en-US" w:eastAsia="zh-CN"/>
        </w:rPr>
        <w:t>差旅费、</w:t>
      </w:r>
      <w:r>
        <w:rPr>
          <w:rFonts w:hint="eastAsia" w:eastAsia="仿宋_GB2312" w:cs="Times New Roman"/>
          <w:sz w:val="32"/>
          <w:szCs w:val="32"/>
          <w:lang w:val="en-US" w:eastAsia="zh-CN"/>
        </w:rPr>
        <w:t>公务员车补、</w:t>
      </w:r>
      <w:r>
        <w:rPr>
          <w:rFonts w:hint="eastAsia" w:ascii="Calibri" w:hAnsi="Calibri" w:eastAsia="仿宋_GB2312" w:cs="Times New Roman"/>
          <w:sz w:val="32"/>
          <w:szCs w:val="32"/>
          <w:lang w:val="en-US" w:eastAsia="zh-CN"/>
        </w:rPr>
        <w:t>会议费、培训费</w:t>
      </w:r>
      <w:r>
        <w:rPr>
          <w:rFonts w:hint="eastAsia" w:eastAsia="仿宋_GB2312" w:cs="Times New Roman"/>
          <w:sz w:val="32"/>
          <w:szCs w:val="32"/>
          <w:lang w:val="en-US" w:eastAsia="zh-CN"/>
        </w:rPr>
        <w:t>等</w:t>
      </w:r>
      <w:r>
        <w:rPr>
          <w:rFonts w:hint="eastAsia" w:ascii="Calibri" w:hAnsi="Calibri" w:eastAsia="仿宋_GB2312" w:cs="Times New Roman"/>
          <w:sz w:val="32"/>
          <w:szCs w:val="32"/>
          <w:lang w:val="en-US" w:eastAsia="zh-CN"/>
        </w:rPr>
        <w:t>；对个人和家庭的补助</w:t>
      </w:r>
      <w:r>
        <w:rPr>
          <w:rFonts w:hint="eastAsia" w:eastAsia="仿宋_GB2312" w:cs="Times New Roman"/>
          <w:sz w:val="32"/>
          <w:szCs w:val="32"/>
          <w:lang w:val="en-US" w:eastAsia="zh-CN"/>
        </w:rPr>
        <w:t>1.25</w:t>
      </w:r>
      <w:r>
        <w:rPr>
          <w:rFonts w:hint="eastAsia" w:ascii="Calibri" w:hAnsi="Calibri" w:eastAsia="仿宋_GB2312" w:cs="Times New Roman"/>
          <w:sz w:val="32"/>
          <w:szCs w:val="32"/>
          <w:lang w:val="en-US" w:eastAsia="zh-CN"/>
        </w:rPr>
        <w:t>万元，用于支付生活补助及</w:t>
      </w:r>
      <w:r>
        <w:rPr>
          <w:rFonts w:hint="eastAsia" w:eastAsia="仿宋_GB2312" w:cs="Times New Roman"/>
          <w:sz w:val="32"/>
          <w:szCs w:val="32"/>
          <w:lang w:val="en-US" w:eastAsia="zh-CN"/>
        </w:rPr>
        <w:t>对个人和家庭补助</w:t>
      </w:r>
      <w:r>
        <w:rPr>
          <w:rFonts w:hint="eastAsia" w:ascii="Calibri" w:hAnsi="Calibri" w:eastAsia="仿宋_GB2312" w:cs="Times New Roman"/>
          <w:sz w:val="32"/>
          <w:szCs w:val="32"/>
          <w:lang w:val="en-US" w:eastAsia="zh-CN"/>
        </w:rPr>
        <w:t>等；202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年度我单位三公经费总支出</w:t>
      </w:r>
      <w:r>
        <w:rPr>
          <w:rFonts w:hint="eastAsia" w:eastAsia="仿宋_GB2312" w:cs="Times New Roman"/>
          <w:sz w:val="32"/>
          <w:szCs w:val="32"/>
          <w:lang w:val="en-US" w:eastAsia="zh-CN"/>
        </w:rPr>
        <w:t>0.35</w:t>
      </w:r>
      <w:r>
        <w:rPr>
          <w:rFonts w:hint="eastAsia" w:ascii="Calibri" w:hAnsi="Calibri" w:eastAsia="仿宋_GB2312" w:cs="Times New Roman"/>
          <w:sz w:val="32"/>
          <w:szCs w:val="32"/>
          <w:lang w:val="en-US" w:eastAsia="zh-CN"/>
        </w:rPr>
        <w:t>万元，其中公务接待费</w:t>
      </w:r>
      <w:r>
        <w:rPr>
          <w:rFonts w:hint="eastAsia" w:eastAsia="仿宋_GB2312" w:cs="Times New Roman"/>
          <w:sz w:val="32"/>
          <w:szCs w:val="32"/>
          <w:lang w:val="en-US" w:eastAsia="zh-CN"/>
        </w:rPr>
        <w:t>0.35</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与上年相比持平。</w:t>
      </w:r>
    </w:p>
    <w:p w14:paraId="2EDDB511">
      <w:pPr>
        <w:pStyle w:val="8"/>
        <w:numPr>
          <w:ilvl w:val="0"/>
          <w:numId w:val="2"/>
        </w:numPr>
        <w:spacing w:line="560" w:lineRule="exact"/>
        <w:ind w:left="640" w:firstLine="0" w:firstLineChars="0"/>
        <w:rPr>
          <w:rFonts w:hint="eastAsia" w:eastAsia="黑体"/>
          <w:sz w:val="32"/>
          <w:szCs w:val="32"/>
        </w:rPr>
      </w:pPr>
      <w:r>
        <w:rPr>
          <w:rFonts w:hint="eastAsia" w:eastAsia="黑体"/>
          <w:sz w:val="32"/>
          <w:szCs w:val="32"/>
        </w:rPr>
        <w:t>项目支出情况</w:t>
      </w:r>
    </w:p>
    <w:p w14:paraId="186CEB71">
      <w:pPr>
        <w:numPr>
          <w:ilvl w:val="0"/>
          <w:numId w:val="0"/>
        </w:num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eastAsia="zh-CN"/>
        </w:rPr>
        <w:t>本</w:t>
      </w:r>
      <w:r>
        <w:rPr>
          <w:rFonts w:hint="eastAsia" w:eastAsia="仿宋_GB2312"/>
          <w:sz w:val="32"/>
          <w:szCs w:val="32"/>
        </w:rPr>
        <w:t>单位没有</w:t>
      </w:r>
      <w:r>
        <w:rPr>
          <w:rFonts w:hint="eastAsia" w:eastAsia="仿宋_GB2312"/>
          <w:sz w:val="32"/>
          <w:szCs w:val="32"/>
          <w:lang w:val="en-US" w:eastAsia="zh-CN"/>
        </w:rPr>
        <w:t>项目支出情况</w:t>
      </w:r>
      <w:r>
        <w:rPr>
          <w:rFonts w:hint="eastAsia" w:eastAsia="仿宋_GB2312"/>
          <w:sz w:val="32"/>
          <w:szCs w:val="32"/>
        </w:rPr>
        <w:t>支出。</w:t>
      </w:r>
    </w:p>
    <w:p w14:paraId="6A495D93">
      <w:pPr>
        <w:pStyle w:val="8"/>
        <w:numPr>
          <w:ilvl w:val="0"/>
          <w:numId w:val="0"/>
        </w:numPr>
        <w:spacing w:line="560" w:lineRule="exact"/>
        <w:ind w:left="640" w:leftChars="0"/>
        <w:rPr>
          <w:rFonts w:hint="eastAsia" w:eastAsia="黑体"/>
          <w:sz w:val="32"/>
          <w:szCs w:val="32"/>
        </w:rPr>
      </w:pPr>
      <w:r>
        <w:rPr>
          <w:rFonts w:hint="eastAsia" w:eastAsia="黑体"/>
          <w:sz w:val="32"/>
          <w:szCs w:val="32"/>
          <w:lang w:eastAsia="zh-CN"/>
        </w:rPr>
        <w:t>三、</w:t>
      </w:r>
      <w:r>
        <w:rPr>
          <w:rFonts w:hint="eastAsia" w:eastAsia="黑体"/>
          <w:sz w:val="32"/>
          <w:szCs w:val="32"/>
        </w:rPr>
        <w:t>政府性基金预算支出情况</w:t>
      </w:r>
    </w:p>
    <w:p w14:paraId="205836B4">
      <w:pPr>
        <w:numPr>
          <w:ilvl w:val="0"/>
          <w:numId w:val="0"/>
        </w:num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eastAsia="zh-CN"/>
        </w:rPr>
        <w:t>本</w:t>
      </w:r>
      <w:r>
        <w:rPr>
          <w:rFonts w:hint="eastAsia" w:eastAsia="仿宋_GB2312"/>
          <w:sz w:val="32"/>
          <w:szCs w:val="32"/>
        </w:rPr>
        <w:t>单位没有政府性基金预算支出。</w:t>
      </w:r>
    </w:p>
    <w:p w14:paraId="26B21C71">
      <w:pPr>
        <w:numPr>
          <w:ilvl w:val="0"/>
          <w:numId w:val="3"/>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rPr>
        <w:t>国有资本经营预算支出情况</w:t>
      </w:r>
      <w:r>
        <w:rPr>
          <w:rFonts w:hint="eastAsia" w:eastAsia="黑体"/>
          <w:sz w:val="32"/>
          <w:szCs w:val="32"/>
          <w:lang w:val="en-US" w:eastAsia="zh-CN"/>
        </w:rPr>
        <w:t xml:space="preserve"> </w:t>
      </w:r>
    </w:p>
    <w:p w14:paraId="0ADF2148">
      <w:pPr>
        <w:numPr>
          <w:ilvl w:val="0"/>
          <w:numId w:val="0"/>
        </w:num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eastAsia="zh-CN"/>
        </w:rPr>
        <w:t>本</w:t>
      </w:r>
      <w:r>
        <w:rPr>
          <w:rFonts w:hint="eastAsia" w:eastAsia="仿宋_GB2312"/>
          <w:sz w:val="32"/>
          <w:szCs w:val="32"/>
        </w:rPr>
        <w:t>单位没有</w:t>
      </w:r>
      <w:r>
        <w:rPr>
          <w:rFonts w:hint="eastAsia" w:eastAsia="仿宋_GB2312"/>
          <w:sz w:val="32"/>
          <w:szCs w:val="32"/>
          <w:lang w:eastAsia="zh-CN"/>
        </w:rPr>
        <w:t>国有资本经营</w:t>
      </w:r>
      <w:r>
        <w:rPr>
          <w:rFonts w:hint="eastAsia" w:eastAsia="仿宋_GB2312"/>
          <w:sz w:val="32"/>
          <w:szCs w:val="32"/>
        </w:rPr>
        <w:t>预算支出。</w:t>
      </w:r>
    </w:p>
    <w:p w14:paraId="1FA69D6C">
      <w:pPr>
        <w:pStyle w:val="8"/>
        <w:numPr>
          <w:ilvl w:val="0"/>
          <w:numId w:val="3"/>
        </w:numPr>
        <w:spacing w:line="560" w:lineRule="exact"/>
        <w:ind w:left="0" w:leftChars="0" w:firstLine="640" w:firstLineChars="200"/>
        <w:rPr>
          <w:rFonts w:hint="eastAsia" w:eastAsia="黑体"/>
          <w:sz w:val="32"/>
          <w:szCs w:val="32"/>
        </w:rPr>
      </w:pPr>
      <w:r>
        <w:rPr>
          <w:rFonts w:hint="eastAsia" w:eastAsia="黑体"/>
          <w:sz w:val="32"/>
          <w:szCs w:val="32"/>
        </w:rPr>
        <w:t>社会保险基金预算支出情况</w:t>
      </w:r>
    </w:p>
    <w:p w14:paraId="4899CB96">
      <w:pPr>
        <w:pStyle w:val="8"/>
        <w:numPr>
          <w:ilvl w:val="0"/>
          <w:numId w:val="0"/>
        </w:numPr>
        <w:spacing w:line="56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2023年本单位没有社会保险基金预算支出。</w:t>
      </w:r>
    </w:p>
    <w:p w14:paraId="67BE93F8">
      <w:pPr>
        <w:widowControl/>
        <w:spacing w:line="560" w:lineRule="exact"/>
        <w:ind w:firstLine="645"/>
        <w:jc w:val="left"/>
        <w:rPr>
          <w:rFonts w:ascii="Times New Roman" w:hAnsi="Times New Roman" w:eastAsia="黑体"/>
          <w:sz w:val="32"/>
          <w:szCs w:val="32"/>
        </w:rPr>
      </w:pPr>
      <w:r>
        <w:rPr>
          <w:rFonts w:hint="eastAsia" w:eastAsia="黑体"/>
          <w:sz w:val="32"/>
          <w:szCs w:val="32"/>
        </w:rPr>
        <w:t>六、部门整体支出绩效情况</w:t>
      </w:r>
    </w:p>
    <w:p w14:paraId="3A55EF69">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从部门整体支出绩效评价结果来看，单位预算编制科学，民主理财，重大财务事项经由</w:t>
      </w:r>
      <w:r>
        <w:rPr>
          <w:rFonts w:hint="eastAsia" w:eastAsia="仿宋_GB2312" w:cs="Times New Roman"/>
          <w:sz w:val="32"/>
          <w:szCs w:val="32"/>
          <w:lang w:val="en-US" w:eastAsia="zh-CN"/>
        </w:rPr>
        <w:t>内控小组</w:t>
      </w:r>
      <w:r>
        <w:rPr>
          <w:rFonts w:hint="eastAsia" w:ascii="Calibri" w:hAnsi="Calibri" w:eastAsia="仿宋_GB2312" w:cs="Times New Roman"/>
          <w:sz w:val="32"/>
          <w:szCs w:val="32"/>
          <w:lang w:val="en-US" w:eastAsia="zh-CN"/>
        </w:rPr>
        <w:t>研究决策，财务制度健全。</w:t>
      </w:r>
    </w:p>
    <w:p w14:paraId="5DB911A0">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1、进一步规范财务管理制度，狠抓“收入关”</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全体干部职工在单位领导的带领下，以</w:t>
      </w:r>
      <w:r>
        <w:rPr>
          <w:rFonts w:hint="eastAsia" w:eastAsia="仿宋_GB2312" w:cs="Times New Roman"/>
          <w:sz w:val="32"/>
          <w:szCs w:val="32"/>
          <w:lang w:val="en-US" w:eastAsia="zh-CN"/>
        </w:rPr>
        <w:t>机构编制</w:t>
      </w:r>
      <w:r>
        <w:rPr>
          <w:rFonts w:hint="eastAsia" w:ascii="Calibri" w:hAnsi="Calibri" w:eastAsia="仿宋_GB2312" w:cs="Times New Roman"/>
          <w:sz w:val="32"/>
          <w:szCs w:val="32"/>
          <w:lang w:val="en-US" w:eastAsia="zh-CN"/>
        </w:rPr>
        <w:t>为中心，全心全意地投入到工作中，工作成效有了很大的起色。</w:t>
      </w:r>
    </w:p>
    <w:p w14:paraId="69EB502C">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2、进一步规范资金使用，把好“支出关”。单位经费开支按预算和单位财务管理制度执行，基本支出做到不铺张浪费，开源节流，</w:t>
      </w:r>
      <w:r>
        <w:rPr>
          <w:rFonts w:hint="eastAsia" w:eastAsia="仿宋_GB2312" w:cs="Times New Roman"/>
          <w:sz w:val="32"/>
          <w:szCs w:val="32"/>
          <w:lang w:val="en-US" w:eastAsia="zh-CN"/>
        </w:rPr>
        <w:t>把</w:t>
      </w:r>
      <w:r>
        <w:rPr>
          <w:rFonts w:hint="eastAsia" w:ascii="Calibri" w:hAnsi="Calibri" w:eastAsia="仿宋_GB2312" w:cs="Times New Roman"/>
          <w:sz w:val="32"/>
          <w:szCs w:val="32"/>
          <w:lang w:val="en-US" w:eastAsia="zh-CN"/>
        </w:rPr>
        <w:t>廉政建设</w:t>
      </w:r>
      <w:r>
        <w:rPr>
          <w:rFonts w:hint="eastAsia" w:eastAsia="仿宋_GB2312" w:cs="Times New Roman"/>
          <w:sz w:val="32"/>
          <w:szCs w:val="32"/>
          <w:lang w:val="en-US" w:eastAsia="zh-CN"/>
        </w:rPr>
        <w:t>落实到位</w:t>
      </w:r>
      <w:r>
        <w:rPr>
          <w:rFonts w:hint="eastAsia" w:ascii="Calibri" w:hAnsi="Calibri" w:eastAsia="仿宋_GB2312" w:cs="Times New Roman"/>
          <w:sz w:val="32"/>
          <w:szCs w:val="32"/>
          <w:lang w:val="en-US" w:eastAsia="zh-CN"/>
        </w:rPr>
        <w:t>。</w:t>
      </w:r>
    </w:p>
    <w:p w14:paraId="5D3D2E69">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3、进一步推进预决算等重要信息的公开透明。202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年度在网站上公开部门预算信息及单位整体财务情况，做到主动接受社会公众的监督。</w:t>
      </w:r>
    </w:p>
    <w:p w14:paraId="3BEEA840">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b w:val="0"/>
          <w:bCs w:val="0"/>
          <w:sz w:val="32"/>
          <w:szCs w:val="32"/>
          <w:lang w:val="en-US" w:eastAsia="zh-CN"/>
        </w:rPr>
      </w:pPr>
      <w:r>
        <w:rPr>
          <w:rFonts w:hint="eastAsia" w:ascii="Calibri" w:hAnsi="Calibri" w:eastAsia="仿宋_GB2312" w:cs="Times New Roman"/>
          <w:b w:val="0"/>
          <w:bCs w:val="0"/>
          <w:sz w:val="32"/>
          <w:szCs w:val="32"/>
          <w:lang w:val="en-US" w:eastAsia="zh-CN"/>
        </w:rPr>
        <w:t>工作开展情况:</w:t>
      </w:r>
    </w:p>
    <w:p w14:paraId="5E2B39BC">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（一）提高政治站位，在学懂中感悟思想伟力</w:t>
      </w:r>
    </w:p>
    <w:p w14:paraId="050122BD">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我办聚焦抓学习促提升，创新学习载体，丰富学习形式，坚持在读原著上用心、集中学上发力、广泛学上创新，通过思在深处学、谋在深处学、干在实处学，入脑入心、走深走实。以主题教育为契机，深入学习《习近平新时代中国特色社会主义思想学习纲要》，深刻领悟“两个确立”的决定性意义，确保机构编制工作始终沿着正确的方向开展。始终坚持加强党对机构编制工作的集中统一领导，始终站稳政治立场、保持政治定力，不折不扣贯彻落实好各项决策部署。</w:t>
      </w:r>
    </w:p>
    <w:p w14:paraId="3C378F7E">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b/>
          <w:bCs/>
          <w:sz w:val="32"/>
          <w:szCs w:val="32"/>
          <w:lang w:val="en-US" w:eastAsia="zh-CN"/>
        </w:rPr>
      </w:pPr>
      <w:r>
        <w:rPr>
          <w:rFonts w:hint="eastAsia" w:ascii="Calibri" w:hAnsi="Calibri" w:eastAsia="仿宋_GB2312" w:cs="Times New Roman"/>
          <w:b/>
          <w:bCs/>
          <w:sz w:val="32"/>
          <w:szCs w:val="32"/>
          <w:lang w:val="en-US" w:eastAsia="zh-CN"/>
        </w:rPr>
        <w:t>（二）突出主责主业，扎实做好各项业务工作</w:t>
      </w:r>
    </w:p>
    <w:p w14:paraId="320496F5">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一是积极开展乡镇生态环境机构和队伍建设试点工作。</w:t>
      </w:r>
      <w:r>
        <w:rPr>
          <w:rFonts w:hint="eastAsia" w:ascii="Calibri" w:hAnsi="Calibri" w:eastAsia="仿宋_GB2312" w:cs="Times New Roman"/>
          <w:sz w:val="32"/>
          <w:szCs w:val="32"/>
          <w:lang w:val="en-US" w:eastAsia="zh-CN"/>
        </w:rPr>
        <w:t>在市县两级书记的带领下，我办将“健全基层生态环境保护体制机制”作为重要课题，开展实地调研40余次，试点方案讨论修改30余次，在与省市组织和编制部门汇报、听取指导意见的基础上，将乡镇原本的“六办三中心”调整设置为“五办四中心”，并按照“编随事走、人随编走”“人岗相适、调整优化”“预留编制、统筹推进”“严把政策、严守纪律”等4个原则，迅速制定下发了机构设置、人员转隶方案，仅用7天时间稳妥完成189名人员转隶，探索打造了乡镇生态事务中心“机构设置科学化、人员队伍专业、阵地建设标准化、办事流程规范化、巡查监管网络化、目标考核精细化”六化模式。截至6月20日，21个乡镇（场）全部完成机构组建、职能整合、阵地建设、人员转隶工作，形成了乡镇生态环境保护“三个一”体系，即一个行政部门（经济发展办公室）+一个事务中心（生态环境事务中心）+一个执法中队（生态环境保护执法中队），一方面实现了“上下贯通”，理顺了县、乡、村三级工作机制。另一方面，实现了“横向打通”，强化了乡镇机构编制资源配置。生态环境、村镇建设工作进一步加强，乡镇事业单位职能职责、人员编制、工作任务相对平衡，乡镇机构设置更加优化、均衡、高效。</w:t>
      </w:r>
    </w:p>
    <w:p w14:paraId="3BAB80B4">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二是高位推进行政超编整改工作。</w:t>
      </w:r>
      <w:r>
        <w:rPr>
          <w:rFonts w:hint="eastAsia" w:ascii="Calibri" w:hAnsi="Calibri" w:eastAsia="仿宋_GB2312" w:cs="Times New Roman"/>
          <w:sz w:val="32"/>
          <w:szCs w:val="32"/>
          <w:lang w:val="en-US" w:eastAsia="zh-CN"/>
        </w:rPr>
        <w:t>我办根据《方案》要求，严守“严控总量，统筹使用，有增有减，动态平衡，保证重点，服务发展”24字方针，全面开展行政编制超编问题专项整治行动。县委常委、组织部长贺婷婷一月一调度，层层把关，组织召开行政超编整改工作推进会议。坚持直面问题，依法依规；坚持上下联动、分类施策；坚持系统治理，多管齐下；坚持压实责任，严肃纪律的原则，对照“七个一批”的整改措施，实施挂图作战，各超编单位根据实际情况分别制定具体的整改计划，主要负责人签署超编整改承诺，确保2023年9月底前全面消化全县行政总量超编问题。进一步强化机构编制刚性约束，严肃机构编制工作纪律，提升机构编制工作规范化法制化水平。截至2023年10月31日，我县县直核定行政编制1227名，实有1216人，全面完成整改任务。其中，党政群核定行政编制758名，实有755人，已消超197名，；政法核定专项编制469名，实有448人，余编21名。</w:t>
      </w:r>
    </w:p>
    <w:p w14:paraId="58AE2F38">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三是规范提升机构编制管理工作。</w:t>
      </w:r>
      <w:r>
        <w:rPr>
          <w:rFonts w:hint="eastAsia" w:ascii="Calibri" w:hAnsi="Calibri" w:eastAsia="仿宋_GB2312" w:cs="Times New Roman"/>
          <w:sz w:val="32"/>
          <w:szCs w:val="32"/>
          <w:lang w:val="en-US" w:eastAsia="zh-CN"/>
        </w:rPr>
        <w:t>①严格落实中央、省、市部署要求，按照时间节点和要求，调整组建县国防动员办公室，迅速厘清相关部门职能分工，稳妥推进人员转隶；②积极推进我县基层动植物疫病防制体系建设，进一步健全机构、明确职责、理顺关系、强化机构编制保障。将邵阳县动物卫生监督所与邵阳县动物疾病预防控制中心综合设置为邵阳县动物疫病预防控制中心，加挂邵阳县动物卫生监督所牌子，设立邵阳县植保植检站，在各乡镇农业综合服务中心统一加挂“动植物疫病防控中心”牌子，将县乡动植物疫病防控责任明确到机构、明确到岗位、明确到人员。③为提升我县卫健系统整体素质，落实县委、县人民政府人才强县战略，加强全县卫健系统人才储备，公开招聘专业技术人员106名。④以2012年底人员编制基数为基准，全县调剂30名事业编制，建立邵阳县事业单位人才周转编制管理专户，专门用于我县人才行动计划所需引进的高层次人才以及急需紧缺人才。以后每年根据实际需要再进行调剂。⑤根据我县基础教育工作的发展需要，以及中小学教职工编制配备标准，按照“控制总量、盘活存量、动态调整”的原则，结合我县教育发展规划、生源变化及实有人数等情况，重新核定了教育系统中小学教师编制。</w:t>
      </w:r>
    </w:p>
    <w:p w14:paraId="7ACE73C6">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四是全面完成机构编制年报统计工作。</w:t>
      </w:r>
      <w:r>
        <w:rPr>
          <w:rFonts w:hint="eastAsia" w:ascii="Calibri" w:hAnsi="Calibri" w:eastAsia="仿宋_GB2312" w:cs="Times New Roman"/>
          <w:sz w:val="32"/>
          <w:szCs w:val="32"/>
          <w:lang w:val="en-US" w:eastAsia="zh-CN"/>
        </w:rPr>
        <w:t>全力配合市委编办圆满完成全市机构编制2023年度统计年报工作。将全县行政机关和事业单位的机构、编制和人员信息数据进行了分类统计，生成各类数据资料，并撰写了全县机构编制2023年度统计分析报告。</w:t>
      </w:r>
    </w:p>
    <w:p w14:paraId="0C078859">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五是稳步推进事业单位登记管理工作。</w:t>
      </w:r>
      <w:r>
        <w:rPr>
          <w:rFonts w:hint="eastAsia" w:ascii="Calibri" w:hAnsi="Calibri" w:eastAsia="仿宋_GB2312" w:cs="Times New Roman"/>
          <w:sz w:val="32"/>
          <w:szCs w:val="32"/>
          <w:lang w:val="en-US" w:eastAsia="zh-CN"/>
        </w:rPr>
        <w:t>根据上级要求，对全县事业单位进行审查。按要求开展机关群团赋码和事业单位登记管理工作，目前已完成17家机关群团赋码变更，7家事业单位设立登记，97家事业单位名称、法人等变更登记，共计107项。453家年度报告；18家事业单位法人注销。所有进行登记的事业单位年度报告均按照《事业单位登记管理暂行条例》、《事业单位登记管理暂行条例实施细则》的要求在邵阳县人民政府网和《邵阳市信用信息资源目录清单》要求在信用中国网站进行双公示。对全县政务公益域名进行一次全面打底清理，并同步完成政务公益域名注册续费工作。</w:t>
      </w:r>
    </w:p>
    <w:p w14:paraId="0D1629E3">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六是全力做好信息调研工作。</w:t>
      </w:r>
      <w:r>
        <w:rPr>
          <w:rFonts w:hint="eastAsia" w:ascii="Calibri" w:hAnsi="Calibri" w:eastAsia="仿宋_GB2312" w:cs="Times New Roman"/>
          <w:sz w:val="32"/>
          <w:szCs w:val="32"/>
          <w:lang w:val="en-US" w:eastAsia="zh-CN"/>
        </w:rPr>
        <w:t>根据市编办机构编制工作要求，我办紧紧围绕中心工作，配合省、市机构编制部门，加强调查研究，及时准确上报工作进展情况，时效性不断增强。截至目前向市编办报送信息15条，省、市各级媒体上稿9条，被省编办采用1条。并结合基层生态环保改革探索实践，向省编办报送了《构建基层生态环境保护新体系  助推基层社会治理新提升》创新案例。</w:t>
      </w:r>
    </w:p>
    <w:p w14:paraId="056F00F4">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b/>
          <w:bCs/>
          <w:sz w:val="32"/>
          <w:szCs w:val="32"/>
          <w:lang w:val="en-US" w:eastAsia="zh-CN"/>
        </w:rPr>
      </w:pPr>
      <w:r>
        <w:rPr>
          <w:rFonts w:hint="eastAsia" w:ascii="Calibri" w:hAnsi="Calibri" w:eastAsia="仿宋_GB2312" w:cs="Times New Roman"/>
          <w:b/>
          <w:bCs/>
          <w:sz w:val="32"/>
          <w:szCs w:val="32"/>
          <w:lang w:val="en-US" w:eastAsia="zh-CN"/>
        </w:rPr>
        <w:t>（三）坚持多措并举，加强编制部门自身建设</w:t>
      </w:r>
    </w:p>
    <w:p w14:paraId="34A4EA87">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一是强化政治建设，着力提高思想站位。一方面，突出机构编制部门作为党委机关的政治属性，时时处处把讲政治放在首位。严格落实归口管理要求，以增强“组织口”意识、赶上“组织口”标准、强化“组织口”作风为目标，转变旧的工作理念，强化与组织部门的主动沟通对接，不断适应新形势新要求下的机构编制工作。另一方面，将“三抓三促”融入主题教育，推动主题教育走深走实。深入学习</w:t>
      </w:r>
      <w:r>
        <w:rPr>
          <w:rFonts w:hint="default" w:ascii="Calibri" w:hAnsi="Calibri" w:eastAsia="仿宋_GB2312" w:cs="Times New Roman"/>
          <w:sz w:val="32"/>
          <w:szCs w:val="32"/>
          <w:lang w:val="en-US" w:eastAsia="zh-CN"/>
        </w:rPr>
        <w:t>党的二十大报告、党章、《习近平著作选读》《习近平新时代中国特色社会主义思想专题摘编》《习近平外交思想学习纲要》</w:t>
      </w:r>
      <w:r>
        <w:rPr>
          <w:rFonts w:hint="eastAsia" w:ascii="Calibri" w:hAnsi="Calibri" w:eastAsia="仿宋_GB2312" w:cs="Times New Roman"/>
          <w:sz w:val="32"/>
          <w:szCs w:val="32"/>
          <w:lang w:val="en-US" w:eastAsia="zh-CN"/>
        </w:rPr>
        <w:t>等主题教育用书，并将主题教育贯穿到机构编制各项工作的全过程，确保理论学习和业务学习相互融合、相互促进、相互提升。我办先后7次组织召开县委编委会议，多次传达学习了习近平总书记关于机构编制工作重要论述，沈晓明书记在省委机构编制委员会第二次会议上的讲话精神。通过广泛学习，深刻领会、全面贯彻落实习近平总书记关于机构编制工作重要论述，准确把握机构编制工作定位。</w:t>
      </w:r>
    </w:p>
    <w:p w14:paraId="2C818534">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二是强化部门建设，着力提升履职能力。</w:t>
      </w:r>
      <w:r>
        <w:rPr>
          <w:rFonts w:hint="eastAsia" w:ascii="Calibri" w:hAnsi="Calibri" w:eastAsia="仿宋_GB2312" w:cs="Times New Roman"/>
          <w:sz w:val="32"/>
          <w:szCs w:val="32"/>
          <w:lang w:val="en-US" w:eastAsia="zh-CN"/>
        </w:rPr>
        <w:t>一方面，坚持将机构编制工作和干部人事工作紧密联系起来，放在党管干部、党管组织的全流程中统筹谋划，切实用好盘活机构编制资源这个重要的政治资源、执政资源。另一方面，推进“机构编制法定化”，提升业务能力。始终坚持把《中国共产党机构编制工作条例》《中共湖南省委机构编制管理规定》作为一切机构编制工作的指南和准则，采取中心组理论学习、专题培训、主题研讨和知识测试等方式推动检验学习成效，让干部在学中悟，在比中练，做到真学真懂、会讲会干，消除干部职工“知识恐慌”、“本领缺失”和新老力量断档问题，营造新老干部机构编制业务知识融合的良好分为，促进提升机构编制工作合力。</w:t>
      </w:r>
    </w:p>
    <w:p w14:paraId="3C3650A8">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三是加强队伍建设，着力提升服务水平。</w:t>
      </w:r>
      <w:r>
        <w:rPr>
          <w:rFonts w:hint="eastAsia" w:ascii="Calibri" w:hAnsi="Calibri" w:eastAsia="仿宋_GB2312" w:cs="Times New Roman"/>
          <w:sz w:val="32"/>
          <w:szCs w:val="32"/>
          <w:lang w:val="en-US" w:eastAsia="zh-CN"/>
        </w:rPr>
        <w:t>一方面加强规章制度建设。完善学习、考勤、财务、内务、保密、资产管理、干部职工请销假等各项规章制度，推进了机关规范化管理，树立里了对内对外的良好形象。另一方面严格执行工作落实汇报制。根据分工职责和个人能力，对安排部署工作任务抓好落实，实行周汇报、月督查、季通报，为全面完成各项任务奠定了良好基础。再一方面认真落实目标责任考核制。根据工作需要，建立了季度例会目标任务进展汇报制度和跟踪问效，圆满完成每年的各项目标任务，机构编制工作水平显著提升。</w:t>
      </w:r>
    </w:p>
    <w:p w14:paraId="045B950F">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b/>
          <w:bCs/>
          <w:sz w:val="32"/>
          <w:szCs w:val="32"/>
          <w:lang w:val="en-US" w:eastAsia="zh-CN"/>
        </w:rPr>
      </w:pPr>
      <w:r>
        <w:rPr>
          <w:rFonts w:hint="eastAsia" w:ascii="Calibri" w:hAnsi="Calibri" w:eastAsia="仿宋_GB2312" w:cs="Times New Roman"/>
          <w:b/>
          <w:bCs/>
          <w:sz w:val="32"/>
          <w:szCs w:val="32"/>
          <w:lang w:val="en-US" w:eastAsia="zh-CN"/>
        </w:rPr>
        <w:t>（四）坚持重点统筹，扎实推进中心工作</w:t>
      </w:r>
    </w:p>
    <w:p w14:paraId="06C64697">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一是认真做好乡村振兴工作。</w:t>
      </w:r>
      <w:r>
        <w:rPr>
          <w:rFonts w:hint="eastAsia" w:ascii="Calibri" w:hAnsi="Calibri" w:eastAsia="仿宋_GB2312" w:cs="Times New Roman"/>
          <w:sz w:val="32"/>
          <w:szCs w:val="32"/>
          <w:lang w:val="en-US" w:eastAsia="zh-CN"/>
        </w:rPr>
        <w:t>我办精准选派了工作经验丰富、作风严谨务实的3名同志到新驻点村龙井村帮扶，积极争资争项，助力乡村振兴工作。全体在职干部定期到联点村进行走访，扎实开展“结对帮扶”。</w:t>
      </w:r>
    </w:p>
    <w:p w14:paraId="31C676F1">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二是积极开展四城同创工作。</w:t>
      </w:r>
      <w:r>
        <w:rPr>
          <w:rFonts w:hint="eastAsia" w:ascii="Calibri" w:hAnsi="Calibri" w:eastAsia="仿宋_GB2312" w:cs="Times New Roman"/>
          <w:sz w:val="32"/>
          <w:szCs w:val="32"/>
          <w:lang w:val="en-US" w:eastAsia="zh-CN"/>
        </w:rPr>
        <w:t>今年来，我办组织单位职工开展了义务植树、“星期五”创建日，创建宣传进社区等活动，充分调动了群众参与创文、创卫、创森、创民的积极性和主动性，积极营造浓厚的创建氛围，号召广大群众加入宣传行列，提高了群众知晓率和满意度。</w:t>
      </w:r>
    </w:p>
    <w:p w14:paraId="3273CF21">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三是主动抓好省委巡视问题整改。</w:t>
      </w:r>
      <w:r>
        <w:rPr>
          <w:rFonts w:hint="eastAsia" w:ascii="Calibri" w:hAnsi="Calibri" w:eastAsia="仿宋_GB2312" w:cs="Times New Roman"/>
          <w:sz w:val="32"/>
          <w:szCs w:val="32"/>
          <w:lang w:val="en-US" w:eastAsia="zh-CN"/>
        </w:rPr>
        <w:t>巡视反馈问题之后，我办多次召开室务会会议，对省委巡视反馈问题整改工作进行专题研究，完善整改工作方案，细化分解具体整改任务，明确责任领导和责任单位，倒排整改期限，全力抓好整改落实。截至目前，“县直机关事业单位超编和超职数配备领导干部以及邵阳县公办教师在民办学校任教”问题，均已整改到位。</w:t>
      </w:r>
    </w:p>
    <w:p w14:paraId="0822EB7A">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b/>
          <w:bCs/>
          <w:sz w:val="32"/>
          <w:szCs w:val="32"/>
          <w:lang w:val="en-US" w:eastAsia="zh-CN"/>
        </w:rPr>
        <w:t>四是全面落实其他工作。</w:t>
      </w:r>
      <w:r>
        <w:rPr>
          <w:rFonts w:hint="eastAsia" w:ascii="Calibri" w:hAnsi="Calibri" w:eastAsia="仿宋_GB2312" w:cs="Times New Roman"/>
          <w:sz w:val="32"/>
          <w:szCs w:val="32"/>
          <w:lang w:val="en-US" w:eastAsia="zh-CN"/>
        </w:rPr>
        <w:t>坚持以党的政治建设为统领，聚焦围绕中心，建设队伍，服务群众职责任务，全力抓好思想宣传、意识形态、平安建设、纪要保密、党风廉政建设和反腐败工作等各项工作。</w:t>
      </w:r>
    </w:p>
    <w:p w14:paraId="72B80579">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p>
    <w:p w14:paraId="2C961FA3">
      <w:pPr>
        <w:pStyle w:val="8"/>
        <w:spacing w:line="560" w:lineRule="exact"/>
        <w:ind w:left="640" w:firstLine="0" w:firstLineChars="0"/>
        <w:rPr>
          <w:rFonts w:eastAsia="黑体"/>
          <w:sz w:val="32"/>
          <w:szCs w:val="32"/>
        </w:rPr>
      </w:pPr>
      <w:r>
        <w:rPr>
          <w:rFonts w:hint="eastAsia" w:eastAsia="黑体"/>
          <w:sz w:val="32"/>
          <w:szCs w:val="32"/>
        </w:rPr>
        <w:t>七、存在的问题及原因分析</w:t>
      </w:r>
    </w:p>
    <w:p w14:paraId="350B1533">
      <w:pPr>
        <w:widowControl/>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1、预算不够细化，预算执行力度还需要进一步加强。</w:t>
      </w:r>
    </w:p>
    <w:p w14:paraId="64B866E9">
      <w:pPr>
        <w:widowControl/>
        <w:spacing w:line="560" w:lineRule="exact"/>
        <w:ind w:firstLine="640" w:firstLineChars="200"/>
        <w:jc w:val="left"/>
        <w:rPr>
          <w:rFonts w:ascii="Times New Roman" w:hAnsi="Times New Roman" w:eastAsia="仿宋_GB2312"/>
          <w:sz w:val="32"/>
          <w:szCs w:val="32"/>
        </w:rPr>
      </w:pPr>
      <w:r>
        <w:rPr>
          <w:rFonts w:hint="eastAsia" w:eastAsia="仿宋_GB2312"/>
          <w:sz w:val="32"/>
          <w:szCs w:val="32"/>
          <w:lang w:val="en-US" w:eastAsia="zh-CN"/>
        </w:rPr>
        <w:t>2、财务人员对财务有关规定和业务不够熟练</w:t>
      </w:r>
      <w:r>
        <w:rPr>
          <w:rFonts w:hint="eastAsia" w:eastAsia="仿宋_GB2312"/>
          <w:sz w:val="32"/>
          <w:szCs w:val="32"/>
        </w:rPr>
        <w:t>。</w:t>
      </w:r>
    </w:p>
    <w:p w14:paraId="168CA75A">
      <w:pPr>
        <w:widowControl/>
        <w:spacing w:line="560" w:lineRule="exact"/>
        <w:ind w:firstLine="640" w:firstLineChars="200"/>
        <w:jc w:val="left"/>
        <w:rPr>
          <w:rFonts w:hint="eastAsia" w:eastAsia="黑体"/>
          <w:sz w:val="32"/>
          <w:szCs w:val="32"/>
        </w:rPr>
      </w:pPr>
      <w:r>
        <w:rPr>
          <w:rFonts w:hint="eastAsia" w:eastAsia="黑体"/>
          <w:sz w:val="32"/>
          <w:szCs w:val="32"/>
        </w:rPr>
        <w:t>八、下一步改进措施</w:t>
      </w:r>
    </w:p>
    <w:p w14:paraId="676FCB5A">
      <w:pPr>
        <w:widowControl/>
        <w:spacing w:line="56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1、细化预算编制工作，本着“勤俭节约、保障运转”的原则，认真做好预算编制工作。</w:t>
      </w:r>
    </w:p>
    <w:p w14:paraId="02B1D286">
      <w:pPr>
        <w:widowControl/>
        <w:spacing w:line="560" w:lineRule="exact"/>
        <w:ind w:firstLine="640" w:firstLineChars="200"/>
        <w:jc w:val="left"/>
        <w:rPr>
          <w:rFonts w:hint="eastAsia" w:eastAsia="黑体"/>
          <w:sz w:val="32"/>
          <w:szCs w:val="32"/>
          <w:lang w:val="en-US" w:eastAsia="zh-CN"/>
        </w:rPr>
      </w:pPr>
      <w:r>
        <w:rPr>
          <w:rFonts w:hint="eastAsia" w:eastAsia="仿宋_GB2312"/>
          <w:sz w:val="32"/>
          <w:szCs w:val="32"/>
          <w:lang w:val="en-US" w:eastAsia="zh-CN"/>
        </w:rPr>
        <w:t>2、加强对财务人员的培训，提高财务人员的业务能力水平。</w:t>
      </w:r>
    </w:p>
    <w:p w14:paraId="07ECBEE2">
      <w:pPr>
        <w:widowControl/>
        <w:spacing w:line="560" w:lineRule="exact"/>
        <w:ind w:firstLine="645"/>
        <w:jc w:val="left"/>
        <w:rPr>
          <w:rFonts w:hint="eastAsia" w:eastAsia="黑体"/>
          <w:sz w:val="32"/>
          <w:szCs w:val="32"/>
        </w:rPr>
      </w:pPr>
      <w:r>
        <w:rPr>
          <w:rFonts w:hint="eastAsia" w:eastAsia="黑体"/>
          <w:sz w:val="32"/>
          <w:szCs w:val="32"/>
        </w:rPr>
        <w:t>九、其他需要说明的情况</w:t>
      </w:r>
    </w:p>
    <w:p w14:paraId="0A2B416A">
      <w:pPr>
        <w:widowControl/>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无</w:t>
      </w:r>
    </w:p>
    <w:p w14:paraId="568EAB18"/>
    <w:p w14:paraId="2B7488D3">
      <w:pPr>
        <w:widowControl/>
        <w:spacing w:line="560" w:lineRule="exact"/>
        <w:ind w:firstLine="645"/>
        <w:jc w:val="left"/>
        <w:rPr>
          <w:rFonts w:eastAsia="仿宋_GB2312"/>
          <w:sz w:val="32"/>
          <w:szCs w:val="32"/>
        </w:rPr>
      </w:pPr>
    </w:p>
    <w:p w14:paraId="18C60C17">
      <w:pPr>
        <w:widowControl/>
        <w:spacing w:line="560" w:lineRule="exact"/>
        <w:ind w:firstLine="645"/>
        <w:jc w:val="left"/>
        <w:rPr>
          <w:rFonts w:eastAsia="仿宋_GB2312"/>
          <w:sz w:val="32"/>
          <w:szCs w:val="32"/>
        </w:rPr>
      </w:pPr>
    </w:p>
    <w:p w14:paraId="67CF82D3">
      <w:pPr>
        <w:widowControl/>
        <w:spacing w:line="560" w:lineRule="exact"/>
        <w:ind w:firstLine="645"/>
        <w:jc w:val="left"/>
        <w:rPr>
          <w:rFonts w:eastAsia="仿宋_GB2312"/>
          <w:sz w:val="32"/>
          <w:szCs w:val="32"/>
        </w:rPr>
      </w:pPr>
    </w:p>
    <w:p w14:paraId="1A141481">
      <w:pPr>
        <w:widowControl/>
        <w:spacing w:line="560" w:lineRule="exact"/>
        <w:ind w:firstLine="645"/>
        <w:jc w:val="left"/>
        <w:rPr>
          <w:rFonts w:eastAsia="仿宋_GB2312"/>
          <w:sz w:val="32"/>
          <w:szCs w:val="32"/>
        </w:rPr>
      </w:pPr>
    </w:p>
    <w:p w14:paraId="7B144349">
      <w:pPr>
        <w:widowControl/>
        <w:spacing w:line="560" w:lineRule="exact"/>
        <w:ind w:firstLine="645"/>
        <w:jc w:val="left"/>
        <w:rPr>
          <w:rFonts w:eastAsia="仿宋_GB2312"/>
          <w:sz w:val="32"/>
          <w:szCs w:val="32"/>
        </w:rPr>
      </w:pPr>
    </w:p>
    <w:p w14:paraId="45C69DF5">
      <w:pPr>
        <w:widowControl/>
        <w:spacing w:line="560" w:lineRule="exact"/>
        <w:ind w:firstLine="645"/>
        <w:jc w:val="left"/>
        <w:rPr>
          <w:rFonts w:eastAsia="仿宋_GB2312"/>
          <w:sz w:val="32"/>
          <w:szCs w:val="32"/>
        </w:rPr>
      </w:pPr>
    </w:p>
    <w:p w14:paraId="47BBFFA5">
      <w:pPr>
        <w:widowControl/>
        <w:spacing w:line="560" w:lineRule="exact"/>
        <w:ind w:firstLine="645"/>
        <w:jc w:val="left"/>
        <w:rPr>
          <w:rFonts w:eastAsia="仿宋_GB2312"/>
          <w:sz w:val="32"/>
          <w:szCs w:val="32"/>
        </w:rPr>
      </w:pPr>
    </w:p>
    <w:p w14:paraId="2E40E7B4">
      <w:pPr>
        <w:widowControl/>
        <w:spacing w:line="560" w:lineRule="exact"/>
        <w:ind w:firstLine="645"/>
        <w:jc w:val="left"/>
        <w:rPr>
          <w:rFonts w:eastAsia="仿宋_GB2312"/>
          <w:sz w:val="32"/>
          <w:szCs w:val="32"/>
        </w:rPr>
      </w:pPr>
    </w:p>
    <w:p w14:paraId="015D4AE4">
      <w:pPr>
        <w:widowControl/>
        <w:spacing w:line="560" w:lineRule="exact"/>
        <w:ind w:firstLine="645"/>
        <w:jc w:val="left"/>
        <w:rPr>
          <w:rFonts w:eastAsia="仿宋_GB2312"/>
          <w:sz w:val="32"/>
          <w:szCs w:val="32"/>
        </w:rPr>
      </w:pPr>
    </w:p>
    <w:p w14:paraId="6AB56305">
      <w:pPr>
        <w:widowControl/>
        <w:spacing w:line="560" w:lineRule="exact"/>
        <w:ind w:firstLine="645"/>
        <w:jc w:val="left"/>
        <w:rPr>
          <w:rFonts w:eastAsia="仿宋_GB2312"/>
          <w:sz w:val="32"/>
          <w:szCs w:val="32"/>
        </w:rPr>
      </w:pPr>
    </w:p>
    <w:p w14:paraId="0CF0424F">
      <w:pPr>
        <w:widowControl/>
        <w:spacing w:line="560" w:lineRule="exact"/>
        <w:ind w:firstLine="645"/>
        <w:jc w:val="left"/>
        <w:rPr>
          <w:rFonts w:eastAsia="仿宋_GB2312"/>
          <w:sz w:val="32"/>
          <w:szCs w:val="32"/>
        </w:rPr>
      </w:pPr>
      <w:r>
        <w:rPr>
          <w:rFonts w:hint="eastAsia" w:eastAsia="仿宋_GB2312"/>
          <w:sz w:val="32"/>
          <w:szCs w:val="32"/>
        </w:rPr>
        <w:t>报告应包括以下附件：</w:t>
      </w:r>
    </w:p>
    <w:p w14:paraId="18276269">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14:paraId="6975FE09">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14:paraId="6766E5D3">
      <w:pPr>
        <w:widowControl/>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、项目支出绩效自评表（每个一级项目支出一张表）</w:t>
      </w:r>
    </w:p>
    <w:p w14:paraId="72C7CD9E">
      <w:pPr>
        <w:widowControl/>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、政府性基金预算支出情况表</w:t>
      </w:r>
    </w:p>
    <w:p w14:paraId="56BC93C2">
      <w:pPr>
        <w:widowControl/>
        <w:spacing w:line="56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、国有资本经营预算支出情况表</w:t>
      </w:r>
    </w:p>
    <w:p w14:paraId="0F371937">
      <w:pPr>
        <w:widowControl/>
        <w:spacing w:line="56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、社会保险基金预算支出情况表</w:t>
      </w:r>
    </w:p>
    <w:p w14:paraId="7D394D2C">
      <w:pPr>
        <w:spacing w:line="600" w:lineRule="exact"/>
        <w:ind w:firstLine="640" w:firstLineChars="200"/>
        <w:rPr>
          <w:rFonts w:eastAsia="黑体"/>
          <w:sz w:val="32"/>
          <w:szCs w:val="32"/>
        </w:rPr>
      </w:pPr>
    </w:p>
    <w:p w14:paraId="16CF4B5F">
      <w:pPr>
        <w:rPr>
          <w:rFonts w:ascii="黑体" w:eastAsia="黑体"/>
          <w:sz w:val="32"/>
          <w:szCs w:val="32"/>
        </w:rPr>
      </w:pPr>
      <w:r>
        <w:rPr>
          <w:rFonts w:eastAsia="黑体"/>
          <w:kern w:val="0"/>
          <w:sz w:val="32"/>
          <w:szCs w:val="32"/>
        </w:rPr>
        <w:br w:type="page"/>
      </w:r>
    </w:p>
    <w:p w14:paraId="60D6CFB8">
      <w:pPr>
        <w:spacing w:line="600" w:lineRule="exact"/>
        <w:rPr>
          <w:rFonts w:hint="eastAsia" w:ascii="黑体" w:hAnsi="宋体" w:eastAsia="黑体" w:cs="宋体"/>
          <w:kern w:val="0"/>
          <w:sz w:val="32"/>
          <w:szCs w:val="32"/>
        </w:rPr>
        <w:sectPr>
          <w:footerReference r:id="rId3" w:type="default"/>
          <w:footerReference r:id="rId4" w:type="even"/>
          <w:pgSz w:w="11905" w:h="16837"/>
          <w:pgMar w:top="1134" w:right="1134" w:bottom="1134" w:left="1134" w:header="0" w:footer="0" w:gutter="0"/>
          <w:pgBorders>
            <w:top w:val="none" w:sz="0" w:space="0"/>
            <w:left w:val="none" w:sz="0" w:space="0"/>
            <w:bottom w:val="none" w:sz="0" w:space="0"/>
            <w:right w:val="none" w:sz="0" w:space="0"/>
          </w:pgBorders>
          <w:pgNumType w:start="1"/>
          <w:cols w:space="0" w:num="1"/>
          <w:rtlGutter w:val="0"/>
          <w:docGrid w:linePitch="636" w:charSpace="0"/>
        </w:sectPr>
      </w:pPr>
    </w:p>
    <w:p w14:paraId="7AA966AE">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7F5CEF5B">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县委编办整体支出绩效自评表</w:t>
      </w:r>
    </w:p>
    <w:tbl>
      <w:tblPr>
        <w:tblStyle w:val="5"/>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14:paraId="4165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14:paraId="26BA66F1">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一级</w:t>
            </w:r>
          </w:p>
          <w:p w14:paraId="28A5A7BF">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14:paraId="27485C69">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二级</w:t>
            </w:r>
          </w:p>
          <w:p w14:paraId="0EC59F3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14:paraId="5886462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14:paraId="1EADEBF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14:paraId="619B28A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14:paraId="3BBCF20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14:paraId="0160114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14:paraId="2EFDA7C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14:paraId="1B95F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14:paraId="7AC67820">
            <w:pPr>
              <w:keepNext w:val="0"/>
              <w:keepLines w:val="0"/>
              <w:widowControl/>
              <w:suppressLineNumbers w:val="0"/>
              <w:jc w:val="center"/>
              <w:textAlignment w:val="center"/>
              <w:rPr>
                <w:rStyle w:val="9"/>
                <w:lang w:val="en-US" w:eastAsia="zh-CN" w:bidi="ar"/>
              </w:rPr>
            </w:pPr>
            <w:r>
              <w:rPr>
                <w:rStyle w:val="9"/>
                <w:lang w:val="en-US" w:eastAsia="zh-CN" w:bidi="ar"/>
              </w:rPr>
              <w:t>投入</w:t>
            </w:r>
          </w:p>
          <w:p w14:paraId="476A0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r>
              <w:rPr>
                <w:rStyle w:val="10"/>
                <w:rFonts w:eastAsia="宋体"/>
                <w:lang w:val="en-US" w:eastAsia="zh-CN" w:bidi="ar"/>
              </w:rPr>
              <w:t>14</w:t>
            </w:r>
            <w:r>
              <w:rPr>
                <w:rStyle w:val="9"/>
                <w:lang w:val="en-US" w:eastAsia="zh-CN" w:bidi="ar"/>
              </w:rPr>
              <w:t>分）</w:t>
            </w:r>
          </w:p>
        </w:tc>
        <w:tc>
          <w:tcPr>
            <w:tcW w:w="870" w:type="dxa"/>
            <w:vMerge w:val="restart"/>
            <w:tcBorders>
              <w:tl2br w:val="nil"/>
              <w:tr2bl w:val="nil"/>
            </w:tcBorders>
            <w:noWrap w:val="0"/>
            <w:vAlign w:val="center"/>
          </w:tcPr>
          <w:p w14:paraId="2A26F642">
            <w:pPr>
              <w:keepNext w:val="0"/>
              <w:keepLines w:val="0"/>
              <w:widowControl/>
              <w:suppressLineNumbers w:val="0"/>
              <w:jc w:val="center"/>
              <w:textAlignment w:val="center"/>
              <w:rPr>
                <w:rStyle w:val="9"/>
                <w:lang w:val="en-US" w:eastAsia="zh-CN" w:bidi="ar"/>
              </w:rPr>
            </w:pPr>
            <w:r>
              <w:rPr>
                <w:rStyle w:val="9"/>
                <w:lang w:val="en-US" w:eastAsia="zh-CN" w:bidi="ar"/>
              </w:rPr>
              <w:t>目标</w:t>
            </w:r>
          </w:p>
          <w:p w14:paraId="308CB4EC">
            <w:pPr>
              <w:keepNext w:val="0"/>
              <w:keepLines w:val="0"/>
              <w:widowControl/>
              <w:suppressLineNumbers w:val="0"/>
              <w:jc w:val="center"/>
              <w:textAlignment w:val="center"/>
              <w:rPr>
                <w:rStyle w:val="9"/>
                <w:lang w:val="en-US" w:eastAsia="zh-CN" w:bidi="ar"/>
              </w:rPr>
            </w:pPr>
            <w:r>
              <w:rPr>
                <w:rStyle w:val="9"/>
                <w:lang w:val="en-US" w:eastAsia="zh-CN" w:bidi="ar"/>
              </w:rPr>
              <w:t>设定</w:t>
            </w:r>
          </w:p>
          <w:p w14:paraId="4C20C8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w:t>
            </w:r>
            <w:r>
              <w:rPr>
                <w:rStyle w:val="10"/>
                <w:rFonts w:eastAsia="宋体"/>
                <w:lang w:val="en-US" w:eastAsia="zh-CN" w:bidi="ar"/>
              </w:rPr>
              <w:t>7</w:t>
            </w:r>
            <w:r>
              <w:rPr>
                <w:rStyle w:val="9"/>
                <w:lang w:val="en-US" w:eastAsia="zh-CN" w:bidi="ar"/>
              </w:rPr>
              <w:t>分）</w:t>
            </w:r>
          </w:p>
        </w:tc>
        <w:tc>
          <w:tcPr>
            <w:tcW w:w="1050" w:type="dxa"/>
            <w:tcBorders>
              <w:tl2br w:val="nil"/>
              <w:tr2bl w:val="nil"/>
            </w:tcBorders>
            <w:noWrap w:val="0"/>
            <w:vAlign w:val="center"/>
          </w:tcPr>
          <w:p w14:paraId="05FE3FC6">
            <w:pPr>
              <w:keepNext w:val="0"/>
              <w:keepLines w:val="0"/>
              <w:widowControl/>
              <w:suppressLineNumbers w:val="0"/>
              <w:jc w:val="center"/>
              <w:textAlignment w:val="center"/>
              <w:rPr>
                <w:rStyle w:val="9"/>
                <w:lang w:val="en-US" w:eastAsia="zh-CN" w:bidi="ar"/>
              </w:rPr>
            </w:pPr>
            <w:r>
              <w:rPr>
                <w:rStyle w:val="9"/>
                <w:lang w:val="en-US" w:eastAsia="zh-CN" w:bidi="ar"/>
              </w:rPr>
              <w:t>绩效目标</w:t>
            </w:r>
          </w:p>
          <w:p w14:paraId="0EDF7F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合理性</w:t>
            </w:r>
          </w:p>
        </w:tc>
        <w:tc>
          <w:tcPr>
            <w:tcW w:w="495" w:type="dxa"/>
            <w:tcBorders>
              <w:tl2br w:val="nil"/>
              <w:tr2bl w:val="nil"/>
            </w:tcBorders>
            <w:noWrap w:val="0"/>
            <w:vAlign w:val="center"/>
          </w:tcPr>
          <w:p w14:paraId="29B53D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13087B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14:paraId="5F663AFF">
            <w:pPr>
              <w:keepNext w:val="0"/>
              <w:keepLines w:val="0"/>
              <w:widowControl/>
              <w:suppressLineNumbers w:val="0"/>
              <w:jc w:val="left"/>
              <w:textAlignment w:val="center"/>
              <w:rPr>
                <w:rStyle w:val="9"/>
                <w:lang w:val="en-US" w:eastAsia="zh-CN" w:bidi="ar"/>
              </w:rPr>
            </w:pPr>
            <w:r>
              <w:rPr>
                <w:rStyle w:val="9"/>
                <w:lang w:val="en-US" w:eastAsia="zh-CN" w:bidi="ar"/>
              </w:rPr>
              <w:t>①是否符合国家法律法规、国民经济和社会发展总体规划；</w:t>
            </w:r>
          </w:p>
          <w:p w14:paraId="660A7917">
            <w:pPr>
              <w:keepNext w:val="0"/>
              <w:keepLines w:val="0"/>
              <w:widowControl/>
              <w:suppressLineNumbers w:val="0"/>
              <w:jc w:val="left"/>
              <w:textAlignment w:val="center"/>
              <w:rPr>
                <w:rStyle w:val="9"/>
                <w:lang w:val="en-US" w:eastAsia="zh-CN" w:bidi="ar"/>
              </w:rPr>
            </w:pPr>
            <w:r>
              <w:rPr>
                <w:rStyle w:val="9"/>
                <w:lang w:val="en-US" w:eastAsia="zh-CN" w:bidi="ar"/>
              </w:rPr>
              <w:t>②是否符合部门</w:t>
            </w:r>
            <w:r>
              <w:rPr>
                <w:rStyle w:val="10"/>
                <w:rFonts w:eastAsia="宋体"/>
                <w:lang w:val="en-US" w:eastAsia="zh-CN" w:bidi="ar"/>
              </w:rPr>
              <w:t>“</w:t>
            </w:r>
            <w:r>
              <w:rPr>
                <w:rStyle w:val="9"/>
                <w:lang w:val="en-US" w:eastAsia="zh-CN" w:bidi="ar"/>
              </w:rPr>
              <w:t>三定</w:t>
            </w:r>
            <w:r>
              <w:rPr>
                <w:rStyle w:val="10"/>
                <w:rFonts w:eastAsia="宋体"/>
                <w:lang w:val="en-US" w:eastAsia="zh-CN" w:bidi="ar"/>
              </w:rPr>
              <w:t>”</w:t>
            </w:r>
            <w:r>
              <w:rPr>
                <w:rStyle w:val="9"/>
                <w:lang w:val="en-US" w:eastAsia="zh-CN" w:bidi="ar"/>
              </w:rPr>
              <w:t>方案确定的职责；</w:t>
            </w:r>
          </w:p>
          <w:p w14:paraId="07681DF1">
            <w:pPr>
              <w:keepNext w:val="0"/>
              <w:keepLines w:val="0"/>
              <w:widowControl/>
              <w:suppressLineNumbers w:val="0"/>
              <w:jc w:val="left"/>
              <w:textAlignment w:val="center"/>
              <w:rPr>
                <w:rStyle w:val="9"/>
                <w:lang w:val="en-US" w:eastAsia="zh-CN" w:bidi="ar"/>
              </w:rPr>
            </w:pPr>
            <w:r>
              <w:rPr>
                <w:rStyle w:val="9"/>
                <w:lang w:val="en-US" w:eastAsia="zh-CN" w:bidi="ar"/>
              </w:rPr>
              <w:t>③是否符合部门制定的中长期实施规划。</w:t>
            </w:r>
          </w:p>
          <w:p w14:paraId="063603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以上各项每发现一起不符合要求扣</w:t>
            </w:r>
            <w:r>
              <w:rPr>
                <w:rStyle w:val="10"/>
                <w:rFonts w:eastAsia="宋体"/>
                <w:lang w:val="en-US" w:eastAsia="zh-CN" w:bidi="ar"/>
              </w:rPr>
              <w:t>1</w:t>
            </w:r>
            <w:r>
              <w:rPr>
                <w:rStyle w:val="9"/>
                <w:lang w:val="en-US" w:eastAsia="zh-CN" w:bidi="ar"/>
              </w:rPr>
              <w:t>分，扣完为止。</w:t>
            </w:r>
          </w:p>
        </w:tc>
        <w:tc>
          <w:tcPr>
            <w:tcW w:w="2115" w:type="dxa"/>
            <w:tcBorders>
              <w:tl2br w:val="nil"/>
              <w:tr2bl w:val="nil"/>
            </w:tcBorders>
            <w:noWrap w:val="0"/>
            <w:vAlign w:val="center"/>
          </w:tcPr>
          <w:p w14:paraId="3F6EF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0"/>
                <w:rFonts w:eastAsia="宋体"/>
                <w:lang w:val="en-US" w:eastAsia="zh-CN" w:bidi="ar"/>
              </w:rPr>
              <w:t>“</w:t>
            </w:r>
            <w:r>
              <w:rPr>
                <w:rStyle w:val="9"/>
                <w:lang w:val="en-US" w:eastAsia="zh-CN" w:bidi="ar"/>
              </w:rPr>
              <w:t>三定</w:t>
            </w:r>
            <w:r>
              <w:rPr>
                <w:rStyle w:val="10"/>
                <w:rFonts w:eastAsia="宋体"/>
                <w:lang w:val="en-US" w:eastAsia="zh-CN" w:bidi="ar"/>
              </w:rPr>
              <w:t>”</w:t>
            </w:r>
            <w:r>
              <w:rPr>
                <w:rStyle w:val="9"/>
                <w:lang w:val="en-US" w:eastAsia="zh-CN" w:bidi="ar"/>
              </w:rPr>
              <w:t>方案；部门职责；部门制定的中长期实施规划等。</w:t>
            </w:r>
          </w:p>
        </w:tc>
        <w:tc>
          <w:tcPr>
            <w:tcW w:w="586" w:type="dxa"/>
            <w:tcBorders>
              <w:tl2br w:val="nil"/>
              <w:tr2bl w:val="nil"/>
            </w:tcBorders>
            <w:noWrap w:val="0"/>
            <w:vAlign w:val="center"/>
          </w:tcPr>
          <w:p w14:paraId="48190C23">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2A442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14:paraId="727885A9">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8F90A52">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616D533D">
            <w:pPr>
              <w:keepNext w:val="0"/>
              <w:keepLines w:val="0"/>
              <w:widowControl/>
              <w:suppressLineNumbers w:val="0"/>
              <w:jc w:val="center"/>
              <w:textAlignment w:val="center"/>
              <w:rPr>
                <w:rStyle w:val="9"/>
                <w:lang w:val="en-US" w:eastAsia="zh-CN" w:bidi="ar"/>
              </w:rPr>
            </w:pPr>
            <w:r>
              <w:rPr>
                <w:rStyle w:val="9"/>
                <w:lang w:val="en-US" w:eastAsia="zh-CN" w:bidi="ar"/>
              </w:rPr>
              <w:t>绩效指标</w:t>
            </w:r>
          </w:p>
          <w:p w14:paraId="0A191C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明确性</w:t>
            </w:r>
          </w:p>
        </w:tc>
        <w:tc>
          <w:tcPr>
            <w:tcW w:w="495" w:type="dxa"/>
            <w:tcBorders>
              <w:tl2br w:val="nil"/>
              <w:tr2bl w:val="nil"/>
            </w:tcBorders>
            <w:noWrap w:val="0"/>
            <w:vAlign w:val="center"/>
          </w:tcPr>
          <w:p w14:paraId="24290E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4A2AA77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14:paraId="0A45564F">
            <w:pPr>
              <w:keepNext w:val="0"/>
              <w:keepLines w:val="0"/>
              <w:widowControl/>
              <w:suppressLineNumbers w:val="0"/>
              <w:jc w:val="left"/>
              <w:textAlignment w:val="center"/>
              <w:rPr>
                <w:rStyle w:val="9"/>
                <w:lang w:val="en-US" w:eastAsia="zh-CN" w:bidi="ar"/>
              </w:rPr>
            </w:pPr>
          </w:p>
          <w:p w14:paraId="659D13DF">
            <w:pPr>
              <w:keepNext w:val="0"/>
              <w:keepLines w:val="0"/>
              <w:widowControl/>
              <w:suppressLineNumbers w:val="0"/>
              <w:jc w:val="left"/>
              <w:textAlignment w:val="center"/>
              <w:rPr>
                <w:rStyle w:val="9"/>
                <w:lang w:val="en-US" w:eastAsia="zh-CN" w:bidi="ar"/>
              </w:rPr>
            </w:pPr>
            <w:r>
              <w:rPr>
                <w:rStyle w:val="9"/>
                <w:lang w:val="en-US" w:eastAsia="zh-CN" w:bidi="ar"/>
              </w:rPr>
              <w:t>①有目标，计</w:t>
            </w:r>
            <w:r>
              <w:rPr>
                <w:rStyle w:val="10"/>
                <w:rFonts w:eastAsia="宋体"/>
                <w:lang w:val="en-US" w:eastAsia="zh-CN" w:bidi="ar"/>
              </w:rPr>
              <w:t>1</w:t>
            </w:r>
            <w:r>
              <w:rPr>
                <w:rStyle w:val="9"/>
                <w:lang w:val="en-US" w:eastAsia="zh-CN" w:bidi="ar"/>
              </w:rPr>
              <w:t>分，否则不得分；</w:t>
            </w:r>
          </w:p>
          <w:p w14:paraId="01E162C6">
            <w:pPr>
              <w:keepNext w:val="0"/>
              <w:keepLines w:val="0"/>
              <w:widowControl/>
              <w:suppressLineNumbers w:val="0"/>
              <w:jc w:val="left"/>
              <w:textAlignment w:val="center"/>
              <w:rPr>
                <w:rStyle w:val="9"/>
                <w:lang w:val="en-US" w:eastAsia="zh-CN" w:bidi="ar"/>
              </w:rPr>
            </w:pPr>
            <w:r>
              <w:rPr>
                <w:rStyle w:val="9"/>
                <w:lang w:val="en-US" w:eastAsia="zh-CN" w:bidi="ar"/>
              </w:rPr>
              <w:t>②目标明确，细化量化良好，个性指标中量化指标超过</w:t>
            </w:r>
            <w:r>
              <w:rPr>
                <w:rStyle w:val="10"/>
                <w:rFonts w:eastAsia="宋体"/>
                <w:lang w:val="en-US" w:eastAsia="zh-CN" w:bidi="ar"/>
              </w:rPr>
              <w:t>3</w:t>
            </w:r>
            <w:r>
              <w:rPr>
                <w:rStyle w:val="9"/>
                <w:lang w:val="en-US" w:eastAsia="zh-CN" w:bidi="ar"/>
              </w:rPr>
              <w:t>个，计</w:t>
            </w:r>
            <w:r>
              <w:rPr>
                <w:rStyle w:val="10"/>
                <w:rFonts w:eastAsia="宋体"/>
                <w:lang w:val="en-US" w:eastAsia="zh-CN" w:bidi="ar"/>
              </w:rPr>
              <w:t>1</w:t>
            </w:r>
            <w:r>
              <w:rPr>
                <w:rStyle w:val="9"/>
                <w:lang w:val="en-US" w:eastAsia="zh-CN" w:bidi="ar"/>
              </w:rPr>
              <w:t>分，量化指标为</w:t>
            </w:r>
            <w:r>
              <w:rPr>
                <w:rStyle w:val="10"/>
                <w:rFonts w:eastAsia="宋体"/>
                <w:lang w:val="en-US" w:eastAsia="zh-CN" w:bidi="ar"/>
              </w:rPr>
              <w:t>2</w:t>
            </w:r>
            <w:r>
              <w:rPr>
                <w:rStyle w:val="9"/>
                <w:lang w:val="en-US" w:eastAsia="zh-CN" w:bidi="ar"/>
              </w:rPr>
              <w:t>个，计</w:t>
            </w:r>
            <w:r>
              <w:rPr>
                <w:rStyle w:val="10"/>
                <w:rFonts w:eastAsia="宋体"/>
                <w:lang w:val="en-US" w:eastAsia="zh-CN" w:bidi="ar"/>
              </w:rPr>
              <w:t>0.5</w:t>
            </w:r>
            <w:r>
              <w:rPr>
                <w:rStyle w:val="9"/>
                <w:lang w:val="en-US" w:eastAsia="zh-CN" w:bidi="ar"/>
              </w:rPr>
              <w:t>分，</w:t>
            </w:r>
            <w:r>
              <w:rPr>
                <w:rStyle w:val="10"/>
                <w:rFonts w:eastAsia="宋体"/>
                <w:lang w:val="en-US" w:eastAsia="zh-CN" w:bidi="ar"/>
              </w:rPr>
              <w:t>2</w:t>
            </w:r>
            <w:r>
              <w:rPr>
                <w:rStyle w:val="9"/>
                <w:lang w:val="en-US" w:eastAsia="zh-CN" w:bidi="ar"/>
              </w:rPr>
              <w:t>个以下不得分；</w:t>
            </w:r>
          </w:p>
          <w:p w14:paraId="421CD9F4">
            <w:pPr>
              <w:keepNext w:val="0"/>
              <w:keepLines w:val="0"/>
              <w:widowControl/>
              <w:suppressLineNumbers w:val="0"/>
              <w:jc w:val="left"/>
              <w:textAlignment w:val="center"/>
              <w:rPr>
                <w:rStyle w:val="9"/>
                <w:lang w:val="en-US" w:eastAsia="zh-CN" w:bidi="ar"/>
              </w:rPr>
            </w:pPr>
            <w:r>
              <w:rPr>
                <w:rStyle w:val="9"/>
                <w:lang w:val="en-US" w:eastAsia="zh-CN" w:bidi="ar"/>
              </w:rPr>
              <w:t>③与年度任务数或计划数相对应，计</w:t>
            </w:r>
            <w:r>
              <w:rPr>
                <w:rStyle w:val="10"/>
                <w:rFonts w:eastAsia="宋体"/>
                <w:lang w:val="en-US" w:eastAsia="zh-CN" w:bidi="ar"/>
              </w:rPr>
              <w:t>1</w:t>
            </w:r>
            <w:r>
              <w:rPr>
                <w:rStyle w:val="9"/>
                <w:lang w:val="en-US" w:eastAsia="zh-CN" w:bidi="ar"/>
              </w:rPr>
              <w:t>分，大于</w:t>
            </w:r>
            <w:r>
              <w:rPr>
                <w:rStyle w:val="10"/>
                <w:rFonts w:eastAsia="宋体"/>
                <w:lang w:val="en-US" w:eastAsia="zh-CN" w:bidi="ar"/>
              </w:rPr>
              <w:t>50%</w:t>
            </w:r>
            <w:r>
              <w:rPr>
                <w:rStyle w:val="9"/>
                <w:lang w:val="en-US" w:eastAsia="zh-CN" w:bidi="ar"/>
              </w:rPr>
              <w:t>计</w:t>
            </w:r>
            <w:r>
              <w:rPr>
                <w:rStyle w:val="10"/>
                <w:rFonts w:eastAsia="宋体"/>
                <w:lang w:val="en-US" w:eastAsia="zh-CN" w:bidi="ar"/>
              </w:rPr>
              <w:t>0.5</w:t>
            </w:r>
            <w:r>
              <w:rPr>
                <w:rStyle w:val="9"/>
                <w:lang w:val="en-US" w:eastAsia="zh-CN" w:bidi="ar"/>
              </w:rPr>
              <w:t>分，对应低于</w:t>
            </w:r>
            <w:r>
              <w:rPr>
                <w:rStyle w:val="10"/>
                <w:rFonts w:eastAsia="宋体"/>
                <w:lang w:val="en-US" w:eastAsia="zh-CN" w:bidi="ar"/>
              </w:rPr>
              <w:t>50%</w:t>
            </w:r>
            <w:r>
              <w:rPr>
                <w:rStyle w:val="9"/>
                <w:lang w:val="en-US" w:eastAsia="zh-CN" w:bidi="ar"/>
              </w:rPr>
              <w:t>不计分；</w:t>
            </w:r>
          </w:p>
          <w:p w14:paraId="0F05E9F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④目标与资金匹配良好，逻辑关系明确，计</w:t>
            </w:r>
            <w:r>
              <w:rPr>
                <w:rStyle w:val="10"/>
                <w:rFonts w:eastAsia="宋体"/>
                <w:lang w:val="en-US" w:eastAsia="zh-CN" w:bidi="ar"/>
              </w:rPr>
              <w:t>1</w:t>
            </w:r>
            <w:r>
              <w:rPr>
                <w:rStyle w:val="9"/>
                <w:lang w:val="en-US" w:eastAsia="zh-CN" w:bidi="ar"/>
              </w:rPr>
              <w:t>分，否则不得分。</w:t>
            </w:r>
          </w:p>
        </w:tc>
        <w:tc>
          <w:tcPr>
            <w:tcW w:w="2115" w:type="dxa"/>
            <w:tcBorders>
              <w:tl2br w:val="nil"/>
              <w:tr2bl w:val="nil"/>
            </w:tcBorders>
            <w:noWrap w:val="0"/>
            <w:vAlign w:val="center"/>
          </w:tcPr>
          <w:p w14:paraId="706DB70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绩效目标申报表；年度任务数或计划数；预算批复等。</w:t>
            </w:r>
          </w:p>
        </w:tc>
        <w:tc>
          <w:tcPr>
            <w:tcW w:w="586" w:type="dxa"/>
            <w:tcBorders>
              <w:tl2br w:val="nil"/>
              <w:tr2bl w:val="nil"/>
            </w:tcBorders>
            <w:noWrap w:val="0"/>
            <w:vAlign w:val="center"/>
          </w:tcPr>
          <w:p w14:paraId="7704036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1084A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0AC5586C">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32C3C8BE">
            <w:pPr>
              <w:keepNext w:val="0"/>
              <w:keepLines w:val="0"/>
              <w:widowControl/>
              <w:suppressLineNumbers w:val="0"/>
              <w:jc w:val="center"/>
              <w:textAlignment w:val="center"/>
              <w:rPr>
                <w:rStyle w:val="9"/>
                <w:lang w:val="en-US" w:eastAsia="zh-CN" w:bidi="ar"/>
              </w:rPr>
            </w:pPr>
            <w:r>
              <w:rPr>
                <w:rStyle w:val="9"/>
                <w:lang w:val="en-US" w:eastAsia="zh-CN" w:bidi="ar"/>
              </w:rPr>
              <w:t>预算</w:t>
            </w:r>
          </w:p>
          <w:p w14:paraId="4CCAA66F">
            <w:pPr>
              <w:keepNext w:val="0"/>
              <w:keepLines w:val="0"/>
              <w:widowControl/>
              <w:suppressLineNumbers w:val="0"/>
              <w:jc w:val="center"/>
              <w:textAlignment w:val="center"/>
              <w:rPr>
                <w:rStyle w:val="9"/>
                <w:lang w:val="en-US" w:eastAsia="zh-CN" w:bidi="ar"/>
              </w:rPr>
            </w:pPr>
            <w:r>
              <w:rPr>
                <w:rStyle w:val="9"/>
                <w:lang w:val="en-US" w:eastAsia="zh-CN" w:bidi="ar"/>
              </w:rPr>
              <w:t>配置</w:t>
            </w:r>
          </w:p>
          <w:p w14:paraId="7B527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r>
              <w:rPr>
                <w:rStyle w:val="10"/>
                <w:rFonts w:eastAsia="宋体"/>
                <w:lang w:val="en-US" w:eastAsia="zh-CN" w:bidi="ar"/>
              </w:rPr>
              <w:t>7</w:t>
            </w:r>
            <w:r>
              <w:rPr>
                <w:rStyle w:val="9"/>
                <w:lang w:val="en-US" w:eastAsia="zh-CN" w:bidi="ar"/>
              </w:rPr>
              <w:t>分）</w:t>
            </w:r>
          </w:p>
        </w:tc>
        <w:tc>
          <w:tcPr>
            <w:tcW w:w="1050" w:type="dxa"/>
            <w:tcBorders>
              <w:tl2br w:val="nil"/>
              <w:tr2bl w:val="nil"/>
            </w:tcBorders>
            <w:noWrap w:val="0"/>
            <w:vAlign w:val="center"/>
          </w:tcPr>
          <w:p w14:paraId="6EB4C84D">
            <w:pPr>
              <w:keepNext w:val="0"/>
              <w:keepLines w:val="0"/>
              <w:widowControl/>
              <w:suppressLineNumbers w:val="0"/>
              <w:jc w:val="center"/>
              <w:textAlignment w:val="center"/>
              <w:rPr>
                <w:rStyle w:val="9"/>
                <w:lang w:val="en-US" w:eastAsia="zh-CN" w:bidi="ar"/>
              </w:rPr>
            </w:pPr>
            <w:r>
              <w:rPr>
                <w:rStyle w:val="9"/>
                <w:lang w:val="en-US" w:eastAsia="zh-CN" w:bidi="ar"/>
              </w:rPr>
              <w:t>人员</w:t>
            </w:r>
          </w:p>
          <w:p w14:paraId="331290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控制率</w:t>
            </w:r>
          </w:p>
        </w:tc>
        <w:tc>
          <w:tcPr>
            <w:tcW w:w="495" w:type="dxa"/>
            <w:tcBorders>
              <w:tl2br w:val="nil"/>
              <w:tr2bl w:val="nil"/>
            </w:tcBorders>
            <w:noWrap w:val="0"/>
            <w:vAlign w:val="center"/>
          </w:tcPr>
          <w:p w14:paraId="0D4F21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0E2C96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14:paraId="66784871">
            <w:pPr>
              <w:keepNext w:val="0"/>
              <w:keepLines w:val="0"/>
              <w:widowControl/>
              <w:suppressLineNumbers w:val="0"/>
              <w:jc w:val="left"/>
              <w:textAlignment w:val="center"/>
              <w:rPr>
                <w:rStyle w:val="9"/>
                <w:lang w:val="en-US" w:eastAsia="zh-CN" w:bidi="ar"/>
              </w:rPr>
            </w:pPr>
          </w:p>
          <w:p w14:paraId="7AD1CA84">
            <w:pPr>
              <w:keepNext w:val="0"/>
              <w:keepLines w:val="0"/>
              <w:widowControl/>
              <w:suppressLineNumbers w:val="0"/>
              <w:jc w:val="left"/>
              <w:textAlignment w:val="center"/>
              <w:rPr>
                <w:rStyle w:val="9"/>
                <w:lang w:val="en-US" w:eastAsia="zh-CN" w:bidi="ar"/>
              </w:rPr>
            </w:pPr>
            <w:r>
              <w:rPr>
                <w:rStyle w:val="9"/>
                <w:lang w:val="en-US" w:eastAsia="zh-CN" w:bidi="ar"/>
              </w:rPr>
              <w:t>在职人员控制率</w:t>
            </w:r>
            <w:r>
              <w:rPr>
                <w:rStyle w:val="10"/>
                <w:rFonts w:eastAsia="宋体"/>
                <w:lang w:val="en-US" w:eastAsia="zh-CN" w:bidi="ar"/>
              </w:rPr>
              <w:t>=</w:t>
            </w:r>
            <w:r>
              <w:rPr>
                <w:rStyle w:val="9"/>
                <w:lang w:val="en-US" w:eastAsia="zh-CN" w:bidi="ar"/>
              </w:rPr>
              <w:t>（在职人员数</w:t>
            </w:r>
            <w:r>
              <w:rPr>
                <w:rStyle w:val="10"/>
                <w:rFonts w:eastAsia="宋体"/>
                <w:lang w:val="en-US" w:eastAsia="zh-CN" w:bidi="ar"/>
              </w:rPr>
              <w:t>/</w:t>
            </w:r>
            <w:r>
              <w:rPr>
                <w:rStyle w:val="9"/>
                <w:lang w:val="en-US" w:eastAsia="zh-CN" w:bidi="ar"/>
              </w:rPr>
              <w:t>编制数）</w:t>
            </w:r>
            <w:r>
              <w:rPr>
                <w:rStyle w:val="10"/>
                <w:rFonts w:eastAsia="宋体"/>
                <w:lang w:val="en-US" w:eastAsia="zh-CN" w:bidi="ar"/>
              </w:rPr>
              <w:t>×100%</w:t>
            </w:r>
            <w:r>
              <w:rPr>
                <w:rStyle w:val="9"/>
                <w:lang w:val="en-US" w:eastAsia="zh-CN" w:bidi="ar"/>
              </w:rPr>
              <w:t>。</w:t>
            </w:r>
          </w:p>
          <w:p w14:paraId="1466B5D9">
            <w:pPr>
              <w:keepNext w:val="0"/>
              <w:keepLines w:val="0"/>
              <w:widowControl/>
              <w:suppressLineNumbers w:val="0"/>
              <w:jc w:val="left"/>
              <w:textAlignment w:val="center"/>
              <w:rPr>
                <w:rStyle w:val="9"/>
                <w:lang w:val="en-US" w:eastAsia="zh-CN" w:bidi="ar"/>
              </w:rPr>
            </w:pPr>
            <w:r>
              <w:rPr>
                <w:rStyle w:val="9"/>
                <w:lang w:val="en-US" w:eastAsia="zh-CN" w:bidi="ar"/>
              </w:rPr>
              <w:t>在职人员数：部门（单位）实际在职人数</w:t>
            </w:r>
            <w:r>
              <w:rPr>
                <w:rStyle w:val="10"/>
                <w:rFonts w:eastAsia="宋体"/>
                <w:lang w:val="en-US" w:eastAsia="zh-CN" w:bidi="ar"/>
              </w:rPr>
              <w:t>,</w:t>
            </w:r>
            <w:r>
              <w:rPr>
                <w:rStyle w:val="9"/>
                <w:lang w:val="en-US" w:eastAsia="zh-CN" w:bidi="ar"/>
              </w:rPr>
              <w:t>以财政部门确定的部门决算编制口径为准。</w:t>
            </w:r>
          </w:p>
          <w:p w14:paraId="7BAD0569">
            <w:pPr>
              <w:keepNext w:val="0"/>
              <w:keepLines w:val="0"/>
              <w:widowControl/>
              <w:suppressLineNumbers w:val="0"/>
              <w:jc w:val="left"/>
              <w:textAlignment w:val="center"/>
              <w:rPr>
                <w:rStyle w:val="10"/>
                <w:rFonts w:eastAsia="宋体"/>
                <w:lang w:val="en-US" w:eastAsia="zh-CN" w:bidi="ar"/>
              </w:rPr>
            </w:pPr>
            <w:r>
              <w:rPr>
                <w:rStyle w:val="9"/>
                <w:lang w:val="en-US" w:eastAsia="zh-CN" w:bidi="ar"/>
              </w:rPr>
              <w:t>编制数：机构编制部门核定批复的部门（单位）人员编制数。</w:t>
            </w:r>
            <w:r>
              <w:rPr>
                <w:rStyle w:val="10"/>
                <w:rFonts w:eastAsia="宋体"/>
                <w:lang w:val="en-US" w:eastAsia="zh-CN" w:bidi="ar"/>
              </w:rPr>
              <w:t xml:space="preserve">   </w:t>
            </w:r>
          </w:p>
          <w:p w14:paraId="7C2022E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在职人员控制率≦</w:t>
            </w:r>
            <w:r>
              <w:rPr>
                <w:rStyle w:val="10"/>
                <w:rFonts w:eastAsia="宋体"/>
                <w:lang w:val="en-US" w:eastAsia="zh-CN" w:bidi="ar"/>
              </w:rPr>
              <w:t>100%</w:t>
            </w:r>
            <w:r>
              <w:rPr>
                <w:rStyle w:val="9"/>
                <w:lang w:val="en-US" w:eastAsia="zh-CN" w:bidi="ar"/>
              </w:rPr>
              <w:t>计</w:t>
            </w:r>
            <w:r>
              <w:rPr>
                <w:rStyle w:val="10"/>
                <w:rFonts w:eastAsia="宋体"/>
                <w:lang w:val="en-US" w:eastAsia="zh-CN" w:bidi="ar"/>
              </w:rPr>
              <w:t>2</w:t>
            </w:r>
            <w:r>
              <w:rPr>
                <w:rStyle w:val="9"/>
                <w:lang w:val="en-US" w:eastAsia="zh-CN" w:bidi="ar"/>
              </w:rPr>
              <w:t>分，每超出</w:t>
            </w:r>
            <w:r>
              <w:rPr>
                <w:rStyle w:val="10"/>
                <w:rFonts w:eastAsia="宋体"/>
                <w:lang w:val="en-US" w:eastAsia="zh-CN" w:bidi="ar"/>
              </w:rPr>
              <w:t>1%</w:t>
            </w:r>
            <w:r>
              <w:rPr>
                <w:rStyle w:val="9"/>
                <w:lang w:val="en-US" w:eastAsia="zh-CN" w:bidi="ar"/>
              </w:rPr>
              <w:t>扣</w:t>
            </w:r>
            <w:r>
              <w:rPr>
                <w:rStyle w:val="10"/>
                <w:rFonts w:eastAsia="宋体"/>
                <w:lang w:val="en-US" w:eastAsia="zh-CN" w:bidi="ar"/>
              </w:rPr>
              <w:t>0.2</w:t>
            </w:r>
            <w:r>
              <w:rPr>
                <w:rStyle w:val="9"/>
                <w:lang w:val="en-US" w:eastAsia="zh-CN" w:bidi="ar"/>
              </w:rPr>
              <w:t>分，扣完为止。</w:t>
            </w:r>
          </w:p>
        </w:tc>
        <w:tc>
          <w:tcPr>
            <w:tcW w:w="2115" w:type="dxa"/>
            <w:tcBorders>
              <w:tl2br w:val="nil"/>
              <w:tr2bl w:val="nil"/>
            </w:tcBorders>
            <w:noWrap w:val="0"/>
            <w:vAlign w:val="center"/>
          </w:tcPr>
          <w:p w14:paraId="534A611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部门（单位）决算报表；机构编制部门核定批复的部门（单位）的人员编制数。</w:t>
            </w:r>
          </w:p>
        </w:tc>
        <w:tc>
          <w:tcPr>
            <w:tcW w:w="586" w:type="dxa"/>
            <w:tcBorders>
              <w:tl2br w:val="nil"/>
              <w:tr2bl w:val="nil"/>
            </w:tcBorders>
            <w:noWrap w:val="0"/>
            <w:vAlign w:val="center"/>
          </w:tcPr>
          <w:p w14:paraId="30866443">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BDB2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14:paraId="5870CC30">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E9C4E5E">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FD65AE9">
            <w:pPr>
              <w:keepNext w:val="0"/>
              <w:keepLines w:val="0"/>
              <w:widowControl/>
              <w:suppressLineNumbers w:val="0"/>
              <w:jc w:val="center"/>
              <w:textAlignment w:val="center"/>
              <w:rPr>
                <w:rStyle w:val="10"/>
                <w:rFonts w:eastAsia="宋体"/>
                <w:lang w:val="en-US" w:eastAsia="zh-CN" w:bidi="ar"/>
              </w:rPr>
            </w:pP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p>
          <w:p w14:paraId="2349F5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变动率</w:t>
            </w:r>
          </w:p>
        </w:tc>
        <w:tc>
          <w:tcPr>
            <w:tcW w:w="495" w:type="dxa"/>
            <w:tcBorders>
              <w:tl2br w:val="nil"/>
              <w:tr2bl w:val="nil"/>
            </w:tcBorders>
            <w:noWrap w:val="0"/>
            <w:vAlign w:val="center"/>
          </w:tcPr>
          <w:p w14:paraId="55EEB0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24859A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部门本年度</w:t>
            </w: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预算数与上年度</w:t>
            </w: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预算数的变动比率，用以反映和考核部门对控制重点行政成本的努力程度。</w:t>
            </w:r>
          </w:p>
        </w:tc>
        <w:tc>
          <w:tcPr>
            <w:tcW w:w="5112" w:type="dxa"/>
            <w:tcBorders>
              <w:tl2br w:val="nil"/>
              <w:tr2bl w:val="nil"/>
            </w:tcBorders>
            <w:noWrap w:val="0"/>
            <w:vAlign w:val="center"/>
          </w:tcPr>
          <w:p w14:paraId="4BCFE7CF">
            <w:pPr>
              <w:keepNext w:val="0"/>
              <w:keepLines w:val="0"/>
              <w:widowControl/>
              <w:suppressLineNumbers w:val="0"/>
              <w:jc w:val="left"/>
              <w:textAlignment w:val="center"/>
              <w:rPr>
                <w:rStyle w:val="10"/>
                <w:rFonts w:eastAsia="宋体"/>
                <w:lang w:val="en-US" w:eastAsia="zh-CN" w:bidi="ar"/>
              </w:rPr>
            </w:pPr>
          </w:p>
          <w:p w14:paraId="2FC2DDC7">
            <w:pPr>
              <w:keepNext w:val="0"/>
              <w:keepLines w:val="0"/>
              <w:widowControl/>
              <w:suppressLineNumbers w:val="0"/>
              <w:jc w:val="left"/>
              <w:textAlignment w:val="center"/>
              <w:rPr>
                <w:rStyle w:val="9"/>
                <w:lang w:val="en-US" w:eastAsia="zh-CN" w:bidi="ar"/>
              </w:rPr>
            </w:pP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变动率</w:t>
            </w:r>
            <w:r>
              <w:rPr>
                <w:rStyle w:val="10"/>
                <w:rFonts w:eastAsia="宋体"/>
                <w:lang w:val="en-US" w:eastAsia="zh-CN" w:bidi="ar"/>
              </w:rPr>
              <w:t>=[</w:t>
            </w:r>
            <w:r>
              <w:rPr>
                <w:rStyle w:val="9"/>
                <w:lang w:val="en-US" w:eastAsia="zh-CN" w:bidi="ar"/>
              </w:rPr>
              <w:t>（本年度</w:t>
            </w: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总额</w:t>
            </w:r>
            <w:r>
              <w:rPr>
                <w:rStyle w:val="10"/>
                <w:rFonts w:eastAsia="宋体"/>
                <w:lang w:val="en-US" w:eastAsia="zh-CN" w:bidi="ar"/>
              </w:rPr>
              <w:t>-</w:t>
            </w:r>
            <w:r>
              <w:rPr>
                <w:rStyle w:val="9"/>
                <w:lang w:val="en-US" w:eastAsia="zh-CN" w:bidi="ar"/>
              </w:rPr>
              <w:t>上年度</w:t>
            </w: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总额）</w:t>
            </w:r>
            <w:r>
              <w:rPr>
                <w:rStyle w:val="10"/>
                <w:rFonts w:eastAsia="宋体"/>
                <w:lang w:val="en-US" w:eastAsia="zh-CN" w:bidi="ar"/>
              </w:rPr>
              <w:t>/</w:t>
            </w:r>
            <w:r>
              <w:rPr>
                <w:rStyle w:val="9"/>
                <w:lang w:val="en-US" w:eastAsia="zh-CN" w:bidi="ar"/>
              </w:rPr>
              <w:t>上年度</w:t>
            </w: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总额</w:t>
            </w:r>
            <w:r>
              <w:rPr>
                <w:rStyle w:val="10"/>
                <w:rFonts w:eastAsia="宋体"/>
                <w:lang w:val="en-US" w:eastAsia="zh-CN" w:bidi="ar"/>
              </w:rPr>
              <w:t>]×100%</w:t>
            </w:r>
            <w:r>
              <w:rPr>
                <w:rStyle w:val="9"/>
                <w:lang w:val="en-US" w:eastAsia="zh-CN" w:bidi="ar"/>
              </w:rPr>
              <w:t>。</w:t>
            </w: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：年度预算安排的因公出国（境）费、公务车辆购置及运行费和公务招待费。</w:t>
            </w:r>
          </w:p>
          <w:p w14:paraId="4B7D7D8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该项得分，变动率为负数，计</w:t>
            </w:r>
            <w:r>
              <w:rPr>
                <w:rStyle w:val="10"/>
                <w:rFonts w:eastAsia="宋体"/>
                <w:lang w:val="en-US" w:eastAsia="zh-CN" w:bidi="ar"/>
              </w:rPr>
              <w:t>2</w:t>
            </w:r>
            <w:r>
              <w:rPr>
                <w:rStyle w:val="9"/>
                <w:lang w:val="en-US" w:eastAsia="zh-CN" w:bidi="ar"/>
              </w:rPr>
              <w:t>分，变动率为正数，计</w:t>
            </w:r>
            <w:r>
              <w:rPr>
                <w:rStyle w:val="10"/>
                <w:rFonts w:eastAsia="宋体"/>
                <w:lang w:val="en-US" w:eastAsia="zh-CN" w:bidi="ar"/>
              </w:rPr>
              <w:t>0</w:t>
            </w:r>
            <w:r>
              <w:rPr>
                <w:rStyle w:val="9"/>
                <w:lang w:val="en-US" w:eastAsia="zh-CN" w:bidi="ar"/>
              </w:rPr>
              <w:t>分。年度内</w:t>
            </w: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完成数超过预算数，则该项计</w:t>
            </w:r>
            <w:r>
              <w:rPr>
                <w:rStyle w:val="10"/>
                <w:rFonts w:eastAsia="宋体"/>
                <w:lang w:val="en-US" w:eastAsia="zh-CN" w:bidi="ar"/>
              </w:rPr>
              <w:t>0</w:t>
            </w:r>
            <w:r>
              <w:rPr>
                <w:rStyle w:val="9"/>
                <w:lang w:val="en-US" w:eastAsia="zh-CN" w:bidi="ar"/>
              </w:rPr>
              <w:t>分。</w:t>
            </w:r>
          </w:p>
        </w:tc>
        <w:tc>
          <w:tcPr>
            <w:tcW w:w="2115" w:type="dxa"/>
            <w:tcBorders>
              <w:tl2br w:val="nil"/>
              <w:tr2bl w:val="nil"/>
            </w:tcBorders>
            <w:noWrap w:val="0"/>
            <w:vAlign w:val="center"/>
          </w:tcPr>
          <w:p w14:paraId="08521A6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本年度和上年度部门（单位）预算</w:t>
            </w: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报表；</w:t>
            </w:r>
          </w:p>
        </w:tc>
        <w:tc>
          <w:tcPr>
            <w:tcW w:w="586" w:type="dxa"/>
            <w:tcBorders>
              <w:tl2br w:val="nil"/>
              <w:tr2bl w:val="nil"/>
            </w:tcBorders>
            <w:noWrap w:val="0"/>
            <w:vAlign w:val="center"/>
          </w:tcPr>
          <w:p w14:paraId="4C847AA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75E29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14:paraId="6432B06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994691F">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ECF234A">
            <w:pPr>
              <w:keepNext w:val="0"/>
              <w:keepLines w:val="0"/>
              <w:widowControl/>
              <w:suppressLineNumbers w:val="0"/>
              <w:jc w:val="center"/>
              <w:textAlignment w:val="center"/>
              <w:rPr>
                <w:rStyle w:val="9"/>
                <w:lang w:val="en-US" w:eastAsia="zh-CN" w:bidi="ar"/>
              </w:rPr>
            </w:pPr>
            <w:r>
              <w:rPr>
                <w:rStyle w:val="9"/>
                <w:lang w:val="en-US" w:eastAsia="zh-CN" w:bidi="ar"/>
              </w:rPr>
              <w:t>重点</w:t>
            </w:r>
          </w:p>
          <w:p w14:paraId="25E6DA40">
            <w:pPr>
              <w:keepNext w:val="0"/>
              <w:keepLines w:val="0"/>
              <w:widowControl/>
              <w:suppressLineNumbers w:val="0"/>
              <w:jc w:val="center"/>
              <w:textAlignment w:val="center"/>
              <w:rPr>
                <w:rStyle w:val="9"/>
                <w:lang w:val="en-US" w:eastAsia="zh-CN" w:bidi="ar"/>
              </w:rPr>
            </w:pPr>
            <w:r>
              <w:rPr>
                <w:rStyle w:val="9"/>
                <w:lang w:val="en-US" w:eastAsia="zh-CN" w:bidi="ar"/>
              </w:rPr>
              <w:t>支出</w:t>
            </w:r>
          </w:p>
          <w:p w14:paraId="054FF7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安排率</w:t>
            </w:r>
          </w:p>
        </w:tc>
        <w:tc>
          <w:tcPr>
            <w:tcW w:w="495" w:type="dxa"/>
            <w:tcBorders>
              <w:tl2br w:val="nil"/>
              <w:tr2bl w:val="nil"/>
            </w:tcBorders>
            <w:noWrap w:val="0"/>
            <w:vAlign w:val="center"/>
          </w:tcPr>
          <w:p w14:paraId="626BCD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23829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14:paraId="772671BF">
            <w:pPr>
              <w:keepNext w:val="0"/>
              <w:keepLines w:val="0"/>
              <w:widowControl/>
              <w:suppressLineNumbers w:val="0"/>
              <w:jc w:val="left"/>
              <w:textAlignment w:val="center"/>
              <w:rPr>
                <w:rStyle w:val="9"/>
                <w:lang w:val="en-US" w:eastAsia="zh-CN" w:bidi="ar"/>
              </w:rPr>
            </w:pPr>
          </w:p>
          <w:p w14:paraId="5B65C2D3">
            <w:pPr>
              <w:keepNext w:val="0"/>
              <w:keepLines w:val="0"/>
              <w:widowControl/>
              <w:suppressLineNumbers w:val="0"/>
              <w:jc w:val="left"/>
              <w:textAlignment w:val="center"/>
              <w:rPr>
                <w:rStyle w:val="9"/>
                <w:lang w:val="en-US" w:eastAsia="zh-CN" w:bidi="ar"/>
              </w:rPr>
            </w:pPr>
            <w:r>
              <w:rPr>
                <w:rStyle w:val="9"/>
                <w:lang w:val="en-US" w:eastAsia="zh-CN" w:bidi="ar"/>
              </w:rPr>
              <w:t>重点支出安排率</w:t>
            </w:r>
            <w:r>
              <w:rPr>
                <w:rStyle w:val="10"/>
                <w:rFonts w:eastAsia="宋体"/>
                <w:lang w:val="en-US" w:eastAsia="zh-CN" w:bidi="ar"/>
              </w:rPr>
              <w:t>=</w:t>
            </w:r>
            <w:r>
              <w:rPr>
                <w:rStyle w:val="9"/>
                <w:lang w:val="en-US" w:eastAsia="zh-CN" w:bidi="ar"/>
              </w:rPr>
              <w:t>（重点实际支出</w:t>
            </w:r>
            <w:r>
              <w:rPr>
                <w:rStyle w:val="10"/>
                <w:rFonts w:eastAsia="宋体"/>
                <w:lang w:val="en-US" w:eastAsia="zh-CN" w:bidi="ar"/>
              </w:rPr>
              <w:t>/</w:t>
            </w:r>
            <w:r>
              <w:rPr>
                <w:rStyle w:val="9"/>
                <w:lang w:val="en-US" w:eastAsia="zh-CN" w:bidi="ar"/>
              </w:rPr>
              <w:t>重点预算支出）</w:t>
            </w:r>
            <w:r>
              <w:rPr>
                <w:rStyle w:val="10"/>
                <w:rFonts w:eastAsia="宋体"/>
                <w:lang w:val="en-US" w:eastAsia="zh-CN" w:bidi="ar"/>
              </w:rPr>
              <w:t>×100%</w:t>
            </w:r>
            <w:r>
              <w:rPr>
                <w:rStyle w:val="9"/>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p>
          <w:p w14:paraId="2B16FA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该项得分</w:t>
            </w:r>
            <w:r>
              <w:rPr>
                <w:rStyle w:val="10"/>
                <w:rFonts w:eastAsia="宋体"/>
                <w:lang w:val="en-US" w:eastAsia="zh-CN" w:bidi="ar"/>
              </w:rPr>
              <w:t>=</w:t>
            </w:r>
            <w:r>
              <w:rPr>
                <w:rStyle w:val="9"/>
                <w:lang w:val="en-US" w:eastAsia="zh-CN" w:bidi="ar"/>
              </w:rPr>
              <w:t>安排率</w:t>
            </w:r>
            <w:r>
              <w:rPr>
                <w:rStyle w:val="10"/>
                <w:rFonts w:eastAsia="宋体"/>
                <w:lang w:val="en-US" w:eastAsia="zh-CN" w:bidi="ar"/>
              </w:rPr>
              <w:t>×2</w:t>
            </w:r>
            <w:r>
              <w:rPr>
                <w:rStyle w:val="9"/>
                <w:lang w:val="en-US" w:eastAsia="zh-CN" w:bidi="ar"/>
              </w:rPr>
              <w:t>分。每超出</w:t>
            </w:r>
            <w:r>
              <w:rPr>
                <w:rStyle w:val="10"/>
                <w:rFonts w:eastAsia="宋体"/>
                <w:lang w:val="en-US" w:eastAsia="zh-CN" w:bidi="ar"/>
              </w:rPr>
              <w:t>5</w:t>
            </w:r>
            <w:r>
              <w:rPr>
                <w:rStyle w:val="9"/>
                <w:lang w:val="en-US" w:eastAsia="zh-CN" w:bidi="ar"/>
              </w:rPr>
              <w:t>%扣</w:t>
            </w:r>
            <w:r>
              <w:rPr>
                <w:rStyle w:val="10"/>
                <w:rFonts w:eastAsia="宋体"/>
                <w:lang w:val="en-US" w:eastAsia="zh-CN" w:bidi="ar"/>
              </w:rPr>
              <w:t>0.5</w:t>
            </w:r>
            <w:r>
              <w:rPr>
                <w:rStyle w:val="9"/>
                <w:lang w:val="en-US" w:eastAsia="zh-CN" w:bidi="ar"/>
              </w:rPr>
              <w:t>分，扣完为止。</w:t>
            </w:r>
          </w:p>
        </w:tc>
        <w:tc>
          <w:tcPr>
            <w:tcW w:w="2115" w:type="dxa"/>
            <w:tcBorders>
              <w:tl2br w:val="nil"/>
              <w:tr2bl w:val="nil"/>
            </w:tcBorders>
            <w:noWrap w:val="0"/>
            <w:vAlign w:val="center"/>
          </w:tcPr>
          <w:p w14:paraId="51559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18A3320F">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78DE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14:paraId="263C2C92">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490DA7E">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F7DE0B2">
            <w:pPr>
              <w:keepNext w:val="0"/>
              <w:keepLines w:val="0"/>
              <w:widowControl/>
              <w:suppressLineNumbers w:val="0"/>
              <w:jc w:val="center"/>
              <w:textAlignment w:val="center"/>
              <w:rPr>
                <w:rStyle w:val="9"/>
                <w:lang w:val="en-US" w:eastAsia="zh-CN" w:bidi="ar"/>
              </w:rPr>
            </w:pPr>
            <w:r>
              <w:rPr>
                <w:rStyle w:val="9"/>
                <w:lang w:val="en-US" w:eastAsia="zh-CN" w:bidi="ar"/>
              </w:rPr>
              <w:t>非税</w:t>
            </w:r>
          </w:p>
          <w:p w14:paraId="3CC24BEF">
            <w:pPr>
              <w:keepNext w:val="0"/>
              <w:keepLines w:val="0"/>
              <w:widowControl/>
              <w:suppressLineNumbers w:val="0"/>
              <w:jc w:val="center"/>
              <w:textAlignment w:val="center"/>
              <w:rPr>
                <w:rStyle w:val="9"/>
                <w:lang w:val="en-US" w:eastAsia="zh-CN" w:bidi="ar"/>
              </w:rPr>
            </w:pPr>
            <w:r>
              <w:rPr>
                <w:rStyle w:val="9"/>
                <w:lang w:val="en-US" w:eastAsia="zh-CN" w:bidi="ar"/>
              </w:rPr>
              <w:t>收入</w:t>
            </w:r>
          </w:p>
          <w:p w14:paraId="43B96B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安排率</w:t>
            </w:r>
          </w:p>
        </w:tc>
        <w:tc>
          <w:tcPr>
            <w:tcW w:w="495" w:type="dxa"/>
            <w:tcBorders>
              <w:tl2br w:val="nil"/>
              <w:tr2bl w:val="nil"/>
            </w:tcBorders>
            <w:noWrap w:val="0"/>
            <w:vAlign w:val="center"/>
          </w:tcPr>
          <w:p w14:paraId="28096C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5FD5F63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反映部门本年度非税收入完成情况。</w:t>
            </w:r>
          </w:p>
        </w:tc>
        <w:tc>
          <w:tcPr>
            <w:tcW w:w="5112" w:type="dxa"/>
            <w:tcBorders>
              <w:tl2br w:val="nil"/>
              <w:tr2bl w:val="nil"/>
            </w:tcBorders>
            <w:noWrap w:val="0"/>
            <w:vAlign w:val="center"/>
          </w:tcPr>
          <w:p w14:paraId="4FDF9FAE">
            <w:pPr>
              <w:keepNext w:val="0"/>
              <w:keepLines w:val="0"/>
              <w:widowControl/>
              <w:suppressLineNumbers w:val="0"/>
              <w:jc w:val="left"/>
              <w:textAlignment w:val="center"/>
              <w:rPr>
                <w:rStyle w:val="9"/>
                <w:lang w:val="en-US" w:eastAsia="zh-CN" w:bidi="ar"/>
              </w:rPr>
            </w:pPr>
          </w:p>
          <w:p w14:paraId="0B866A32">
            <w:pPr>
              <w:keepNext w:val="0"/>
              <w:keepLines w:val="0"/>
              <w:widowControl/>
              <w:suppressLineNumbers w:val="0"/>
              <w:jc w:val="left"/>
              <w:textAlignment w:val="center"/>
              <w:rPr>
                <w:rStyle w:val="9"/>
                <w:lang w:val="en-US" w:eastAsia="zh-CN" w:bidi="ar"/>
              </w:rPr>
            </w:pPr>
            <w:r>
              <w:rPr>
                <w:rStyle w:val="9"/>
                <w:lang w:val="en-US" w:eastAsia="zh-CN" w:bidi="ar"/>
              </w:rPr>
              <w:t>非税收入完成率</w:t>
            </w:r>
            <w:r>
              <w:rPr>
                <w:rStyle w:val="10"/>
                <w:rFonts w:eastAsia="宋体"/>
                <w:lang w:val="en-US" w:eastAsia="zh-CN" w:bidi="ar"/>
              </w:rPr>
              <w:t>=</w:t>
            </w:r>
            <w:r>
              <w:rPr>
                <w:rStyle w:val="9"/>
                <w:lang w:val="en-US" w:eastAsia="zh-CN" w:bidi="ar"/>
              </w:rPr>
              <w:t>（非税实际收入完成数</w:t>
            </w:r>
            <w:r>
              <w:rPr>
                <w:rStyle w:val="10"/>
                <w:rFonts w:eastAsia="宋体"/>
                <w:lang w:val="en-US" w:eastAsia="zh-CN" w:bidi="ar"/>
              </w:rPr>
              <w:t>/</w:t>
            </w:r>
            <w:r>
              <w:rPr>
                <w:rStyle w:val="9"/>
                <w:lang w:val="en-US" w:eastAsia="zh-CN" w:bidi="ar"/>
              </w:rPr>
              <w:t>非税收入预算数）</w:t>
            </w:r>
            <w:r>
              <w:rPr>
                <w:rStyle w:val="10"/>
                <w:rFonts w:eastAsia="宋体"/>
                <w:lang w:val="en-US" w:eastAsia="zh-CN" w:bidi="ar"/>
              </w:rPr>
              <w:t>×100%</w:t>
            </w:r>
            <w:r>
              <w:rPr>
                <w:rStyle w:val="9"/>
                <w:lang w:val="en-US" w:eastAsia="zh-CN" w:bidi="ar"/>
              </w:rPr>
              <w:t>，有减免因素的，以财政事务中心确定的为准。</w:t>
            </w:r>
          </w:p>
          <w:p w14:paraId="43407F0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该项得分</w:t>
            </w:r>
            <w:r>
              <w:rPr>
                <w:rStyle w:val="10"/>
                <w:rFonts w:eastAsia="宋体"/>
                <w:lang w:val="en-US" w:eastAsia="zh-CN" w:bidi="ar"/>
              </w:rPr>
              <w:t>=</w:t>
            </w:r>
            <w:r>
              <w:rPr>
                <w:rStyle w:val="9"/>
                <w:lang w:val="en-US" w:eastAsia="zh-CN" w:bidi="ar"/>
              </w:rPr>
              <w:t>完成率</w:t>
            </w:r>
            <w:r>
              <w:rPr>
                <w:rStyle w:val="10"/>
                <w:rFonts w:eastAsia="宋体"/>
                <w:lang w:val="en-US" w:eastAsia="zh-CN" w:bidi="ar"/>
              </w:rPr>
              <w:t>×1</w:t>
            </w:r>
            <w:r>
              <w:rPr>
                <w:rStyle w:val="9"/>
                <w:lang w:val="en-US" w:eastAsia="zh-CN" w:bidi="ar"/>
              </w:rPr>
              <w:t>分。</w:t>
            </w:r>
          </w:p>
        </w:tc>
        <w:tc>
          <w:tcPr>
            <w:tcW w:w="2115" w:type="dxa"/>
            <w:tcBorders>
              <w:tl2br w:val="nil"/>
              <w:tr2bl w:val="nil"/>
            </w:tcBorders>
            <w:noWrap w:val="0"/>
            <w:vAlign w:val="center"/>
          </w:tcPr>
          <w:p w14:paraId="08152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E01526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4A0C7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14:paraId="0456DA4B">
            <w:pPr>
              <w:keepNext w:val="0"/>
              <w:keepLines w:val="0"/>
              <w:widowControl/>
              <w:suppressLineNumbers w:val="0"/>
              <w:jc w:val="center"/>
              <w:textAlignment w:val="center"/>
              <w:rPr>
                <w:rStyle w:val="9"/>
                <w:lang w:val="en-US" w:eastAsia="zh-CN" w:bidi="ar"/>
              </w:rPr>
            </w:pPr>
            <w:r>
              <w:rPr>
                <w:rStyle w:val="9"/>
                <w:lang w:val="en-US" w:eastAsia="zh-CN" w:bidi="ar"/>
              </w:rPr>
              <w:t>过程</w:t>
            </w:r>
          </w:p>
          <w:p w14:paraId="1B910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r>
              <w:rPr>
                <w:rStyle w:val="10"/>
                <w:rFonts w:eastAsia="宋体"/>
                <w:lang w:val="en-US" w:eastAsia="zh-CN" w:bidi="ar"/>
              </w:rPr>
              <w:t>47</w:t>
            </w:r>
            <w:r>
              <w:rPr>
                <w:rStyle w:val="9"/>
                <w:lang w:val="en-US" w:eastAsia="zh-CN" w:bidi="ar"/>
              </w:rPr>
              <w:t>分）</w:t>
            </w:r>
          </w:p>
        </w:tc>
        <w:tc>
          <w:tcPr>
            <w:tcW w:w="870" w:type="dxa"/>
            <w:vMerge w:val="restart"/>
            <w:tcBorders>
              <w:tl2br w:val="nil"/>
              <w:tr2bl w:val="nil"/>
            </w:tcBorders>
            <w:noWrap w:val="0"/>
            <w:vAlign w:val="center"/>
          </w:tcPr>
          <w:p w14:paraId="43337BE3">
            <w:pPr>
              <w:keepNext w:val="0"/>
              <w:keepLines w:val="0"/>
              <w:widowControl/>
              <w:suppressLineNumbers w:val="0"/>
              <w:jc w:val="center"/>
              <w:textAlignment w:val="center"/>
              <w:rPr>
                <w:rStyle w:val="9"/>
                <w:lang w:val="en-US" w:eastAsia="zh-CN" w:bidi="ar"/>
              </w:rPr>
            </w:pPr>
            <w:r>
              <w:rPr>
                <w:rStyle w:val="9"/>
                <w:lang w:val="en-US" w:eastAsia="zh-CN" w:bidi="ar"/>
              </w:rPr>
              <w:t>预算</w:t>
            </w:r>
          </w:p>
          <w:p w14:paraId="6E80D145">
            <w:pPr>
              <w:keepNext w:val="0"/>
              <w:keepLines w:val="0"/>
              <w:widowControl/>
              <w:suppressLineNumbers w:val="0"/>
              <w:jc w:val="center"/>
              <w:textAlignment w:val="center"/>
              <w:rPr>
                <w:rStyle w:val="9"/>
                <w:lang w:val="en-US" w:eastAsia="zh-CN" w:bidi="ar"/>
              </w:rPr>
            </w:pPr>
            <w:r>
              <w:rPr>
                <w:rStyle w:val="9"/>
                <w:lang w:val="en-US" w:eastAsia="zh-CN" w:bidi="ar"/>
              </w:rPr>
              <w:t>执行</w:t>
            </w:r>
          </w:p>
          <w:p w14:paraId="675F8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rFonts w:eastAsia="宋体"/>
                <w:lang w:val="en-US" w:eastAsia="zh-CN" w:bidi="ar"/>
              </w:rPr>
              <w:t>(13</w:t>
            </w:r>
            <w:r>
              <w:rPr>
                <w:rStyle w:val="9"/>
                <w:lang w:val="en-US" w:eastAsia="zh-CN" w:bidi="ar"/>
              </w:rPr>
              <w:t>分）</w:t>
            </w:r>
          </w:p>
        </w:tc>
        <w:tc>
          <w:tcPr>
            <w:tcW w:w="1050" w:type="dxa"/>
            <w:tcBorders>
              <w:tl2br w:val="nil"/>
              <w:tr2bl w:val="nil"/>
            </w:tcBorders>
            <w:noWrap w:val="0"/>
            <w:vAlign w:val="center"/>
          </w:tcPr>
          <w:p w14:paraId="46D30782">
            <w:pPr>
              <w:keepNext w:val="0"/>
              <w:keepLines w:val="0"/>
              <w:widowControl/>
              <w:suppressLineNumbers w:val="0"/>
              <w:jc w:val="center"/>
              <w:textAlignment w:val="center"/>
              <w:rPr>
                <w:rStyle w:val="9"/>
                <w:lang w:val="en-US" w:eastAsia="zh-CN" w:bidi="ar"/>
              </w:rPr>
            </w:pPr>
            <w:r>
              <w:rPr>
                <w:rStyle w:val="9"/>
                <w:lang w:val="en-US" w:eastAsia="zh-CN" w:bidi="ar"/>
              </w:rPr>
              <w:t>预算</w:t>
            </w:r>
          </w:p>
          <w:p w14:paraId="46ADF0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执行率</w:t>
            </w:r>
          </w:p>
        </w:tc>
        <w:tc>
          <w:tcPr>
            <w:tcW w:w="495" w:type="dxa"/>
            <w:tcBorders>
              <w:tl2br w:val="nil"/>
              <w:tr2bl w:val="nil"/>
            </w:tcBorders>
            <w:noWrap w:val="0"/>
            <w:vAlign w:val="center"/>
          </w:tcPr>
          <w:p w14:paraId="1509ED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11014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14:paraId="38E9DDA9">
            <w:pPr>
              <w:keepNext w:val="0"/>
              <w:keepLines w:val="0"/>
              <w:widowControl/>
              <w:suppressLineNumbers w:val="0"/>
              <w:jc w:val="left"/>
              <w:textAlignment w:val="center"/>
              <w:rPr>
                <w:rStyle w:val="9"/>
                <w:lang w:val="en-US" w:eastAsia="zh-CN" w:bidi="ar"/>
              </w:rPr>
            </w:pPr>
          </w:p>
          <w:p w14:paraId="43CA948A">
            <w:pPr>
              <w:keepNext w:val="0"/>
              <w:keepLines w:val="0"/>
              <w:widowControl/>
              <w:suppressLineNumbers w:val="0"/>
              <w:jc w:val="left"/>
              <w:textAlignment w:val="center"/>
              <w:rPr>
                <w:rStyle w:val="9"/>
                <w:lang w:val="en-US" w:eastAsia="zh-CN" w:bidi="ar"/>
              </w:rPr>
            </w:pPr>
            <w:r>
              <w:rPr>
                <w:rStyle w:val="9"/>
                <w:lang w:val="en-US" w:eastAsia="zh-CN" w:bidi="ar"/>
              </w:rPr>
              <w:t>①预算执行率</w:t>
            </w:r>
            <w:r>
              <w:rPr>
                <w:rStyle w:val="10"/>
                <w:rFonts w:eastAsia="宋体"/>
                <w:lang w:val="en-US" w:eastAsia="zh-CN" w:bidi="ar"/>
              </w:rPr>
              <w:t>=</w:t>
            </w:r>
            <w:r>
              <w:rPr>
                <w:rStyle w:val="9"/>
                <w:lang w:val="en-US" w:eastAsia="zh-CN" w:bidi="ar"/>
              </w:rPr>
              <w:t>（预算完成数</w:t>
            </w:r>
            <w:r>
              <w:rPr>
                <w:rStyle w:val="10"/>
                <w:rFonts w:eastAsia="宋体"/>
                <w:lang w:val="en-US" w:eastAsia="zh-CN" w:bidi="ar"/>
              </w:rPr>
              <w:t>/</w:t>
            </w:r>
            <w:r>
              <w:rPr>
                <w:rStyle w:val="9"/>
                <w:lang w:val="en-US" w:eastAsia="zh-CN" w:bidi="ar"/>
              </w:rPr>
              <w:t>预算数）</w:t>
            </w:r>
            <w:r>
              <w:rPr>
                <w:rStyle w:val="10"/>
                <w:rFonts w:eastAsia="宋体"/>
                <w:lang w:val="en-US" w:eastAsia="zh-CN" w:bidi="ar"/>
              </w:rPr>
              <w:t>×100%</w:t>
            </w:r>
            <w:r>
              <w:rPr>
                <w:rStyle w:val="9"/>
                <w:lang w:val="en-US" w:eastAsia="zh-CN" w:bidi="ar"/>
              </w:rPr>
              <w:t>。</w:t>
            </w:r>
          </w:p>
          <w:p w14:paraId="5E5EC771">
            <w:pPr>
              <w:keepNext w:val="0"/>
              <w:keepLines w:val="0"/>
              <w:widowControl/>
              <w:suppressLineNumbers w:val="0"/>
              <w:jc w:val="left"/>
              <w:textAlignment w:val="center"/>
              <w:rPr>
                <w:rStyle w:val="9"/>
                <w:lang w:val="en-US" w:eastAsia="zh-CN" w:bidi="ar"/>
              </w:rPr>
            </w:pPr>
            <w:r>
              <w:rPr>
                <w:rStyle w:val="9"/>
                <w:lang w:val="en-US" w:eastAsia="zh-CN" w:bidi="ar"/>
              </w:rPr>
              <w:t>预算执行数：部门（单位）本年度实际完成的预算数。</w:t>
            </w:r>
          </w:p>
          <w:p w14:paraId="01B162E1">
            <w:pPr>
              <w:keepNext w:val="0"/>
              <w:keepLines w:val="0"/>
              <w:widowControl/>
              <w:suppressLineNumbers w:val="0"/>
              <w:jc w:val="left"/>
              <w:textAlignment w:val="center"/>
              <w:rPr>
                <w:rStyle w:val="9"/>
                <w:lang w:val="en-US" w:eastAsia="zh-CN" w:bidi="ar"/>
              </w:rPr>
            </w:pPr>
            <w:r>
              <w:rPr>
                <w:rStyle w:val="9"/>
                <w:lang w:val="en-US" w:eastAsia="zh-CN" w:bidi="ar"/>
              </w:rPr>
              <w:t>预算数：财政部门批复的本年度部门（单位）预算数及追加的预算数。</w:t>
            </w:r>
          </w:p>
          <w:p w14:paraId="2170CFF0">
            <w:pPr>
              <w:keepNext w:val="0"/>
              <w:keepLines w:val="0"/>
              <w:widowControl/>
              <w:suppressLineNumbers w:val="0"/>
              <w:jc w:val="left"/>
              <w:textAlignment w:val="center"/>
              <w:rPr>
                <w:rStyle w:val="9"/>
                <w:lang w:val="en-US" w:eastAsia="zh-CN" w:bidi="ar"/>
              </w:rPr>
            </w:pPr>
            <w:r>
              <w:rPr>
                <w:rStyle w:val="9"/>
                <w:lang w:val="en-US" w:eastAsia="zh-CN" w:bidi="ar"/>
              </w:rPr>
              <w:t>该项得分，全年预算执行率</w:t>
            </w:r>
            <w:r>
              <w:rPr>
                <w:rStyle w:val="10"/>
                <w:rFonts w:eastAsia="宋体"/>
                <w:lang w:val="en-US" w:eastAsia="zh-CN" w:bidi="ar"/>
              </w:rPr>
              <w:t>95%</w:t>
            </w:r>
            <w:r>
              <w:rPr>
                <w:rStyle w:val="9"/>
                <w:lang w:val="en-US" w:eastAsia="zh-CN" w:bidi="ar"/>
              </w:rPr>
              <w:t>以上计</w:t>
            </w:r>
            <w:r>
              <w:rPr>
                <w:rStyle w:val="10"/>
                <w:rFonts w:eastAsia="宋体"/>
                <w:lang w:val="en-US" w:eastAsia="zh-CN" w:bidi="ar"/>
              </w:rPr>
              <w:t>2</w:t>
            </w:r>
            <w:r>
              <w:rPr>
                <w:rStyle w:val="9"/>
                <w:lang w:val="en-US" w:eastAsia="zh-CN" w:bidi="ar"/>
              </w:rPr>
              <w:t>分，</w:t>
            </w:r>
            <w:r>
              <w:rPr>
                <w:rStyle w:val="10"/>
                <w:rFonts w:eastAsia="宋体"/>
                <w:lang w:val="en-US" w:eastAsia="zh-CN" w:bidi="ar"/>
              </w:rPr>
              <w:t>95-90%</w:t>
            </w:r>
            <w:r>
              <w:rPr>
                <w:rStyle w:val="9"/>
                <w:lang w:val="en-US" w:eastAsia="zh-CN" w:bidi="ar"/>
              </w:rPr>
              <w:t>（含），计</w:t>
            </w:r>
            <w:r>
              <w:rPr>
                <w:rStyle w:val="10"/>
                <w:rFonts w:eastAsia="宋体"/>
                <w:lang w:val="en-US" w:eastAsia="zh-CN" w:bidi="ar"/>
              </w:rPr>
              <w:t>1</w:t>
            </w:r>
            <w:r>
              <w:rPr>
                <w:rStyle w:val="9"/>
                <w:lang w:val="en-US" w:eastAsia="zh-CN" w:bidi="ar"/>
              </w:rPr>
              <w:t>分，</w:t>
            </w:r>
            <w:r>
              <w:rPr>
                <w:rStyle w:val="10"/>
                <w:rFonts w:eastAsia="宋体"/>
                <w:lang w:val="en-US" w:eastAsia="zh-CN" w:bidi="ar"/>
              </w:rPr>
              <w:t>90-80%</w:t>
            </w:r>
            <w:r>
              <w:rPr>
                <w:rStyle w:val="9"/>
                <w:lang w:val="en-US" w:eastAsia="zh-CN" w:bidi="ar"/>
              </w:rPr>
              <w:t>（含），计</w:t>
            </w:r>
            <w:r>
              <w:rPr>
                <w:rStyle w:val="10"/>
                <w:rFonts w:eastAsia="宋体"/>
                <w:lang w:val="en-US" w:eastAsia="zh-CN" w:bidi="ar"/>
              </w:rPr>
              <w:t>0.5</w:t>
            </w:r>
            <w:r>
              <w:rPr>
                <w:rStyle w:val="9"/>
                <w:lang w:val="en-US" w:eastAsia="zh-CN" w:bidi="ar"/>
              </w:rPr>
              <w:t>分，小于</w:t>
            </w:r>
            <w:r>
              <w:rPr>
                <w:rStyle w:val="10"/>
                <w:rFonts w:eastAsia="宋体"/>
                <w:lang w:val="en-US" w:eastAsia="zh-CN" w:bidi="ar"/>
              </w:rPr>
              <w:t>80%</w:t>
            </w:r>
            <w:r>
              <w:rPr>
                <w:rStyle w:val="9"/>
                <w:lang w:val="en-US" w:eastAsia="zh-CN" w:bidi="ar"/>
              </w:rPr>
              <w:t>不得分；</w:t>
            </w:r>
          </w:p>
          <w:p w14:paraId="225B0AFF">
            <w:pPr>
              <w:keepNext w:val="0"/>
              <w:keepLines w:val="0"/>
              <w:widowControl/>
              <w:suppressLineNumbers w:val="0"/>
              <w:jc w:val="left"/>
              <w:textAlignment w:val="center"/>
              <w:rPr>
                <w:rStyle w:val="9"/>
                <w:lang w:val="en-US" w:eastAsia="zh-CN" w:bidi="ar"/>
              </w:rPr>
            </w:pPr>
            <w:r>
              <w:rPr>
                <w:rStyle w:val="9"/>
                <w:lang w:val="en-US" w:eastAsia="zh-CN" w:bidi="ar"/>
              </w:rPr>
              <w:t>②绩效目标执行监控是否按要求完成。</w:t>
            </w:r>
          </w:p>
          <w:p w14:paraId="08A36C8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该项得分，实施项目资金运行监控的得</w:t>
            </w:r>
            <w:r>
              <w:rPr>
                <w:rStyle w:val="10"/>
                <w:rFonts w:eastAsia="宋体"/>
                <w:lang w:val="en-US" w:eastAsia="zh-CN" w:bidi="ar"/>
              </w:rPr>
              <w:t>2</w:t>
            </w:r>
            <w:r>
              <w:rPr>
                <w:rStyle w:val="9"/>
                <w:lang w:val="en-US" w:eastAsia="zh-CN" w:bidi="ar"/>
              </w:rPr>
              <w:t>分，未实施的不得分。</w:t>
            </w:r>
          </w:p>
        </w:tc>
        <w:tc>
          <w:tcPr>
            <w:tcW w:w="2115" w:type="dxa"/>
            <w:tcBorders>
              <w:tl2br w:val="nil"/>
              <w:tr2bl w:val="nil"/>
            </w:tcBorders>
            <w:noWrap w:val="0"/>
            <w:vAlign w:val="center"/>
          </w:tcPr>
          <w:p w14:paraId="52B0A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14:paraId="733696E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2A61B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14:paraId="23AC4156">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2E9B8DA">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BDCE3E3">
            <w:pPr>
              <w:keepNext w:val="0"/>
              <w:keepLines w:val="0"/>
              <w:widowControl/>
              <w:suppressLineNumbers w:val="0"/>
              <w:jc w:val="center"/>
              <w:textAlignment w:val="center"/>
              <w:rPr>
                <w:rStyle w:val="9"/>
                <w:lang w:val="en-US" w:eastAsia="zh-CN" w:bidi="ar"/>
              </w:rPr>
            </w:pPr>
            <w:r>
              <w:rPr>
                <w:rStyle w:val="9"/>
                <w:lang w:val="en-US" w:eastAsia="zh-CN" w:bidi="ar"/>
              </w:rPr>
              <w:t>预算</w:t>
            </w:r>
          </w:p>
          <w:p w14:paraId="3F8096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调整率</w:t>
            </w:r>
          </w:p>
        </w:tc>
        <w:tc>
          <w:tcPr>
            <w:tcW w:w="495" w:type="dxa"/>
            <w:tcBorders>
              <w:tl2br w:val="nil"/>
              <w:tr2bl w:val="nil"/>
            </w:tcBorders>
            <w:noWrap w:val="0"/>
            <w:vAlign w:val="center"/>
          </w:tcPr>
          <w:p w14:paraId="4D6DE2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2857B84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14:paraId="28A45685">
            <w:pPr>
              <w:keepNext w:val="0"/>
              <w:keepLines w:val="0"/>
              <w:widowControl/>
              <w:suppressLineNumbers w:val="0"/>
              <w:jc w:val="left"/>
              <w:textAlignment w:val="center"/>
              <w:rPr>
                <w:rStyle w:val="9"/>
                <w:lang w:val="en-US" w:eastAsia="zh-CN" w:bidi="ar"/>
              </w:rPr>
            </w:pPr>
          </w:p>
          <w:p w14:paraId="6A665AD1">
            <w:pPr>
              <w:keepNext w:val="0"/>
              <w:keepLines w:val="0"/>
              <w:widowControl/>
              <w:suppressLineNumbers w:val="0"/>
              <w:jc w:val="left"/>
              <w:textAlignment w:val="center"/>
              <w:rPr>
                <w:rStyle w:val="9"/>
                <w:lang w:val="en-US" w:eastAsia="zh-CN" w:bidi="ar"/>
              </w:rPr>
            </w:pPr>
            <w:r>
              <w:rPr>
                <w:rStyle w:val="9"/>
                <w:lang w:val="en-US" w:eastAsia="zh-CN" w:bidi="ar"/>
              </w:rPr>
              <w:t>预算调整率</w:t>
            </w:r>
            <w:r>
              <w:rPr>
                <w:rStyle w:val="10"/>
                <w:rFonts w:eastAsia="宋体"/>
                <w:lang w:val="en-US" w:eastAsia="zh-CN" w:bidi="ar"/>
              </w:rPr>
              <w:t>=</w:t>
            </w:r>
            <w:r>
              <w:rPr>
                <w:rStyle w:val="9"/>
                <w:lang w:val="en-US" w:eastAsia="zh-CN" w:bidi="ar"/>
              </w:rPr>
              <w:t>（预算调整数</w:t>
            </w:r>
            <w:r>
              <w:rPr>
                <w:rStyle w:val="10"/>
                <w:rFonts w:eastAsia="宋体"/>
                <w:lang w:val="en-US" w:eastAsia="zh-CN" w:bidi="ar"/>
              </w:rPr>
              <w:t>/</w:t>
            </w:r>
            <w:r>
              <w:rPr>
                <w:rStyle w:val="9"/>
                <w:lang w:val="en-US" w:eastAsia="zh-CN" w:bidi="ar"/>
              </w:rPr>
              <w:t>预算数）</w:t>
            </w:r>
            <w:r>
              <w:rPr>
                <w:rStyle w:val="10"/>
                <w:rFonts w:eastAsia="宋体"/>
                <w:lang w:val="en-US" w:eastAsia="zh-CN" w:bidi="ar"/>
              </w:rPr>
              <w:t>×100%</w:t>
            </w:r>
            <w:r>
              <w:rPr>
                <w:rStyle w:val="9"/>
                <w:lang w:val="en-US" w:eastAsia="zh-CN" w:bidi="ar"/>
              </w:rPr>
              <w:t>。</w:t>
            </w:r>
          </w:p>
          <w:p w14:paraId="50DC41B5">
            <w:pPr>
              <w:keepNext w:val="0"/>
              <w:keepLines w:val="0"/>
              <w:widowControl/>
              <w:suppressLineNumbers w:val="0"/>
              <w:jc w:val="left"/>
              <w:textAlignment w:val="center"/>
              <w:rPr>
                <w:rStyle w:val="9"/>
                <w:lang w:val="en-US" w:eastAsia="zh-CN" w:bidi="ar"/>
              </w:rPr>
            </w:pPr>
            <w:r>
              <w:rPr>
                <w:rStyle w:val="9"/>
                <w:lang w:val="en-US" w:eastAsia="zh-CN" w:bidi="ar"/>
              </w:rPr>
              <w:t>预算调整数：部门（单位）在本年度内涉及预算的追加、追减或结构调整的资金总和（因落实国家政策、发生不可抗力，市委、市政府临时交办而产生的调整及经济科目非跨类调整除外）。</w:t>
            </w:r>
          </w:p>
          <w:p w14:paraId="652B2C9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该项得分，预算调整率</w:t>
            </w:r>
            <w:r>
              <w:rPr>
                <w:rStyle w:val="10"/>
                <w:rFonts w:eastAsia="宋体"/>
                <w:lang w:val="en-US" w:eastAsia="zh-CN" w:bidi="ar"/>
              </w:rPr>
              <w:t>&lt;5%</w:t>
            </w:r>
            <w:r>
              <w:rPr>
                <w:rStyle w:val="9"/>
                <w:lang w:val="en-US" w:eastAsia="zh-CN" w:bidi="ar"/>
              </w:rPr>
              <w:t>，计</w:t>
            </w:r>
            <w:r>
              <w:rPr>
                <w:rStyle w:val="10"/>
                <w:rFonts w:eastAsia="宋体"/>
                <w:lang w:val="en-US" w:eastAsia="zh-CN" w:bidi="ar"/>
              </w:rPr>
              <w:t>2</w:t>
            </w:r>
            <w:r>
              <w:rPr>
                <w:rStyle w:val="9"/>
                <w:lang w:val="en-US" w:eastAsia="zh-CN" w:bidi="ar"/>
              </w:rPr>
              <w:t>分；</w:t>
            </w:r>
            <w:r>
              <w:rPr>
                <w:rStyle w:val="10"/>
                <w:rFonts w:eastAsia="宋体"/>
                <w:lang w:val="en-US" w:eastAsia="zh-CN" w:bidi="ar"/>
              </w:rPr>
              <w:t>5-10%</w:t>
            </w:r>
            <w:r>
              <w:rPr>
                <w:rStyle w:val="9"/>
                <w:lang w:val="en-US" w:eastAsia="zh-CN" w:bidi="ar"/>
              </w:rPr>
              <w:t>（含），计</w:t>
            </w:r>
            <w:r>
              <w:rPr>
                <w:rStyle w:val="10"/>
                <w:rFonts w:eastAsia="宋体"/>
                <w:lang w:val="en-US" w:eastAsia="zh-CN" w:bidi="ar"/>
              </w:rPr>
              <w:t>1</w:t>
            </w:r>
            <w:r>
              <w:rPr>
                <w:rStyle w:val="9"/>
                <w:lang w:val="en-US" w:eastAsia="zh-CN" w:bidi="ar"/>
              </w:rPr>
              <w:t>分；大于</w:t>
            </w:r>
            <w:r>
              <w:rPr>
                <w:rStyle w:val="10"/>
                <w:rFonts w:eastAsia="宋体"/>
                <w:lang w:val="en-US" w:eastAsia="zh-CN" w:bidi="ar"/>
              </w:rPr>
              <w:t>10%</w:t>
            </w:r>
            <w:r>
              <w:rPr>
                <w:rStyle w:val="9"/>
                <w:lang w:val="en-US" w:eastAsia="zh-CN" w:bidi="ar"/>
              </w:rPr>
              <w:t>不得分。</w:t>
            </w:r>
          </w:p>
        </w:tc>
        <w:tc>
          <w:tcPr>
            <w:tcW w:w="2115" w:type="dxa"/>
            <w:tcBorders>
              <w:tl2br w:val="nil"/>
              <w:tr2bl w:val="nil"/>
            </w:tcBorders>
            <w:noWrap w:val="0"/>
            <w:vAlign w:val="center"/>
          </w:tcPr>
          <w:p w14:paraId="310D4B5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14:paraId="417AEF7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5185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378F8E4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AA37AC2">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A739A7B">
            <w:pPr>
              <w:keepNext w:val="0"/>
              <w:keepLines w:val="0"/>
              <w:widowControl/>
              <w:suppressLineNumbers w:val="0"/>
              <w:jc w:val="center"/>
              <w:textAlignment w:val="center"/>
              <w:rPr>
                <w:rStyle w:val="9"/>
                <w:lang w:val="en-US" w:eastAsia="zh-CN" w:bidi="ar"/>
              </w:rPr>
            </w:pPr>
            <w:r>
              <w:rPr>
                <w:rStyle w:val="9"/>
                <w:lang w:val="en-US" w:eastAsia="zh-CN" w:bidi="ar"/>
              </w:rPr>
              <w:t>结转</w:t>
            </w:r>
          </w:p>
          <w:p w14:paraId="7D41C0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结余</w:t>
            </w:r>
          </w:p>
        </w:tc>
        <w:tc>
          <w:tcPr>
            <w:tcW w:w="495" w:type="dxa"/>
            <w:tcBorders>
              <w:tl2br w:val="nil"/>
              <w:tr2bl w:val="nil"/>
            </w:tcBorders>
            <w:noWrap w:val="0"/>
            <w:vAlign w:val="center"/>
          </w:tcPr>
          <w:p w14:paraId="75DAA5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1FE53DE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14:paraId="3EC91CC4">
            <w:pPr>
              <w:keepNext w:val="0"/>
              <w:keepLines w:val="0"/>
              <w:widowControl/>
              <w:suppressLineNumbers w:val="0"/>
              <w:spacing w:after="180" w:afterAutospacing="0"/>
              <w:jc w:val="left"/>
              <w:textAlignment w:val="center"/>
              <w:rPr>
                <w:rStyle w:val="9"/>
                <w:lang w:val="en-US" w:eastAsia="zh-CN" w:bidi="ar"/>
              </w:rPr>
            </w:pPr>
          </w:p>
          <w:p w14:paraId="3BABDBF6">
            <w:pPr>
              <w:keepNext w:val="0"/>
              <w:keepLines w:val="0"/>
              <w:widowControl/>
              <w:suppressLineNumbers w:val="0"/>
              <w:spacing w:after="180" w:afterAutospacing="0"/>
              <w:jc w:val="left"/>
              <w:textAlignment w:val="center"/>
              <w:rPr>
                <w:rStyle w:val="9"/>
                <w:lang w:val="en-US" w:eastAsia="zh-CN" w:bidi="ar"/>
              </w:rPr>
            </w:pPr>
            <w:r>
              <w:rPr>
                <w:rStyle w:val="9"/>
                <w:lang w:val="en-US" w:eastAsia="zh-CN" w:bidi="ar"/>
              </w:rPr>
              <w:t>结转结余率</w:t>
            </w:r>
            <w:r>
              <w:rPr>
                <w:rStyle w:val="10"/>
                <w:rFonts w:eastAsia="宋体"/>
                <w:lang w:val="en-US" w:eastAsia="zh-CN" w:bidi="ar"/>
              </w:rPr>
              <w:t>=</w:t>
            </w:r>
            <w:r>
              <w:rPr>
                <w:rStyle w:val="9"/>
                <w:lang w:val="en-US" w:eastAsia="zh-CN" w:bidi="ar"/>
              </w:rPr>
              <w:t>结转结余总额</w:t>
            </w:r>
            <w:r>
              <w:rPr>
                <w:rStyle w:val="10"/>
                <w:rFonts w:eastAsia="宋体"/>
                <w:lang w:val="en-US" w:eastAsia="zh-CN" w:bidi="ar"/>
              </w:rPr>
              <w:t>/</w:t>
            </w:r>
            <w:r>
              <w:rPr>
                <w:rStyle w:val="9"/>
                <w:lang w:val="en-US" w:eastAsia="zh-CN" w:bidi="ar"/>
              </w:rPr>
              <w:t>支出预算数</w:t>
            </w:r>
            <w:r>
              <w:rPr>
                <w:rStyle w:val="10"/>
                <w:rFonts w:eastAsia="宋体"/>
                <w:lang w:val="en-US" w:eastAsia="zh-CN" w:bidi="ar"/>
              </w:rPr>
              <w:t>×100%</w:t>
            </w:r>
            <w:r>
              <w:rPr>
                <w:rStyle w:val="9"/>
                <w:lang w:val="en-US" w:eastAsia="zh-CN" w:bidi="ar"/>
              </w:rPr>
              <w:t>。结转结余总额：部门本年度的结转资金与结余资金之和（以决算数为准）。</w:t>
            </w:r>
          </w:p>
          <w:p w14:paraId="2A320C33">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该项得分，结余率</w:t>
            </w:r>
            <w:r>
              <w:rPr>
                <w:rStyle w:val="10"/>
                <w:rFonts w:eastAsia="宋体"/>
                <w:lang w:val="en-US" w:eastAsia="zh-CN" w:bidi="ar"/>
              </w:rPr>
              <w:t>≤10%</w:t>
            </w:r>
            <w:r>
              <w:rPr>
                <w:rStyle w:val="9"/>
                <w:lang w:val="en-US" w:eastAsia="zh-CN" w:bidi="ar"/>
              </w:rPr>
              <w:t>的，计</w:t>
            </w:r>
            <w:r>
              <w:rPr>
                <w:rStyle w:val="10"/>
                <w:rFonts w:eastAsia="宋体"/>
                <w:lang w:val="en-US" w:eastAsia="zh-CN" w:bidi="ar"/>
              </w:rPr>
              <w:t>1</w:t>
            </w:r>
            <w:r>
              <w:rPr>
                <w:rStyle w:val="9"/>
                <w:lang w:val="en-US" w:eastAsia="zh-CN" w:bidi="ar"/>
              </w:rPr>
              <w:t>分；结余率</w:t>
            </w:r>
            <w:r>
              <w:rPr>
                <w:rStyle w:val="10"/>
                <w:rFonts w:eastAsia="宋体"/>
                <w:lang w:val="en-US" w:eastAsia="zh-CN" w:bidi="ar"/>
              </w:rPr>
              <w:t>&gt;10%</w:t>
            </w:r>
            <w:r>
              <w:rPr>
                <w:rStyle w:val="9"/>
                <w:lang w:val="en-US" w:eastAsia="zh-CN" w:bidi="ar"/>
              </w:rPr>
              <w:t>（不含），</w:t>
            </w:r>
            <w:r>
              <w:rPr>
                <w:rStyle w:val="10"/>
                <w:rFonts w:eastAsia="宋体"/>
                <w:lang w:val="en-US" w:eastAsia="zh-CN" w:bidi="ar"/>
              </w:rPr>
              <w:t>0.5</w:t>
            </w:r>
            <w:r>
              <w:rPr>
                <w:rStyle w:val="9"/>
                <w:lang w:val="en-US" w:eastAsia="zh-CN" w:bidi="ar"/>
              </w:rPr>
              <w:t>分；本年超支的，计</w:t>
            </w:r>
            <w:r>
              <w:rPr>
                <w:rStyle w:val="10"/>
                <w:rFonts w:eastAsia="宋体"/>
                <w:lang w:val="en-US" w:eastAsia="zh-CN" w:bidi="ar"/>
              </w:rPr>
              <w:t>0</w:t>
            </w:r>
            <w:r>
              <w:rPr>
                <w:rStyle w:val="9"/>
                <w:lang w:val="en-US" w:eastAsia="zh-CN" w:bidi="ar"/>
              </w:rPr>
              <w:t>分。</w:t>
            </w:r>
          </w:p>
        </w:tc>
        <w:tc>
          <w:tcPr>
            <w:tcW w:w="2115" w:type="dxa"/>
            <w:tcBorders>
              <w:tl2br w:val="nil"/>
              <w:tr2bl w:val="nil"/>
            </w:tcBorders>
            <w:noWrap w:val="0"/>
            <w:vAlign w:val="center"/>
          </w:tcPr>
          <w:p w14:paraId="59A45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823E31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327CA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14:paraId="60F2011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546D1E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8303EB9">
            <w:pPr>
              <w:keepNext w:val="0"/>
              <w:keepLines w:val="0"/>
              <w:widowControl/>
              <w:suppressLineNumbers w:val="0"/>
              <w:jc w:val="center"/>
              <w:textAlignment w:val="center"/>
              <w:rPr>
                <w:rStyle w:val="9"/>
                <w:lang w:val="en-US" w:eastAsia="zh-CN" w:bidi="ar"/>
              </w:rPr>
            </w:pPr>
            <w:r>
              <w:rPr>
                <w:rStyle w:val="9"/>
                <w:lang w:val="en-US" w:eastAsia="zh-CN" w:bidi="ar"/>
              </w:rPr>
              <w:t>公用经费</w:t>
            </w:r>
          </w:p>
          <w:p w14:paraId="4D90AD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控制率</w:t>
            </w:r>
          </w:p>
        </w:tc>
        <w:tc>
          <w:tcPr>
            <w:tcW w:w="495" w:type="dxa"/>
            <w:tcBorders>
              <w:tl2br w:val="nil"/>
              <w:tr2bl w:val="nil"/>
            </w:tcBorders>
            <w:noWrap w:val="0"/>
            <w:vAlign w:val="center"/>
          </w:tcPr>
          <w:p w14:paraId="3B3A00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7B825A5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14:paraId="16A75C57">
            <w:pPr>
              <w:keepNext w:val="0"/>
              <w:keepLines w:val="0"/>
              <w:widowControl/>
              <w:suppressLineNumbers w:val="0"/>
              <w:jc w:val="left"/>
              <w:textAlignment w:val="center"/>
              <w:rPr>
                <w:rStyle w:val="9"/>
                <w:lang w:val="en-US" w:eastAsia="zh-CN" w:bidi="ar"/>
              </w:rPr>
            </w:pPr>
            <w:r>
              <w:rPr>
                <w:rStyle w:val="9"/>
                <w:lang w:val="en-US" w:eastAsia="zh-CN" w:bidi="ar"/>
              </w:rPr>
              <w:t>公用经费控制率</w:t>
            </w:r>
            <w:r>
              <w:rPr>
                <w:rStyle w:val="10"/>
                <w:rFonts w:eastAsia="宋体"/>
                <w:lang w:val="en-US" w:eastAsia="zh-CN" w:bidi="ar"/>
              </w:rPr>
              <w:t>=</w:t>
            </w:r>
            <w:r>
              <w:rPr>
                <w:rStyle w:val="9"/>
                <w:lang w:val="en-US" w:eastAsia="zh-CN" w:bidi="ar"/>
              </w:rPr>
              <w:t>（实际支出公用经费总额</w:t>
            </w:r>
            <w:r>
              <w:rPr>
                <w:rStyle w:val="10"/>
                <w:rFonts w:eastAsia="宋体"/>
                <w:lang w:val="en-US" w:eastAsia="zh-CN" w:bidi="ar"/>
              </w:rPr>
              <w:t>/</w:t>
            </w:r>
            <w:r>
              <w:rPr>
                <w:rStyle w:val="9"/>
                <w:lang w:val="en-US" w:eastAsia="zh-CN" w:bidi="ar"/>
              </w:rPr>
              <w:t>预算安排公用经费总额）</w:t>
            </w:r>
            <w:r>
              <w:rPr>
                <w:rStyle w:val="10"/>
                <w:rFonts w:eastAsia="宋体"/>
                <w:lang w:val="en-US" w:eastAsia="zh-CN" w:bidi="ar"/>
              </w:rPr>
              <w:t>×100%</w:t>
            </w:r>
            <w:r>
              <w:rPr>
                <w:rStyle w:val="9"/>
                <w:lang w:val="en-US" w:eastAsia="zh-CN" w:bidi="ar"/>
              </w:rPr>
              <w:t>。</w:t>
            </w:r>
          </w:p>
          <w:p w14:paraId="4DEB0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该项得分，控制率</w:t>
            </w:r>
            <w:r>
              <w:rPr>
                <w:rStyle w:val="10"/>
                <w:rFonts w:eastAsia="宋体"/>
                <w:lang w:val="en-US" w:eastAsia="zh-CN" w:bidi="ar"/>
              </w:rPr>
              <w:t>≤100%</w:t>
            </w:r>
            <w:r>
              <w:rPr>
                <w:rStyle w:val="9"/>
                <w:lang w:val="en-US" w:eastAsia="zh-CN" w:bidi="ar"/>
              </w:rPr>
              <w:t>，计</w:t>
            </w:r>
            <w:r>
              <w:rPr>
                <w:rStyle w:val="10"/>
                <w:rFonts w:eastAsia="宋体"/>
                <w:lang w:val="en-US" w:eastAsia="zh-CN" w:bidi="ar"/>
              </w:rPr>
              <w:t>2</w:t>
            </w:r>
            <w:r>
              <w:rPr>
                <w:rStyle w:val="9"/>
                <w:lang w:val="en-US" w:eastAsia="zh-CN" w:bidi="ar"/>
              </w:rPr>
              <w:t>分，控制率</w:t>
            </w:r>
            <w:r>
              <w:rPr>
                <w:rStyle w:val="10"/>
                <w:rFonts w:eastAsia="宋体"/>
                <w:lang w:val="en-US" w:eastAsia="zh-CN" w:bidi="ar"/>
              </w:rPr>
              <w:t>&gt;100%</w:t>
            </w:r>
            <w:r>
              <w:rPr>
                <w:rStyle w:val="9"/>
                <w:lang w:val="en-US" w:eastAsia="zh-CN" w:bidi="ar"/>
              </w:rPr>
              <w:t>，计</w:t>
            </w:r>
            <w:r>
              <w:rPr>
                <w:rStyle w:val="10"/>
                <w:rFonts w:eastAsia="宋体"/>
                <w:lang w:val="en-US" w:eastAsia="zh-CN" w:bidi="ar"/>
              </w:rPr>
              <w:t>0</w:t>
            </w:r>
            <w:r>
              <w:rPr>
                <w:rStyle w:val="9"/>
                <w:lang w:val="en-US" w:eastAsia="zh-CN" w:bidi="ar"/>
              </w:rPr>
              <w:t>分。</w:t>
            </w:r>
          </w:p>
        </w:tc>
        <w:tc>
          <w:tcPr>
            <w:tcW w:w="2115" w:type="dxa"/>
            <w:tcBorders>
              <w:tl2br w:val="nil"/>
              <w:tr2bl w:val="nil"/>
            </w:tcBorders>
            <w:noWrap w:val="0"/>
            <w:vAlign w:val="center"/>
          </w:tcPr>
          <w:p w14:paraId="3D90A8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1844E43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F6C3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14:paraId="660C656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C14132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6E1C91E">
            <w:pPr>
              <w:keepNext w:val="0"/>
              <w:keepLines w:val="0"/>
              <w:widowControl/>
              <w:suppressLineNumbers w:val="0"/>
              <w:jc w:val="center"/>
              <w:textAlignment w:val="center"/>
              <w:rPr>
                <w:rStyle w:val="10"/>
                <w:rFonts w:eastAsia="宋体"/>
                <w:lang w:val="en-US" w:eastAsia="zh-CN" w:bidi="ar"/>
              </w:rPr>
            </w:pP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p>
          <w:p w14:paraId="2428CA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控制率</w:t>
            </w:r>
          </w:p>
        </w:tc>
        <w:tc>
          <w:tcPr>
            <w:tcW w:w="495" w:type="dxa"/>
            <w:tcBorders>
              <w:tl2br w:val="nil"/>
              <w:tr2bl w:val="nil"/>
            </w:tcBorders>
            <w:noWrap w:val="0"/>
            <w:vAlign w:val="center"/>
          </w:tcPr>
          <w:p w14:paraId="266D6A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65C6852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部门（单位）本年度</w:t>
            </w: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实际支出数与预算安排数的比率，用以反映和考核部门（单位）对</w:t>
            </w: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的实际控制程度。</w:t>
            </w:r>
          </w:p>
        </w:tc>
        <w:tc>
          <w:tcPr>
            <w:tcW w:w="5112" w:type="dxa"/>
            <w:tcBorders>
              <w:tl2br w:val="nil"/>
              <w:tr2bl w:val="nil"/>
            </w:tcBorders>
            <w:noWrap w:val="0"/>
            <w:vAlign w:val="center"/>
          </w:tcPr>
          <w:p w14:paraId="4AF14835">
            <w:pPr>
              <w:keepNext w:val="0"/>
              <w:keepLines w:val="0"/>
              <w:widowControl/>
              <w:suppressLineNumbers w:val="0"/>
              <w:jc w:val="left"/>
              <w:textAlignment w:val="center"/>
              <w:rPr>
                <w:rStyle w:val="9"/>
                <w:lang w:val="en-US" w:eastAsia="zh-CN" w:bidi="ar"/>
              </w:rPr>
            </w:pP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控制率</w:t>
            </w:r>
            <w:r>
              <w:rPr>
                <w:rStyle w:val="10"/>
                <w:rFonts w:eastAsia="宋体"/>
                <w:lang w:val="en-US" w:eastAsia="zh-CN" w:bidi="ar"/>
              </w:rPr>
              <w:t>=</w:t>
            </w:r>
            <w:r>
              <w:rPr>
                <w:rStyle w:val="9"/>
                <w:lang w:val="en-US" w:eastAsia="zh-CN" w:bidi="ar"/>
              </w:rPr>
              <w:t>（</w:t>
            </w: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实际支出数</w:t>
            </w:r>
            <w:r>
              <w:rPr>
                <w:rStyle w:val="10"/>
                <w:rFonts w:eastAsia="宋体"/>
                <w:lang w:val="en-US" w:eastAsia="zh-CN" w:bidi="ar"/>
              </w:rPr>
              <w:t>/“</w:t>
            </w:r>
            <w:r>
              <w:rPr>
                <w:rStyle w:val="9"/>
                <w:lang w:val="en-US" w:eastAsia="zh-CN" w:bidi="ar"/>
              </w:rPr>
              <w:t>三公经费</w:t>
            </w:r>
            <w:r>
              <w:rPr>
                <w:rStyle w:val="10"/>
                <w:rFonts w:eastAsia="宋体"/>
                <w:lang w:val="en-US" w:eastAsia="zh-CN" w:bidi="ar"/>
              </w:rPr>
              <w:t>”</w:t>
            </w:r>
            <w:r>
              <w:rPr>
                <w:rStyle w:val="9"/>
                <w:lang w:val="en-US" w:eastAsia="zh-CN" w:bidi="ar"/>
              </w:rPr>
              <w:t>预算安排数）</w:t>
            </w:r>
            <w:r>
              <w:rPr>
                <w:rStyle w:val="10"/>
                <w:rFonts w:eastAsia="宋体"/>
                <w:lang w:val="en-US" w:eastAsia="zh-CN" w:bidi="ar"/>
              </w:rPr>
              <w:t>×100%</w:t>
            </w:r>
            <w:r>
              <w:rPr>
                <w:rStyle w:val="9"/>
                <w:lang w:val="en-US" w:eastAsia="zh-CN" w:bidi="ar"/>
              </w:rPr>
              <w:t>。</w:t>
            </w:r>
          </w:p>
          <w:p w14:paraId="24527B4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该项得分，控制率</w:t>
            </w:r>
            <w:r>
              <w:rPr>
                <w:rStyle w:val="10"/>
                <w:rFonts w:eastAsia="宋体"/>
                <w:lang w:val="en-US" w:eastAsia="zh-CN" w:bidi="ar"/>
              </w:rPr>
              <w:t>≤100%</w:t>
            </w:r>
            <w:r>
              <w:rPr>
                <w:rStyle w:val="9"/>
                <w:lang w:val="en-US" w:eastAsia="zh-CN" w:bidi="ar"/>
              </w:rPr>
              <w:t>，计</w:t>
            </w:r>
            <w:r>
              <w:rPr>
                <w:rStyle w:val="10"/>
                <w:rFonts w:eastAsia="宋体"/>
                <w:lang w:val="en-US" w:eastAsia="zh-CN" w:bidi="ar"/>
              </w:rPr>
              <w:t>2</w:t>
            </w:r>
            <w:r>
              <w:rPr>
                <w:rStyle w:val="9"/>
                <w:lang w:val="en-US" w:eastAsia="zh-CN" w:bidi="ar"/>
              </w:rPr>
              <w:t>分，控制率</w:t>
            </w:r>
            <w:r>
              <w:rPr>
                <w:rStyle w:val="10"/>
                <w:rFonts w:eastAsia="宋体"/>
                <w:lang w:val="en-US" w:eastAsia="zh-CN" w:bidi="ar"/>
              </w:rPr>
              <w:t>&gt;100%</w:t>
            </w:r>
            <w:r>
              <w:rPr>
                <w:rStyle w:val="9"/>
                <w:lang w:val="en-US" w:eastAsia="zh-CN" w:bidi="ar"/>
              </w:rPr>
              <w:t>，计</w:t>
            </w:r>
            <w:r>
              <w:rPr>
                <w:rStyle w:val="10"/>
                <w:rFonts w:eastAsia="宋体"/>
                <w:lang w:val="en-US" w:eastAsia="zh-CN" w:bidi="ar"/>
              </w:rPr>
              <w:t>0</w:t>
            </w:r>
            <w:r>
              <w:rPr>
                <w:rStyle w:val="9"/>
                <w:lang w:val="en-US" w:eastAsia="zh-CN" w:bidi="ar"/>
              </w:rPr>
              <w:t>分。</w:t>
            </w:r>
          </w:p>
        </w:tc>
        <w:tc>
          <w:tcPr>
            <w:tcW w:w="2115" w:type="dxa"/>
            <w:tcBorders>
              <w:tl2br w:val="nil"/>
              <w:tr2bl w:val="nil"/>
            </w:tcBorders>
            <w:noWrap w:val="0"/>
            <w:vAlign w:val="center"/>
          </w:tcPr>
          <w:p w14:paraId="381A8A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1E0C35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A5A2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14:paraId="750A93DA">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1AE39B5">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BF29078">
            <w:pPr>
              <w:keepNext w:val="0"/>
              <w:keepLines w:val="0"/>
              <w:widowControl/>
              <w:suppressLineNumbers w:val="0"/>
              <w:jc w:val="center"/>
              <w:textAlignment w:val="center"/>
              <w:rPr>
                <w:rStyle w:val="9"/>
                <w:lang w:val="en-US" w:eastAsia="zh-CN" w:bidi="ar"/>
              </w:rPr>
            </w:pPr>
            <w:r>
              <w:rPr>
                <w:rStyle w:val="9"/>
                <w:lang w:val="en-US" w:eastAsia="zh-CN" w:bidi="ar"/>
              </w:rPr>
              <w:t>政府采购</w:t>
            </w:r>
          </w:p>
          <w:p w14:paraId="0DB1C3CE">
            <w:pPr>
              <w:keepNext w:val="0"/>
              <w:keepLines w:val="0"/>
              <w:widowControl/>
              <w:suppressLineNumbers w:val="0"/>
              <w:jc w:val="center"/>
              <w:textAlignment w:val="center"/>
              <w:rPr>
                <w:rStyle w:val="9"/>
                <w:lang w:val="en-US" w:eastAsia="zh-CN" w:bidi="ar"/>
              </w:rPr>
            </w:pPr>
            <w:r>
              <w:rPr>
                <w:rStyle w:val="9"/>
                <w:lang w:val="en-US" w:eastAsia="zh-CN" w:bidi="ar"/>
              </w:rPr>
              <w:t>执行率和</w:t>
            </w:r>
          </w:p>
          <w:p w14:paraId="42C1DB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规范性</w:t>
            </w:r>
          </w:p>
        </w:tc>
        <w:tc>
          <w:tcPr>
            <w:tcW w:w="495" w:type="dxa"/>
            <w:tcBorders>
              <w:tl2br w:val="nil"/>
              <w:tr2bl w:val="nil"/>
            </w:tcBorders>
            <w:noWrap w:val="0"/>
            <w:vAlign w:val="center"/>
          </w:tcPr>
          <w:p w14:paraId="63F8F0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6BE384C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14:paraId="05AA69BB">
            <w:pPr>
              <w:keepNext w:val="0"/>
              <w:keepLines w:val="0"/>
              <w:widowControl/>
              <w:suppressLineNumbers w:val="0"/>
              <w:jc w:val="left"/>
              <w:textAlignment w:val="center"/>
              <w:rPr>
                <w:rStyle w:val="9"/>
                <w:lang w:val="en-US" w:eastAsia="zh-CN" w:bidi="ar"/>
              </w:rPr>
            </w:pPr>
          </w:p>
          <w:p w14:paraId="7A47178B">
            <w:pPr>
              <w:keepNext w:val="0"/>
              <w:keepLines w:val="0"/>
              <w:widowControl/>
              <w:suppressLineNumbers w:val="0"/>
              <w:jc w:val="left"/>
              <w:textAlignment w:val="center"/>
              <w:rPr>
                <w:rStyle w:val="9"/>
                <w:lang w:val="en-US" w:eastAsia="zh-CN" w:bidi="ar"/>
              </w:rPr>
            </w:pPr>
            <w:r>
              <w:rPr>
                <w:rStyle w:val="9"/>
                <w:lang w:val="en-US" w:eastAsia="zh-CN" w:bidi="ar"/>
              </w:rPr>
              <w:t>①政府采购预算执行率</w:t>
            </w:r>
            <w:r>
              <w:rPr>
                <w:rStyle w:val="10"/>
                <w:rFonts w:eastAsia="宋体"/>
                <w:lang w:val="en-US" w:eastAsia="zh-CN" w:bidi="ar"/>
              </w:rPr>
              <w:t>=</w:t>
            </w:r>
            <w:r>
              <w:rPr>
                <w:rStyle w:val="9"/>
                <w:lang w:val="en-US" w:eastAsia="zh-CN" w:bidi="ar"/>
              </w:rPr>
              <w:t>（实际政府采购金额</w:t>
            </w:r>
            <w:r>
              <w:rPr>
                <w:rStyle w:val="10"/>
                <w:rFonts w:eastAsia="宋体"/>
                <w:lang w:val="en-US" w:eastAsia="zh-CN" w:bidi="ar"/>
              </w:rPr>
              <w:t>/</w:t>
            </w:r>
            <w:r>
              <w:rPr>
                <w:rStyle w:val="9"/>
                <w:lang w:val="en-US" w:eastAsia="zh-CN" w:bidi="ar"/>
              </w:rPr>
              <w:t>政府采购预算数）</w:t>
            </w:r>
            <w:r>
              <w:rPr>
                <w:rStyle w:val="10"/>
                <w:rFonts w:eastAsia="宋体"/>
                <w:lang w:val="en-US" w:eastAsia="zh-CN" w:bidi="ar"/>
              </w:rPr>
              <w:t>×100%</w:t>
            </w:r>
            <w:r>
              <w:rPr>
                <w:rStyle w:val="9"/>
                <w:lang w:val="en-US" w:eastAsia="zh-CN" w:bidi="ar"/>
              </w:rPr>
              <w:t>；</w:t>
            </w:r>
          </w:p>
          <w:p w14:paraId="747B4920">
            <w:pPr>
              <w:keepNext w:val="0"/>
              <w:keepLines w:val="0"/>
              <w:widowControl/>
              <w:suppressLineNumbers w:val="0"/>
              <w:jc w:val="left"/>
              <w:textAlignment w:val="center"/>
              <w:rPr>
                <w:rStyle w:val="9"/>
                <w:lang w:val="en-US" w:eastAsia="zh-CN" w:bidi="ar"/>
              </w:rPr>
            </w:pPr>
            <w:r>
              <w:rPr>
                <w:rStyle w:val="9"/>
                <w:lang w:val="en-US" w:eastAsia="zh-CN" w:bidi="ar"/>
              </w:rPr>
              <w:t>政府采购预算：采购机关根据事业发展计划和行政任务编制的、并经过规定程序批准的年度政府采购计划。</w:t>
            </w:r>
          </w:p>
          <w:p w14:paraId="283B2559">
            <w:pPr>
              <w:keepNext w:val="0"/>
              <w:keepLines w:val="0"/>
              <w:widowControl/>
              <w:suppressLineNumbers w:val="0"/>
              <w:jc w:val="left"/>
              <w:textAlignment w:val="center"/>
              <w:rPr>
                <w:rStyle w:val="9"/>
                <w:lang w:val="en-US" w:eastAsia="zh-CN" w:bidi="ar"/>
              </w:rPr>
            </w:pPr>
            <w:r>
              <w:rPr>
                <w:rStyle w:val="9"/>
                <w:lang w:val="en-US" w:eastAsia="zh-CN" w:bidi="ar"/>
              </w:rPr>
              <w:t>该项得分，完成本年度采购计划的，政府采购执行率≤</w:t>
            </w:r>
            <w:r>
              <w:rPr>
                <w:rStyle w:val="10"/>
                <w:rFonts w:eastAsia="宋体"/>
                <w:lang w:val="en-US" w:eastAsia="zh-CN" w:bidi="ar"/>
              </w:rPr>
              <w:t>100%</w:t>
            </w:r>
            <w:r>
              <w:rPr>
                <w:rStyle w:val="9"/>
                <w:lang w:val="en-US" w:eastAsia="zh-CN" w:bidi="ar"/>
              </w:rPr>
              <w:t>，计</w:t>
            </w:r>
            <w:r>
              <w:rPr>
                <w:rStyle w:val="10"/>
                <w:rFonts w:eastAsia="宋体"/>
                <w:lang w:val="en-US" w:eastAsia="zh-CN" w:bidi="ar"/>
              </w:rPr>
              <w:t>1</w:t>
            </w:r>
            <w:r>
              <w:rPr>
                <w:rStyle w:val="9"/>
                <w:lang w:val="en-US" w:eastAsia="zh-CN" w:bidi="ar"/>
              </w:rPr>
              <w:t>分，每超过</w:t>
            </w:r>
            <w:r>
              <w:rPr>
                <w:rStyle w:val="10"/>
                <w:rFonts w:eastAsia="宋体"/>
                <w:lang w:val="en-US" w:eastAsia="zh-CN" w:bidi="ar"/>
              </w:rPr>
              <w:t>1%</w:t>
            </w:r>
            <w:r>
              <w:rPr>
                <w:rStyle w:val="9"/>
                <w:lang w:val="en-US" w:eastAsia="zh-CN" w:bidi="ar"/>
              </w:rPr>
              <w:t>扣</w:t>
            </w:r>
            <w:r>
              <w:rPr>
                <w:rStyle w:val="10"/>
                <w:rFonts w:eastAsia="宋体"/>
                <w:lang w:val="en-US" w:eastAsia="zh-CN" w:bidi="ar"/>
              </w:rPr>
              <w:t>0.1</w:t>
            </w:r>
            <w:r>
              <w:rPr>
                <w:rStyle w:val="9"/>
                <w:lang w:val="en-US" w:eastAsia="zh-CN" w:bidi="ar"/>
              </w:rPr>
              <w:t>分，扣完为止；</w:t>
            </w:r>
          </w:p>
          <w:p w14:paraId="0A24B516">
            <w:pPr>
              <w:keepNext w:val="0"/>
              <w:keepLines w:val="0"/>
              <w:widowControl/>
              <w:suppressLineNumbers w:val="0"/>
              <w:jc w:val="left"/>
              <w:textAlignment w:val="center"/>
              <w:rPr>
                <w:rStyle w:val="9"/>
                <w:lang w:val="en-US" w:eastAsia="zh-CN" w:bidi="ar"/>
              </w:rPr>
            </w:pPr>
            <w:r>
              <w:rPr>
                <w:rStyle w:val="9"/>
                <w:lang w:val="en-US" w:eastAsia="zh-CN" w:bidi="ar"/>
              </w:rPr>
              <w:t>②所有项目依法采购，无规避政府采购或化整为零进行政府采购的行为，并履行验收手续，计0.5分，否则不得分；</w:t>
            </w:r>
          </w:p>
          <w:p w14:paraId="283CD2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③预算单位建立了政府采购内控制度，计0.5分，否则不得分。</w:t>
            </w:r>
          </w:p>
        </w:tc>
        <w:tc>
          <w:tcPr>
            <w:tcW w:w="2115" w:type="dxa"/>
            <w:tcBorders>
              <w:tl2br w:val="nil"/>
              <w:tr2bl w:val="nil"/>
            </w:tcBorders>
            <w:noWrap w:val="0"/>
            <w:vAlign w:val="center"/>
          </w:tcPr>
          <w:p w14:paraId="575C7F6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财政部门批复的本年度部门（单位）预算；本年度部门（单位）决算报表；《政府采购法》。</w:t>
            </w:r>
          </w:p>
        </w:tc>
        <w:tc>
          <w:tcPr>
            <w:tcW w:w="586" w:type="dxa"/>
            <w:tcBorders>
              <w:tl2br w:val="nil"/>
              <w:tr2bl w:val="nil"/>
            </w:tcBorders>
            <w:noWrap w:val="0"/>
            <w:vAlign w:val="center"/>
          </w:tcPr>
          <w:p w14:paraId="7EEF3E2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F22E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41B1421D">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000CF952">
            <w:pPr>
              <w:keepNext w:val="0"/>
              <w:keepLines w:val="0"/>
              <w:widowControl/>
              <w:suppressLineNumbers w:val="0"/>
              <w:jc w:val="center"/>
              <w:textAlignment w:val="center"/>
              <w:rPr>
                <w:rStyle w:val="9"/>
                <w:lang w:val="en-US" w:eastAsia="zh-CN" w:bidi="ar"/>
              </w:rPr>
            </w:pPr>
            <w:r>
              <w:rPr>
                <w:rStyle w:val="9"/>
                <w:lang w:val="en-US" w:eastAsia="zh-CN" w:bidi="ar"/>
              </w:rPr>
              <w:t>预算</w:t>
            </w:r>
          </w:p>
          <w:p w14:paraId="791944E8">
            <w:pPr>
              <w:keepNext w:val="0"/>
              <w:keepLines w:val="0"/>
              <w:widowControl/>
              <w:suppressLineNumbers w:val="0"/>
              <w:jc w:val="center"/>
              <w:textAlignment w:val="center"/>
              <w:rPr>
                <w:rStyle w:val="9"/>
                <w:lang w:val="en-US" w:eastAsia="zh-CN" w:bidi="ar"/>
              </w:rPr>
            </w:pPr>
            <w:r>
              <w:rPr>
                <w:rStyle w:val="9"/>
                <w:lang w:val="en-US" w:eastAsia="zh-CN" w:bidi="ar"/>
              </w:rPr>
              <w:t>管理</w:t>
            </w:r>
          </w:p>
          <w:p w14:paraId="1F801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w:t>
            </w:r>
            <w:r>
              <w:rPr>
                <w:rStyle w:val="10"/>
                <w:rFonts w:eastAsia="宋体"/>
                <w:lang w:val="en-US" w:eastAsia="zh-CN" w:bidi="ar"/>
              </w:rPr>
              <w:t>29</w:t>
            </w:r>
            <w:r>
              <w:rPr>
                <w:rStyle w:val="9"/>
                <w:lang w:val="en-US" w:eastAsia="zh-CN" w:bidi="ar"/>
              </w:rPr>
              <w:t>分）</w:t>
            </w:r>
          </w:p>
        </w:tc>
        <w:tc>
          <w:tcPr>
            <w:tcW w:w="1050" w:type="dxa"/>
            <w:tcBorders>
              <w:tl2br w:val="nil"/>
              <w:tr2bl w:val="nil"/>
            </w:tcBorders>
            <w:noWrap w:val="0"/>
            <w:vAlign w:val="center"/>
          </w:tcPr>
          <w:p w14:paraId="4F782FAA">
            <w:pPr>
              <w:keepNext w:val="0"/>
              <w:keepLines w:val="0"/>
              <w:widowControl/>
              <w:suppressLineNumbers w:val="0"/>
              <w:jc w:val="center"/>
              <w:textAlignment w:val="center"/>
              <w:rPr>
                <w:rStyle w:val="9"/>
                <w:lang w:val="en-US" w:eastAsia="zh-CN" w:bidi="ar"/>
              </w:rPr>
            </w:pPr>
            <w:r>
              <w:rPr>
                <w:rStyle w:val="9"/>
                <w:lang w:val="en-US" w:eastAsia="zh-CN" w:bidi="ar"/>
              </w:rPr>
              <w:t>管理制度</w:t>
            </w:r>
          </w:p>
          <w:p w14:paraId="09CE20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健全性</w:t>
            </w:r>
          </w:p>
        </w:tc>
        <w:tc>
          <w:tcPr>
            <w:tcW w:w="495" w:type="dxa"/>
            <w:tcBorders>
              <w:tl2br w:val="nil"/>
              <w:tr2bl w:val="nil"/>
            </w:tcBorders>
            <w:noWrap w:val="0"/>
            <w:vAlign w:val="center"/>
          </w:tcPr>
          <w:p w14:paraId="0D9536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313CCB8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14:paraId="64F1835F">
            <w:pPr>
              <w:keepNext w:val="0"/>
              <w:keepLines w:val="0"/>
              <w:widowControl/>
              <w:suppressLineNumbers w:val="0"/>
              <w:jc w:val="left"/>
              <w:textAlignment w:val="center"/>
              <w:rPr>
                <w:rStyle w:val="9"/>
                <w:lang w:val="en-US" w:eastAsia="zh-CN" w:bidi="ar"/>
              </w:rPr>
            </w:pPr>
          </w:p>
          <w:p w14:paraId="1A57FEFA">
            <w:pPr>
              <w:keepNext w:val="0"/>
              <w:keepLines w:val="0"/>
              <w:widowControl/>
              <w:suppressLineNumbers w:val="0"/>
              <w:jc w:val="left"/>
              <w:textAlignment w:val="center"/>
              <w:rPr>
                <w:rStyle w:val="9"/>
                <w:lang w:val="en-US" w:eastAsia="zh-CN" w:bidi="ar"/>
              </w:rPr>
            </w:pPr>
            <w:r>
              <w:rPr>
                <w:rStyle w:val="9"/>
                <w:lang w:val="en-US" w:eastAsia="zh-CN" w:bidi="ar"/>
              </w:rPr>
              <w:t>①是否已制定或具有预算资金管理办法、内部财务管理制度、会计核算制度等管理制度；</w:t>
            </w:r>
          </w:p>
          <w:p w14:paraId="2F9B9CEE">
            <w:pPr>
              <w:keepNext w:val="0"/>
              <w:keepLines w:val="0"/>
              <w:widowControl/>
              <w:suppressLineNumbers w:val="0"/>
              <w:jc w:val="left"/>
              <w:textAlignment w:val="center"/>
              <w:rPr>
                <w:rStyle w:val="9"/>
                <w:lang w:val="en-US" w:eastAsia="zh-CN" w:bidi="ar"/>
              </w:rPr>
            </w:pPr>
            <w:r>
              <w:rPr>
                <w:rStyle w:val="9"/>
                <w:lang w:val="en-US" w:eastAsia="zh-CN" w:bidi="ar"/>
              </w:rPr>
              <w:t>②相关管理制度是否合法、合规、完整；</w:t>
            </w:r>
          </w:p>
          <w:p w14:paraId="6AD4AECE">
            <w:pPr>
              <w:keepNext w:val="0"/>
              <w:keepLines w:val="0"/>
              <w:widowControl/>
              <w:suppressLineNumbers w:val="0"/>
              <w:jc w:val="left"/>
              <w:textAlignment w:val="center"/>
              <w:rPr>
                <w:rStyle w:val="9"/>
                <w:lang w:val="en-US" w:eastAsia="zh-CN" w:bidi="ar"/>
              </w:rPr>
            </w:pPr>
            <w:r>
              <w:rPr>
                <w:rStyle w:val="9"/>
                <w:lang w:val="en-US" w:eastAsia="zh-CN" w:bidi="ar"/>
              </w:rPr>
              <w:t>③相关管理制度是否得到有效执行。</w:t>
            </w:r>
          </w:p>
          <w:p w14:paraId="456AD3E6">
            <w:pPr>
              <w:keepNext w:val="0"/>
              <w:keepLines w:val="0"/>
              <w:widowControl/>
              <w:suppressLineNumbers w:val="0"/>
              <w:jc w:val="left"/>
              <w:textAlignment w:val="center"/>
              <w:rPr>
                <w:rStyle w:val="9"/>
                <w:lang w:val="en-US" w:eastAsia="zh-CN" w:bidi="ar"/>
              </w:rPr>
            </w:pPr>
            <w:r>
              <w:rPr>
                <w:rStyle w:val="9"/>
                <w:lang w:val="en-US" w:eastAsia="zh-CN" w:bidi="ar"/>
              </w:rPr>
              <w:t>④会计人员、机构是否按规定设置；</w:t>
            </w:r>
          </w:p>
          <w:p w14:paraId="30EC29A7">
            <w:pPr>
              <w:keepNext w:val="0"/>
              <w:keepLines w:val="0"/>
              <w:widowControl/>
              <w:suppressLineNumbers w:val="0"/>
              <w:jc w:val="left"/>
              <w:textAlignment w:val="center"/>
              <w:rPr>
                <w:rStyle w:val="9"/>
                <w:lang w:val="en-US" w:eastAsia="zh-CN" w:bidi="ar"/>
              </w:rPr>
            </w:pPr>
            <w:r>
              <w:rPr>
                <w:rStyle w:val="9"/>
                <w:lang w:val="en-US" w:eastAsia="zh-CN" w:bidi="ar"/>
              </w:rPr>
              <w:t>⑤会计基础工作是否健全；</w:t>
            </w:r>
          </w:p>
          <w:p w14:paraId="6DE5972B">
            <w:pPr>
              <w:keepNext w:val="0"/>
              <w:keepLines w:val="0"/>
              <w:widowControl/>
              <w:suppressLineNumbers w:val="0"/>
              <w:jc w:val="left"/>
              <w:textAlignment w:val="center"/>
              <w:rPr>
                <w:rStyle w:val="9"/>
                <w:lang w:val="en-US" w:eastAsia="zh-CN" w:bidi="ar"/>
              </w:rPr>
            </w:pPr>
            <w:r>
              <w:rPr>
                <w:rStyle w:val="9"/>
                <w:lang w:val="en-US" w:eastAsia="zh-CN" w:bidi="ar"/>
              </w:rPr>
              <w:t>⑥会计档案是否符合规定要求；</w:t>
            </w:r>
          </w:p>
          <w:p w14:paraId="25927C67">
            <w:pPr>
              <w:keepNext w:val="0"/>
              <w:keepLines w:val="0"/>
              <w:widowControl/>
              <w:suppressLineNumbers w:val="0"/>
              <w:jc w:val="left"/>
              <w:textAlignment w:val="center"/>
              <w:rPr>
                <w:rStyle w:val="9"/>
                <w:lang w:val="en-US" w:eastAsia="zh-CN" w:bidi="ar"/>
              </w:rPr>
            </w:pPr>
            <w:r>
              <w:rPr>
                <w:rStyle w:val="9"/>
                <w:lang w:val="en-US" w:eastAsia="zh-CN" w:bidi="ar"/>
              </w:rPr>
              <w:t>⑦项目管理是否规范（包括项目立项、申报、招投标、合同或协议要素、制度建立、按时完工等）。</w:t>
            </w:r>
          </w:p>
          <w:p w14:paraId="00A19D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以上情况每发现一例不符合要求的扣</w:t>
            </w:r>
            <w:r>
              <w:rPr>
                <w:rStyle w:val="10"/>
                <w:rFonts w:eastAsia="宋体"/>
                <w:lang w:val="en-US" w:eastAsia="zh-CN" w:bidi="ar"/>
              </w:rPr>
              <w:t>1</w:t>
            </w:r>
            <w:r>
              <w:rPr>
                <w:rStyle w:val="9"/>
                <w:lang w:val="en-US" w:eastAsia="zh-CN" w:bidi="ar"/>
              </w:rPr>
              <w:t>分，扣完为止。</w:t>
            </w:r>
          </w:p>
        </w:tc>
        <w:tc>
          <w:tcPr>
            <w:tcW w:w="2115" w:type="dxa"/>
            <w:tcBorders>
              <w:tl2br w:val="nil"/>
              <w:tr2bl w:val="nil"/>
            </w:tcBorders>
            <w:noWrap w:val="0"/>
            <w:vAlign w:val="center"/>
          </w:tcPr>
          <w:p w14:paraId="4B2C5FC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部门（单位）管理制度。</w:t>
            </w:r>
          </w:p>
        </w:tc>
        <w:tc>
          <w:tcPr>
            <w:tcW w:w="586" w:type="dxa"/>
            <w:tcBorders>
              <w:tl2br w:val="nil"/>
              <w:tr2bl w:val="nil"/>
            </w:tcBorders>
            <w:noWrap w:val="0"/>
            <w:vAlign w:val="center"/>
          </w:tcPr>
          <w:p w14:paraId="203A37E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60D32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14:paraId="78517939">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10564B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B50732B">
            <w:pPr>
              <w:keepNext w:val="0"/>
              <w:keepLines w:val="0"/>
              <w:widowControl/>
              <w:suppressLineNumbers w:val="0"/>
              <w:jc w:val="center"/>
              <w:textAlignment w:val="center"/>
              <w:rPr>
                <w:rStyle w:val="9"/>
                <w:lang w:val="en-US" w:eastAsia="zh-CN" w:bidi="ar"/>
              </w:rPr>
            </w:pPr>
            <w:r>
              <w:rPr>
                <w:rStyle w:val="9"/>
                <w:lang w:val="en-US" w:eastAsia="zh-CN" w:bidi="ar"/>
              </w:rPr>
              <w:t>资金使用</w:t>
            </w:r>
          </w:p>
          <w:p w14:paraId="2ED08D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合规性</w:t>
            </w:r>
          </w:p>
        </w:tc>
        <w:tc>
          <w:tcPr>
            <w:tcW w:w="495" w:type="dxa"/>
            <w:tcBorders>
              <w:tl2br w:val="nil"/>
              <w:tr2bl w:val="nil"/>
            </w:tcBorders>
            <w:noWrap w:val="0"/>
            <w:vAlign w:val="center"/>
          </w:tcPr>
          <w:p w14:paraId="6501EF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14:paraId="711053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14:paraId="7E14163A">
            <w:pPr>
              <w:keepNext w:val="0"/>
              <w:keepLines w:val="0"/>
              <w:widowControl/>
              <w:suppressLineNumbers w:val="0"/>
              <w:jc w:val="left"/>
              <w:textAlignment w:val="center"/>
              <w:rPr>
                <w:rStyle w:val="9"/>
                <w:lang w:val="en-US" w:eastAsia="zh-CN" w:bidi="ar"/>
              </w:rPr>
            </w:pPr>
          </w:p>
          <w:p w14:paraId="5F2E7503">
            <w:pPr>
              <w:keepNext w:val="0"/>
              <w:keepLines w:val="0"/>
              <w:widowControl/>
              <w:suppressLineNumbers w:val="0"/>
              <w:jc w:val="left"/>
              <w:textAlignment w:val="center"/>
              <w:rPr>
                <w:rStyle w:val="9"/>
                <w:lang w:val="en-US" w:eastAsia="zh-CN" w:bidi="ar"/>
              </w:rPr>
            </w:pPr>
            <w:r>
              <w:rPr>
                <w:rStyle w:val="9"/>
                <w:lang w:val="en-US" w:eastAsia="zh-CN" w:bidi="ar"/>
              </w:rPr>
              <w:t>①符合国家财经法规和财务管理制度以及有关专项资金管理办法的规定，计</w:t>
            </w:r>
            <w:r>
              <w:rPr>
                <w:rStyle w:val="10"/>
                <w:rFonts w:eastAsia="宋体"/>
                <w:lang w:val="en-US" w:eastAsia="zh-CN" w:bidi="ar"/>
              </w:rPr>
              <w:t>1</w:t>
            </w:r>
            <w:r>
              <w:rPr>
                <w:rStyle w:val="9"/>
                <w:lang w:val="en-US" w:eastAsia="zh-CN" w:bidi="ar"/>
              </w:rPr>
              <w:t>分，</w:t>
            </w:r>
            <w:r>
              <w:rPr>
                <w:rStyle w:val="10"/>
                <w:rFonts w:eastAsia="宋体"/>
                <w:lang w:val="en-US" w:eastAsia="zh-CN" w:bidi="ar"/>
              </w:rPr>
              <w:t>1</w:t>
            </w:r>
            <w:r>
              <w:rPr>
                <w:rStyle w:val="9"/>
                <w:lang w:val="en-US" w:eastAsia="zh-CN" w:bidi="ar"/>
              </w:rPr>
              <w:t>例不符合扣</w:t>
            </w:r>
            <w:r>
              <w:rPr>
                <w:rStyle w:val="10"/>
                <w:rFonts w:eastAsia="宋体"/>
                <w:lang w:val="en-US" w:eastAsia="zh-CN" w:bidi="ar"/>
              </w:rPr>
              <w:t>0.5</w:t>
            </w:r>
            <w:r>
              <w:rPr>
                <w:rStyle w:val="9"/>
                <w:lang w:val="en-US" w:eastAsia="zh-CN" w:bidi="ar"/>
              </w:rPr>
              <w:t>分；</w:t>
            </w:r>
          </w:p>
          <w:p w14:paraId="1DDA9D20">
            <w:pPr>
              <w:keepNext w:val="0"/>
              <w:keepLines w:val="0"/>
              <w:widowControl/>
              <w:suppressLineNumbers w:val="0"/>
              <w:jc w:val="left"/>
              <w:textAlignment w:val="center"/>
              <w:rPr>
                <w:rStyle w:val="9"/>
                <w:lang w:val="en-US" w:eastAsia="zh-CN" w:bidi="ar"/>
              </w:rPr>
            </w:pPr>
            <w:r>
              <w:rPr>
                <w:rStyle w:val="9"/>
                <w:lang w:val="en-US" w:eastAsia="zh-CN" w:bidi="ar"/>
              </w:rPr>
              <w:t>②资金的支付有完整的审批程序和手续，计</w:t>
            </w:r>
            <w:r>
              <w:rPr>
                <w:rStyle w:val="10"/>
                <w:rFonts w:eastAsia="宋体"/>
                <w:lang w:val="en-US" w:eastAsia="zh-CN" w:bidi="ar"/>
              </w:rPr>
              <w:t>1</w:t>
            </w:r>
            <w:r>
              <w:rPr>
                <w:rStyle w:val="9"/>
                <w:lang w:val="en-US" w:eastAsia="zh-CN" w:bidi="ar"/>
              </w:rPr>
              <w:t>分，</w:t>
            </w:r>
            <w:r>
              <w:rPr>
                <w:rStyle w:val="10"/>
                <w:rFonts w:eastAsia="宋体"/>
                <w:lang w:val="en-US" w:eastAsia="zh-CN" w:bidi="ar"/>
              </w:rPr>
              <w:t>1</w:t>
            </w:r>
            <w:r>
              <w:rPr>
                <w:rStyle w:val="9"/>
                <w:lang w:val="en-US" w:eastAsia="zh-CN" w:bidi="ar"/>
              </w:rPr>
              <w:t>例不符合扣</w:t>
            </w:r>
            <w:r>
              <w:rPr>
                <w:rStyle w:val="10"/>
                <w:rFonts w:eastAsia="宋体"/>
                <w:lang w:val="en-US" w:eastAsia="zh-CN" w:bidi="ar"/>
              </w:rPr>
              <w:t>0.5</w:t>
            </w:r>
            <w:r>
              <w:rPr>
                <w:rStyle w:val="9"/>
                <w:lang w:val="en-US" w:eastAsia="zh-CN" w:bidi="ar"/>
              </w:rPr>
              <w:t>分；</w:t>
            </w:r>
          </w:p>
          <w:p w14:paraId="5B4D7887">
            <w:pPr>
              <w:keepNext w:val="0"/>
              <w:keepLines w:val="0"/>
              <w:widowControl/>
              <w:suppressLineNumbers w:val="0"/>
              <w:jc w:val="left"/>
              <w:textAlignment w:val="center"/>
              <w:rPr>
                <w:rStyle w:val="9"/>
                <w:lang w:val="en-US" w:eastAsia="zh-CN" w:bidi="ar"/>
              </w:rPr>
            </w:pPr>
            <w:r>
              <w:rPr>
                <w:rStyle w:val="9"/>
                <w:lang w:val="en-US" w:eastAsia="zh-CN" w:bidi="ar"/>
              </w:rPr>
              <w:t>③重大项目开支和大额资金使用经过单位党组集体研究决策，计</w:t>
            </w:r>
            <w:r>
              <w:rPr>
                <w:rStyle w:val="10"/>
                <w:rFonts w:eastAsia="宋体"/>
                <w:lang w:val="en-US" w:eastAsia="zh-CN" w:bidi="ar"/>
              </w:rPr>
              <w:t>1</w:t>
            </w:r>
            <w:r>
              <w:rPr>
                <w:rStyle w:val="9"/>
                <w:lang w:val="en-US" w:eastAsia="zh-CN" w:bidi="ar"/>
              </w:rPr>
              <w:t>分，</w:t>
            </w:r>
            <w:r>
              <w:rPr>
                <w:rStyle w:val="10"/>
                <w:rFonts w:eastAsia="宋体"/>
                <w:lang w:val="en-US" w:eastAsia="zh-CN" w:bidi="ar"/>
              </w:rPr>
              <w:t>1</w:t>
            </w:r>
            <w:r>
              <w:rPr>
                <w:rStyle w:val="9"/>
                <w:lang w:val="en-US" w:eastAsia="zh-CN" w:bidi="ar"/>
              </w:rPr>
              <w:t>例不符合扣</w:t>
            </w:r>
            <w:r>
              <w:rPr>
                <w:rStyle w:val="10"/>
                <w:rFonts w:eastAsia="宋体"/>
                <w:lang w:val="en-US" w:eastAsia="zh-CN" w:bidi="ar"/>
              </w:rPr>
              <w:t>0.5</w:t>
            </w:r>
            <w:r>
              <w:rPr>
                <w:rStyle w:val="9"/>
                <w:lang w:val="en-US" w:eastAsia="zh-CN" w:bidi="ar"/>
              </w:rPr>
              <w:t>分；</w:t>
            </w:r>
          </w:p>
          <w:p w14:paraId="41179773">
            <w:pPr>
              <w:keepNext w:val="0"/>
              <w:keepLines w:val="0"/>
              <w:widowControl/>
              <w:suppressLineNumbers w:val="0"/>
              <w:jc w:val="left"/>
              <w:textAlignment w:val="center"/>
              <w:rPr>
                <w:rStyle w:val="9"/>
                <w:lang w:val="en-US" w:eastAsia="zh-CN" w:bidi="ar"/>
              </w:rPr>
            </w:pPr>
            <w:r>
              <w:rPr>
                <w:rStyle w:val="9"/>
                <w:lang w:val="en-US" w:eastAsia="zh-CN" w:bidi="ar"/>
              </w:rPr>
              <w:t>④符合项目预算批复或合同规定的用途，计</w:t>
            </w:r>
            <w:r>
              <w:rPr>
                <w:rStyle w:val="10"/>
                <w:rFonts w:eastAsia="宋体"/>
                <w:lang w:val="en-US" w:eastAsia="zh-CN" w:bidi="ar"/>
              </w:rPr>
              <w:t>1</w:t>
            </w:r>
            <w:r>
              <w:rPr>
                <w:rStyle w:val="9"/>
                <w:lang w:val="en-US" w:eastAsia="zh-CN" w:bidi="ar"/>
              </w:rPr>
              <w:t>分，</w:t>
            </w:r>
            <w:r>
              <w:rPr>
                <w:rStyle w:val="10"/>
                <w:rFonts w:eastAsia="宋体"/>
                <w:lang w:val="en-US" w:eastAsia="zh-CN" w:bidi="ar"/>
              </w:rPr>
              <w:t>1</w:t>
            </w:r>
            <w:r>
              <w:rPr>
                <w:rStyle w:val="9"/>
                <w:lang w:val="en-US" w:eastAsia="zh-CN" w:bidi="ar"/>
              </w:rPr>
              <w:t>例不符合扣</w:t>
            </w:r>
            <w:r>
              <w:rPr>
                <w:rStyle w:val="10"/>
                <w:rFonts w:eastAsia="宋体"/>
                <w:lang w:val="en-US" w:eastAsia="zh-CN" w:bidi="ar"/>
              </w:rPr>
              <w:t>0.5</w:t>
            </w:r>
            <w:r>
              <w:rPr>
                <w:rStyle w:val="9"/>
                <w:lang w:val="en-US" w:eastAsia="zh-CN" w:bidi="ar"/>
              </w:rPr>
              <w:t>分；</w:t>
            </w:r>
          </w:p>
          <w:p w14:paraId="645D813A">
            <w:pPr>
              <w:keepNext w:val="0"/>
              <w:keepLines w:val="0"/>
              <w:widowControl/>
              <w:suppressLineNumbers w:val="0"/>
              <w:jc w:val="left"/>
              <w:textAlignment w:val="center"/>
              <w:rPr>
                <w:rStyle w:val="9"/>
                <w:lang w:val="en-US" w:eastAsia="zh-CN" w:bidi="ar"/>
              </w:rPr>
            </w:pPr>
            <w:r>
              <w:rPr>
                <w:rStyle w:val="9"/>
                <w:lang w:val="en-US" w:eastAsia="zh-CN" w:bidi="ar"/>
              </w:rPr>
              <w:t>⑤没有截留、挤占、挪用、虚列支出等情况，计</w:t>
            </w:r>
            <w:r>
              <w:rPr>
                <w:rStyle w:val="10"/>
                <w:rFonts w:eastAsia="宋体"/>
                <w:lang w:val="en-US" w:eastAsia="zh-CN" w:bidi="ar"/>
              </w:rPr>
              <w:t>1</w:t>
            </w:r>
            <w:r>
              <w:rPr>
                <w:rStyle w:val="9"/>
                <w:lang w:val="en-US" w:eastAsia="zh-CN" w:bidi="ar"/>
              </w:rPr>
              <w:t>分，发生</w:t>
            </w:r>
            <w:r>
              <w:rPr>
                <w:rStyle w:val="10"/>
                <w:rFonts w:eastAsia="宋体"/>
                <w:lang w:val="en-US" w:eastAsia="zh-CN" w:bidi="ar"/>
              </w:rPr>
              <w:t>1</w:t>
            </w:r>
            <w:r>
              <w:rPr>
                <w:rStyle w:val="9"/>
                <w:lang w:val="en-US" w:eastAsia="zh-CN" w:bidi="ar"/>
              </w:rPr>
              <w:t>例不符合本指标的现象</w:t>
            </w:r>
            <w:r>
              <w:rPr>
                <w:rStyle w:val="10"/>
                <w:rFonts w:eastAsia="宋体"/>
                <w:lang w:val="en-US" w:eastAsia="zh-CN" w:bidi="ar"/>
              </w:rPr>
              <w:t>7</w:t>
            </w:r>
            <w:r>
              <w:rPr>
                <w:rStyle w:val="9"/>
                <w:lang w:val="en-US" w:eastAsia="zh-CN" w:bidi="ar"/>
              </w:rPr>
              <w:t>分全扣；</w:t>
            </w:r>
          </w:p>
          <w:p w14:paraId="07FF6C59">
            <w:pPr>
              <w:keepNext w:val="0"/>
              <w:keepLines w:val="0"/>
              <w:widowControl/>
              <w:suppressLineNumbers w:val="0"/>
              <w:jc w:val="left"/>
              <w:textAlignment w:val="center"/>
              <w:rPr>
                <w:rStyle w:val="9"/>
                <w:lang w:val="en-US" w:eastAsia="zh-CN" w:bidi="ar"/>
              </w:rPr>
            </w:pPr>
            <w:r>
              <w:rPr>
                <w:rStyle w:val="9"/>
                <w:lang w:val="en-US" w:eastAsia="zh-CN" w:bidi="ar"/>
              </w:rPr>
              <w:t>⑥原始凭证的取得真实有效，计</w:t>
            </w:r>
            <w:r>
              <w:rPr>
                <w:rStyle w:val="10"/>
                <w:rFonts w:eastAsia="宋体"/>
                <w:lang w:val="en-US" w:eastAsia="zh-CN" w:bidi="ar"/>
              </w:rPr>
              <w:t>1</w:t>
            </w:r>
            <w:r>
              <w:rPr>
                <w:rStyle w:val="9"/>
                <w:lang w:val="en-US" w:eastAsia="zh-CN" w:bidi="ar"/>
              </w:rPr>
              <w:t>分，</w:t>
            </w:r>
            <w:r>
              <w:rPr>
                <w:rStyle w:val="10"/>
                <w:rFonts w:eastAsia="宋体"/>
                <w:lang w:val="en-US" w:eastAsia="zh-CN" w:bidi="ar"/>
              </w:rPr>
              <w:t>1</w:t>
            </w:r>
            <w:r>
              <w:rPr>
                <w:rStyle w:val="9"/>
                <w:lang w:val="en-US" w:eastAsia="zh-CN" w:bidi="ar"/>
              </w:rPr>
              <w:t>例不符合扣</w:t>
            </w:r>
            <w:r>
              <w:rPr>
                <w:rStyle w:val="10"/>
                <w:rFonts w:eastAsia="宋体"/>
                <w:lang w:val="en-US" w:eastAsia="zh-CN" w:bidi="ar"/>
              </w:rPr>
              <w:t>0.5</w:t>
            </w:r>
            <w:r>
              <w:rPr>
                <w:rStyle w:val="9"/>
                <w:lang w:val="en-US" w:eastAsia="zh-CN" w:bidi="ar"/>
              </w:rPr>
              <w:t>分；</w:t>
            </w:r>
          </w:p>
          <w:p w14:paraId="5AC8036C">
            <w:pPr>
              <w:keepNext w:val="0"/>
              <w:keepLines w:val="0"/>
              <w:widowControl/>
              <w:suppressLineNumbers w:val="0"/>
              <w:jc w:val="left"/>
              <w:textAlignment w:val="center"/>
              <w:rPr>
                <w:rStyle w:val="9"/>
                <w:lang w:val="en-US" w:eastAsia="zh-CN" w:bidi="ar"/>
              </w:rPr>
            </w:pPr>
            <w:r>
              <w:rPr>
                <w:rStyle w:val="9"/>
                <w:lang w:val="en-US" w:eastAsia="zh-CN" w:bidi="ar"/>
              </w:rPr>
              <w:t>⑦无超标准发放津补贴、奖金、无用公款支付应个人支付的款项，计</w:t>
            </w:r>
            <w:r>
              <w:rPr>
                <w:rStyle w:val="10"/>
                <w:rFonts w:eastAsia="宋体"/>
                <w:lang w:val="en-US" w:eastAsia="zh-CN" w:bidi="ar"/>
              </w:rPr>
              <w:t>1</w:t>
            </w:r>
            <w:r>
              <w:rPr>
                <w:rStyle w:val="9"/>
                <w:lang w:val="en-US" w:eastAsia="zh-CN" w:bidi="ar"/>
              </w:rPr>
              <w:t>分，</w:t>
            </w:r>
            <w:r>
              <w:rPr>
                <w:rStyle w:val="10"/>
                <w:rFonts w:eastAsia="宋体"/>
                <w:lang w:val="en-US" w:eastAsia="zh-CN" w:bidi="ar"/>
              </w:rPr>
              <w:t>1</w:t>
            </w:r>
            <w:r>
              <w:rPr>
                <w:rStyle w:val="9"/>
                <w:lang w:val="en-US" w:eastAsia="zh-CN" w:bidi="ar"/>
              </w:rPr>
              <w:t>例不符合扣</w:t>
            </w:r>
            <w:r>
              <w:rPr>
                <w:rStyle w:val="10"/>
                <w:rFonts w:eastAsia="宋体"/>
                <w:lang w:val="en-US" w:eastAsia="zh-CN" w:bidi="ar"/>
              </w:rPr>
              <w:t>0.5</w:t>
            </w:r>
            <w:r>
              <w:rPr>
                <w:rStyle w:val="9"/>
                <w:lang w:val="en-US" w:eastAsia="zh-CN" w:bidi="ar"/>
              </w:rPr>
              <w:t>分。</w:t>
            </w:r>
          </w:p>
          <w:p w14:paraId="181CB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14:paraId="4853C4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14:paraId="77454E1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14:paraId="391B5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14:paraId="59AC3757">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1E19140">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9A8CABD">
            <w:pPr>
              <w:keepNext w:val="0"/>
              <w:keepLines w:val="0"/>
              <w:widowControl/>
              <w:suppressLineNumbers w:val="0"/>
              <w:jc w:val="center"/>
              <w:textAlignment w:val="center"/>
              <w:rPr>
                <w:rStyle w:val="9"/>
                <w:lang w:val="en-US" w:eastAsia="zh-CN" w:bidi="ar"/>
              </w:rPr>
            </w:pPr>
            <w:r>
              <w:rPr>
                <w:rStyle w:val="9"/>
                <w:lang w:val="en-US" w:eastAsia="zh-CN" w:bidi="ar"/>
              </w:rPr>
              <w:t>信息</w:t>
            </w:r>
          </w:p>
          <w:p w14:paraId="5DB8A6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公开性</w:t>
            </w:r>
          </w:p>
        </w:tc>
        <w:tc>
          <w:tcPr>
            <w:tcW w:w="495" w:type="dxa"/>
            <w:tcBorders>
              <w:tl2br w:val="nil"/>
              <w:tr2bl w:val="nil"/>
            </w:tcBorders>
            <w:noWrap w:val="0"/>
            <w:vAlign w:val="center"/>
          </w:tcPr>
          <w:p w14:paraId="3F1BE7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379C6B9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14:paraId="7986CE67">
            <w:pPr>
              <w:keepNext w:val="0"/>
              <w:keepLines w:val="0"/>
              <w:widowControl/>
              <w:suppressLineNumbers w:val="0"/>
              <w:jc w:val="left"/>
              <w:textAlignment w:val="center"/>
              <w:rPr>
                <w:rStyle w:val="9"/>
                <w:lang w:val="en-US" w:eastAsia="zh-CN" w:bidi="ar"/>
              </w:rPr>
            </w:pPr>
          </w:p>
          <w:p w14:paraId="760FD6AF">
            <w:pPr>
              <w:keepNext w:val="0"/>
              <w:keepLines w:val="0"/>
              <w:widowControl/>
              <w:suppressLineNumbers w:val="0"/>
              <w:jc w:val="left"/>
              <w:textAlignment w:val="center"/>
              <w:rPr>
                <w:rStyle w:val="9"/>
                <w:lang w:val="en-US" w:eastAsia="zh-CN" w:bidi="ar"/>
              </w:rPr>
            </w:pPr>
            <w:r>
              <w:rPr>
                <w:rStyle w:val="9"/>
                <w:lang w:val="en-US" w:eastAsia="zh-CN" w:bidi="ar"/>
              </w:rPr>
              <w:t>①无涉密情况的预算单位按规定及时、准确、完整的公开预决算和绩效管理信息，计</w:t>
            </w:r>
            <w:r>
              <w:rPr>
                <w:rStyle w:val="10"/>
                <w:rFonts w:eastAsia="宋体"/>
                <w:lang w:val="en-US" w:eastAsia="zh-CN" w:bidi="ar"/>
              </w:rPr>
              <w:t>1</w:t>
            </w:r>
            <w:r>
              <w:rPr>
                <w:rStyle w:val="9"/>
                <w:lang w:val="en-US" w:eastAsia="zh-CN" w:bidi="ar"/>
              </w:rPr>
              <w:t>分，否则，酌情扣分；</w:t>
            </w:r>
          </w:p>
          <w:p w14:paraId="22BD98BE">
            <w:pPr>
              <w:keepNext w:val="0"/>
              <w:keepLines w:val="0"/>
              <w:widowControl/>
              <w:suppressLineNumbers w:val="0"/>
              <w:jc w:val="left"/>
              <w:textAlignment w:val="center"/>
              <w:rPr>
                <w:rStyle w:val="9"/>
                <w:lang w:val="en-US" w:eastAsia="zh-CN" w:bidi="ar"/>
              </w:rPr>
            </w:pPr>
            <w:r>
              <w:rPr>
                <w:rStyle w:val="9"/>
                <w:lang w:val="en-US" w:eastAsia="zh-CN" w:bidi="ar"/>
              </w:rPr>
              <w:t>②基础数据信息和会计信息资料真实、准确、完整，计</w:t>
            </w:r>
            <w:r>
              <w:rPr>
                <w:rStyle w:val="10"/>
                <w:rFonts w:eastAsia="宋体"/>
                <w:lang w:val="en-US" w:eastAsia="zh-CN" w:bidi="ar"/>
              </w:rPr>
              <w:t>1</w:t>
            </w:r>
            <w:r>
              <w:rPr>
                <w:rStyle w:val="9"/>
                <w:lang w:val="en-US" w:eastAsia="zh-CN" w:bidi="ar"/>
              </w:rPr>
              <w:t>分，否则，酌情扣分。</w:t>
            </w:r>
          </w:p>
          <w:p w14:paraId="15D38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14:paraId="31D93F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14:paraId="18E7D7C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40B6B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14:paraId="23041D3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D9AE0AB">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A977AA7">
            <w:pPr>
              <w:keepNext w:val="0"/>
              <w:keepLines w:val="0"/>
              <w:widowControl/>
              <w:suppressLineNumbers w:val="0"/>
              <w:jc w:val="center"/>
              <w:textAlignment w:val="center"/>
              <w:rPr>
                <w:rStyle w:val="10"/>
                <w:rFonts w:eastAsia="宋体"/>
                <w:lang w:val="en-US" w:eastAsia="zh-CN" w:bidi="ar"/>
              </w:rPr>
            </w:pPr>
            <w:r>
              <w:rPr>
                <w:rStyle w:val="9"/>
                <w:lang w:val="en-US" w:eastAsia="zh-CN" w:bidi="ar"/>
              </w:rPr>
              <w:t>非税收入</w:t>
            </w:r>
            <w:r>
              <w:rPr>
                <w:rStyle w:val="10"/>
                <w:rFonts w:eastAsia="宋体"/>
                <w:lang w:val="en-US" w:eastAsia="zh-CN" w:bidi="ar"/>
              </w:rPr>
              <w:t xml:space="preserve"> </w:t>
            </w:r>
          </w:p>
          <w:p w14:paraId="3D8768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管理</w:t>
            </w:r>
          </w:p>
        </w:tc>
        <w:tc>
          <w:tcPr>
            <w:tcW w:w="495" w:type="dxa"/>
            <w:tcBorders>
              <w:tl2br w:val="nil"/>
              <w:tr2bl w:val="nil"/>
            </w:tcBorders>
            <w:noWrap w:val="0"/>
            <w:vAlign w:val="center"/>
          </w:tcPr>
          <w:p w14:paraId="5A08D4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7A5C46B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反映部门非税收入的使用、管理情况。</w:t>
            </w:r>
          </w:p>
        </w:tc>
        <w:tc>
          <w:tcPr>
            <w:tcW w:w="5112" w:type="dxa"/>
            <w:tcBorders>
              <w:tl2br w:val="nil"/>
              <w:tr2bl w:val="nil"/>
            </w:tcBorders>
            <w:noWrap w:val="0"/>
            <w:vAlign w:val="center"/>
          </w:tcPr>
          <w:p w14:paraId="0EDED927">
            <w:pPr>
              <w:keepNext w:val="0"/>
              <w:keepLines w:val="0"/>
              <w:widowControl/>
              <w:suppressLineNumbers w:val="0"/>
              <w:jc w:val="left"/>
              <w:textAlignment w:val="center"/>
              <w:rPr>
                <w:rStyle w:val="9"/>
                <w:lang w:val="en-US" w:eastAsia="zh-CN" w:bidi="ar"/>
              </w:rPr>
            </w:pPr>
          </w:p>
          <w:p w14:paraId="14210797">
            <w:pPr>
              <w:keepNext w:val="0"/>
              <w:keepLines w:val="0"/>
              <w:widowControl/>
              <w:suppressLineNumbers w:val="0"/>
              <w:jc w:val="left"/>
              <w:textAlignment w:val="center"/>
              <w:rPr>
                <w:rStyle w:val="9"/>
                <w:lang w:val="en-US" w:eastAsia="zh-CN" w:bidi="ar"/>
              </w:rPr>
            </w:pPr>
            <w:r>
              <w:rPr>
                <w:rStyle w:val="9"/>
                <w:lang w:val="en-US" w:eastAsia="zh-CN" w:bidi="ar"/>
              </w:rPr>
              <w:t>①实行收支两条线，计</w:t>
            </w:r>
            <w:r>
              <w:rPr>
                <w:rStyle w:val="10"/>
                <w:rFonts w:eastAsia="宋体"/>
                <w:lang w:val="en-US" w:eastAsia="zh-CN" w:bidi="ar"/>
              </w:rPr>
              <w:t>0.5</w:t>
            </w:r>
            <w:r>
              <w:rPr>
                <w:rStyle w:val="9"/>
                <w:lang w:val="en-US" w:eastAsia="zh-CN" w:bidi="ar"/>
              </w:rPr>
              <w:t>分，否则，计</w:t>
            </w:r>
            <w:r>
              <w:rPr>
                <w:rStyle w:val="10"/>
                <w:rFonts w:eastAsia="宋体"/>
                <w:lang w:val="en-US" w:eastAsia="zh-CN" w:bidi="ar"/>
              </w:rPr>
              <w:t>0</w:t>
            </w:r>
            <w:r>
              <w:rPr>
                <w:rStyle w:val="9"/>
                <w:lang w:val="en-US" w:eastAsia="zh-CN" w:bidi="ar"/>
              </w:rPr>
              <w:t>分；</w:t>
            </w:r>
          </w:p>
          <w:p w14:paraId="4C502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②未发生截留、坐支或转移，计</w:t>
            </w:r>
            <w:r>
              <w:rPr>
                <w:rStyle w:val="10"/>
                <w:rFonts w:eastAsia="宋体"/>
                <w:lang w:val="en-US" w:eastAsia="zh-CN" w:bidi="ar"/>
              </w:rPr>
              <w:t>0.5</w:t>
            </w:r>
            <w:r>
              <w:rPr>
                <w:rStyle w:val="9"/>
                <w:lang w:val="en-US" w:eastAsia="zh-CN" w:bidi="ar"/>
              </w:rPr>
              <w:t>分，否则，计</w:t>
            </w:r>
            <w:r>
              <w:rPr>
                <w:rStyle w:val="10"/>
                <w:rFonts w:eastAsia="宋体"/>
                <w:lang w:val="en-US" w:eastAsia="zh-CN" w:bidi="ar"/>
              </w:rPr>
              <w:t>0</w:t>
            </w:r>
            <w:r>
              <w:rPr>
                <w:rStyle w:val="9"/>
                <w:lang w:val="en-US" w:eastAsia="zh-CN" w:bidi="ar"/>
              </w:rPr>
              <w:t>分。</w:t>
            </w:r>
          </w:p>
        </w:tc>
        <w:tc>
          <w:tcPr>
            <w:tcW w:w="2115" w:type="dxa"/>
            <w:tcBorders>
              <w:tl2br w:val="nil"/>
              <w:tr2bl w:val="nil"/>
            </w:tcBorders>
            <w:noWrap w:val="0"/>
            <w:vAlign w:val="center"/>
          </w:tcPr>
          <w:p w14:paraId="3FD069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14:paraId="1CA3736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63903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14:paraId="619F015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7EFF5E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BC537CE">
            <w:pPr>
              <w:keepNext w:val="0"/>
              <w:keepLines w:val="0"/>
              <w:widowControl/>
              <w:suppressLineNumbers w:val="0"/>
              <w:jc w:val="center"/>
              <w:textAlignment w:val="center"/>
              <w:rPr>
                <w:rStyle w:val="9"/>
                <w:lang w:val="en-US" w:eastAsia="zh-CN" w:bidi="ar"/>
              </w:rPr>
            </w:pPr>
            <w:r>
              <w:rPr>
                <w:rStyle w:val="9"/>
                <w:lang w:val="en-US" w:eastAsia="zh-CN" w:bidi="ar"/>
              </w:rPr>
              <w:t>绩效自评</w:t>
            </w:r>
          </w:p>
          <w:p w14:paraId="2225AA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管理情况</w:t>
            </w:r>
          </w:p>
        </w:tc>
        <w:tc>
          <w:tcPr>
            <w:tcW w:w="495" w:type="dxa"/>
            <w:tcBorders>
              <w:tl2br w:val="nil"/>
              <w:tr2bl w:val="nil"/>
            </w:tcBorders>
            <w:noWrap w:val="0"/>
            <w:vAlign w:val="center"/>
          </w:tcPr>
          <w:p w14:paraId="789022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5059AE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14:paraId="4F78806F">
            <w:pPr>
              <w:keepNext w:val="0"/>
              <w:keepLines w:val="0"/>
              <w:widowControl/>
              <w:suppressLineNumbers w:val="0"/>
              <w:jc w:val="left"/>
              <w:textAlignment w:val="center"/>
              <w:rPr>
                <w:rStyle w:val="9"/>
                <w:lang w:val="en-US" w:eastAsia="zh-CN" w:bidi="ar"/>
              </w:rPr>
            </w:pPr>
          </w:p>
          <w:p w14:paraId="20866DB2">
            <w:pPr>
              <w:keepNext w:val="0"/>
              <w:keepLines w:val="0"/>
              <w:widowControl/>
              <w:suppressLineNumbers w:val="0"/>
              <w:jc w:val="left"/>
              <w:textAlignment w:val="center"/>
              <w:rPr>
                <w:rStyle w:val="9"/>
                <w:lang w:val="en-US" w:eastAsia="zh-CN" w:bidi="ar"/>
              </w:rPr>
            </w:pPr>
            <w:r>
              <w:rPr>
                <w:rStyle w:val="9"/>
                <w:lang w:val="en-US" w:eastAsia="zh-CN" w:bidi="ar"/>
              </w:rPr>
              <w:t>①是否按要求开展部门（单位）整体支出绩效自评和专项资金支出自评工作。</w:t>
            </w:r>
          </w:p>
          <w:p w14:paraId="05331942">
            <w:pPr>
              <w:keepNext w:val="0"/>
              <w:keepLines w:val="0"/>
              <w:widowControl/>
              <w:suppressLineNumbers w:val="0"/>
              <w:jc w:val="left"/>
              <w:textAlignment w:val="center"/>
              <w:rPr>
                <w:rStyle w:val="9"/>
                <w:lang w:val="en-US" w:eastAsia="zh-CN" w:bidi="ar"/>
              </w:rPr>
            </w:pPr>
            <w:r>
              <w:rPr>
                <w:rStyle w:val="9"/>
                <w:lang w:val="en-US" w:eastAsia="zh-CN" w:bidi="ar"/>
              </w:rPr>
              <w:t>②是否及时报送绩效自评报告；</w:t>
            </w:r>
          </w:p>
          <w:p w14:paraId="44FF9A10">
            <w:pPr>
              <w:keepNext w:val="0"/>
              <w:keepLines w:val="0"/>
              <w:widowControl/>
              <w:suppressLineNumbers w:val="0"/>
              <w:jc w:val="left"/>
              <w:textAlignment w:val="center"/>
              <w:rPr>
                <w:rStyle w:val="9"/>
                <w:lang w:val="en-US" w:eastAsia="zh-CN" w:bidi="ar"/>
              </w:rPr>
            </w:pPr>
            <w:r>
              <w:rPr>
                <w:rStyle w:val="9"/>
                <w:lang w:val="en-US" w:eastAsia="zh-CN" w:bidi="ar"/>
              </w:rPr>
              <w:t>③绩效自评报告是否完整，数据是否全面、真实、准确，绩效指标是否细化量化和科学合理；</w:t>
            </w:r>
          </w:p>
          <w:p w14:paraId="13E07021">
            <w:pPr>
              <w:keepNext w:val="0"/>
              <w:keepLines w:val="0"/>
              <w:widowControl/>
              <w:suppressLineNumbers w:val="0"/>
              <w:jc w:val="left"/>
              <w:textAlignment w:val="center"/>
              <w:rPr>
                <w:rStyle w:val="9"/>
                <w:lang w:val="en-US" w:eastAsia="zh-CN" w:bidi="ar"/>
              </w:rPr>
            </w:pPr>
            <w:r>
              <w:rPr>
                <w:rStyle w:val="9"/>
                <w:lang w:val="en-US" w:eastAsia="zh-CN" w:bidi="ar"/>
              </w:rPr>
              <w:t>④绩效自评反映的问题是否具体，意见是否可行，自评发现的问题是否整改；</w:t>
            </w:r>
          </w:p>
          <w:p w14:paraId="0057DB1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该项得分，①、②、③、④各计</w:t>
            </w:r>
            <w:r>
              <w:rPr>
                <w:rStyle w:val="10"/>
                <w:rFonts w:eastAsia="宋体"/>
                <w:lang w:val="en-US" w:eastAsia="zh-CN" w:bidi="ar"/>
              </w:rPr>
              <w:t>1</w:t>
            </w:r>
            <w:r>
              <w:rPr>
                <w:rStyle w:val="9"/>
                <w:lang w:val="en-US" w:eastAsia="zh-CN" w:bidi="ar"/>
              </w:rPr>
              <w:t>分。</w:t>
            </w:r>
          </w:p>
        </w:tc>
        <w:tc>
          <w:tcPr>
            <w:tcW w:w="2115" w:type="dxa"/>
            <w:tcBorders>
              <w:tl2br w:val="nil"/>
              <w:tr2bl w:val="nil"/>
            </w:tcBorders>
            <w:noWrap w:val="0"/>
            <w:vAlign w:val="center"/>
          </w:tcPr>
          <w:p w14:paraId="14EDA49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14:paraId="63834AD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28F66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14:paraId="5AA80DC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6E7F47B">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742BB01">
            <w:pPr>
              <w:keepNext w:val="0"/>
              <w:keepLines w:val="0"/>
              <w:widowControl/>
              <w:suppressLineNumbers w:val="0"/>
              <w:jc w:val="center"/>
              <w:textAlignment w:val="center"/>
              <w:rPr>
                <w:rStyle w:val="9"/>
                <w:lang w:val="en-US" w:eastAsia="zh-CN" w:bidi="ar"/>
              </w:rPr>
            </w:pPr>
            <w:r>
              <w:rPr>
                <w:rStyle w:val="9"/>
                <w:lang w:val="en-US" w:eastAsia="zh-CN" w:bidi="ar"/>
              </w:rPr>
              <w:t>重点绩效</w:t>
            </w:r>
          </w:p>
          <w:p w14:paraId="7617F75E">
            <w:pPr>
              <w:keepNext w:val="0"/>
              <w:keepLines w:val="0"/>
              <w:widowControl/>
              <w:suppressLineNumbers w:val="0"/>
              <w:jc w:val="center"/>
              <w:textAlignment w:val="center"/>
              <w:rPr>
                <w:rStyle w:val="9"/>
                <w:lang w:val="en-US" w:eastAsia="zh-CN" w:bidi="ar"/>
              </w:rPr>
            </w:pPr>
            <w:r>
              <w:rPr>
                <w:rStyle w:val="9"/>
                <w:lang w:val="en-US" w:eastAsia="zh-CN" w:bidi="ar"/>
              </w:rPr>
              <w:t>评价整改</w:t>
            </w:r>
          </w:p>
          <w:p w14:paraId="2A8163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情况</w:t>
            </w:r>
          </w:p>
        </w:tc>
        <w:tc>
          <w:tcPr>
            <w:tcW w:w="495" w:type="dxa"/>
            <w:tcBorders>
              <w:tl2br w:val="nil"/>
              <w:tr2bl w:val="nil"/>
            </w:tcBorders>
            <w:noWrap w:val="0"/>
            <w:vAlign w:val="center"/>
          </w:tcPr>
          <w:p w14:paraId="039842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70EE0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14:paraId="287CECA2">
            <w:pPr>
              <w:keepNext w:val="0"/>
              <w:keepLines w:val="0"/>
              <w:widowControl/>
              <w:suppressLineNumbers w:val="0"/>
              <w:jc w:val="left"/>
              <w:textAlignment w:val="center"/>
              <w:rPr>
                <w:rStyle w:val="9"/>
                <w:lang w:val="en-US" w:eastAsia="zh-CN" w:bidi="ar"/>
              </w:rPr>
            </w:pPr>
          </w:p>
          <w:p w14:paraId="31881C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上轮重点评价问题全部整改，计3分；上轮重点评价问题部分整改，计</w:t>
            </w:r>
            <w:r>
              <w:rPr>
                <w:rStyle w:val="10"/>
                <w:rFonts w:eastAsia="宋体"/>
                <w:lang w:val="en-US" w:eastAsia="zh-CN" w:bidi="ar"/>
              </w:rPr>
              <w:t>1</w:t>
            </w:r>
            <w:r>
              <w:rPr>
                <w:rStyle w:val="9"/>
                <w:lang w:val="en-US" w:eastAsia="zh-CN" w:bidi="ar"/>
              </w:rPr>
              <w:t>分；上轮重点评价问题未整改且无整改情况说明的不计分。</w:t>
            </w:r>
          </w:p>
        </w:tc>
        <w:tc>
          <w:tcPr>
            <w:tcW w:w="2115" w:type="dxa"/>
            <w:tcBorders>
              <w:tl2br w:val="nil"/>
              <w:tr2bl w:val="nil"/>
            </w:tcBorders>
            <w:noWrap w:val="0"/>
            <w:vAlign w:val="center"/>
          </w:tcPr>
          <w:p w14:paraId="33491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14:paraId="3857FC3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461A6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14:paraId="7A18C05F">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5C8009D2">
            <w:pPr>
              <w:keepNext w:val="0"/>
              <w:keepLines w:val="0"/>
              <w:widowControl/>
              <w:suppressLineNumbers w:val="0"/>
              <w:jc w:val="center"/>
              <w:textAlignment w:val="center"/>
              <w:rPr>
                <w:rStyle w:val="9"/>
                <w:lang w:val="en-US" w:eastAsia="zh-CN" w:bidi="ar"/>
              </w:rPr>
            </w:pPr>
            <w:r>
              <w:rPr>
                <w:rStyle w:val="9"/>
                <w:lang w:val="en-US" w:eastAsia="zh-CN" w:bidi="ar"/>
              </w:rPr>
              <w:t>资产</w:t>
            </w:r>
          </w:p>
          <w:p w14:paraId="5B042882">
            <w:pPr>
              <w:keepNext w:val="0"/>
              <w:keepLines w:val="0"/>
              <w:widowControl/>
              <w:suppressLineNumbers w:val="0"/>
              <w:jc w:val="center"/>
              <w:textAlignment w:val="center"/>
              <w:rPr>
                <w:rStyle w:val="9"/>
                <w:lang w:val="en-US" w:eastAsia="zh-CN" w:bidi="ar"/>
              </w:rPr>
            </w:pPr>
            <w:r>
              <w:rPr>
                <w:rStyle w:val="9"/>
                <w:lang w:val="en-US" w:eastAsia="zh-CN" w:bidi="ar"/>
              </w:rPr>
              <w:t>管理</w:t>
            </w:r>
          </w:p>
          <w:p w14:paraId="3B10C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（5分）</w:t>
            </w:r>
          </w:p>
        </w:tc>
        <w:tc>
          <w:tcPr>
            <w:tcW w:w="1050" w:type="dxa"/>
            <w:tcBorders>
              <w:tl2br w:val="nil"/>
              <w:tr2bl w:val="nil"/>
            </w:tcBorders>
            <w:noWrap w:val="0"/>
            <w:vAlign w:val="center"/>
          </w:tcPr>
          <w:p w14:paraId="6CC65843">
            <w:pPr>
              <w:keepNext w:val="0"/>
              <w:keepLines w:val="0"/>
              <w:widowControl/>
              <w:suppressLineNumbers w:val="0"/>
              <w:jc w:val="center"/>
              <w:textAlignment w:val="center"/>
              <w:rPr>
                <w:rStyle w:val="9"/>
                <w:lang w:val="en-US" w:eastAsia="zh-CN" w:bidi="ar"/>
              </w:rPr>
            </w:pPr>
            <w:r>
              <w:rPr>
                <w:rStyle w:val="9"/>
                <w:lang w:val="en-US" w:eastAsia="zh-CN" w:bidi="ar"/>
              </w:rPr>
              <w:t>资产管理</w:t>
            </w:r>
          </w:p>
          <w:p w14:paraId="137187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制度健全性</w:t>
            </w:r>
          </w:p>
        </w:tc>
        <w:tc>
          <w:tcPr>
            <w:tcW w:w="495" w:type="dxa"/>
            <w:tcBorders>
              <w:tl2br w:val="nil"/>
              <w:tr2bl w:val="nil"/>
            </w:tcBorders>
            <w:noWrap w:val="0"/>
            <w:vAlign w:val="center"/>
          </w:tcPr>
          <w:p w14:paraId="71915D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358CDE5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14:paraId="18DEF1A2">
            <w:pPr>
              <w:keepNext w:val="0"/>
              <w:keepLines w:val="0"/>
              <w:widowControl/>
              <w:suppressLineNumbers w:val="0"/>
              <w:jc w:val="left"/>
              <w:textAlignment w:val="center"/>
              <w:rPr>
                <w:rStyle w:val="9"/>
                <w:lang w:val="en-US" w:eastAsia="zh-CN" w:bidi="ar"/>
              </w:rPr>
            </w:pPr>
            <w:r>
              <w:rPr>
                <w:rStyle w:val="9"/>
                <w:lang w:val="en-US" w:eastAsia="zh-CN" w:bidi="ar"/>
              </w:rPr>
              <w:t>①已制定合法、合规、完整的资产管理制度，计</w:t>
            </w:r>
            <w:r>
              <w:rPr>
                <w:rStyle w:val="10"/>
                <w:rFonts w:eastAsia="宋体"/>
                <w:lang w:val="en-US" w:eastAsia="zh-CN" w:bidi="ar"/>
              </w:rPr>
              <w:t>0.5</w:t>
            </w:r>
            <w:r>
              <w:rPr>
                <w:rStyle w:val="9"/>
                <w:lang w:val="en-US" w:eastAsia="zh-CN" w:bidi="ar"/>
              </w:rPr>
              <w:t>分，否则不得分；</w:t>
            </w:r>
          </w:p>
          <w:p w14:paraId="65823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②相关资产管理制度得到有效执行，计</w:t>
            </w:r>
            <w:r>
              <w:rPr>
                <w:rStyle w:val="10"/>
                <w:rFonts w:eastAsia="宋体"/>
                <w:lang w:val="en-US" w:eastAsia="zh-CN" w:bidi="ar"/>
              </w:rPr>
              <w:t>0.5</w:t>
            </w:r>
            <w:r>
              <w:rPr>
                <w:rStyle w:val="9"/>
                <w:lang w:val="en-US" w:eastAsia="zh-CN" w:bidi="ar"/>
              </w:rPr>
              <w:t>分，否则不得分；</w:t>
            </w:r>
          </w:p>
        </w:tc>
        <w:tc>
          <w:tcPr>
            <w:tcW w:w="2115" w:type="dxa"/>
            <w:tcBorders>
              <w:tl2br w:val="nil"/>
              <w:tr2bl w:val="nil"/>
            </w:tcBorders>
            <w:noWrap w:val="0"/>
            <w:vAlign w:val="center"/>
          </w:tcPr>
          <w:p w14:paraId="587E15B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部门（单位）资产管理制度；采购资产相关资料。</w:t>
            </w:r>
          </w:p>
        </w:tc>
        <w:tc>
          <w:tcPr>
            <w:tcW w:w="586" w:type="dxa"/>
            <w:tcBorders>
              <w:tl2br w:val="nil"/>
              <w:tr2bl w:val="nil"/>
            </w:tcBorders>
            <w:noWrap w:val="0"/>
            <w:vAlign w:val="center"/>
          </w:tcPr>
          <w:p w14:paraId="30E3DCC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0B4A9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6B073D52">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D363470">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582DA13">
            <w:pPr>
              <w:keepNext w:val="0"/>
              <w:keepLines w:val="0"/>
              <w:widowControl/>
              <w:suppressLineNumbers w:val="0"/>
              <w:jc w:val="center"/>
              <w:textAlignment w:val="center"/>
              <w:rPr>
                <w:rStyle w:val="9"/>
                <w:lang w:val="en-US" w:eastAsia="zh-CN" w:bidi="ar"/>
              </w:rPr>
            </w:pPr>
            <w:r>
              <w:rPr>
                <w:rStyle w:val="9"/>
                <w:lang w:val="en-US" w:eastAsia="zh-CN" w:bidi="ar"/>
              </w:rPr>
              <w:t>资产管理</w:t>
            </w:r>
          </w:p>
          <w:p w14:paraId="367699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安全性</w:t>
            </w:r>
          </w:p>
        </w:tc>
        <w:tc>
          <w:tcPr>
            <w:tcW w:w="495" w:type="dxa"/>
            <w:tcBorders>
              <w:tl2br w:val="nil"/>
              <w:tr2bl w:val="nil"/>
            </w:tcBorders>
            <w:noWrap w:val="0"/>
            <w:vAlign w:val="center"/>
          </w:tcPr>
          <w:p w14:paraId="3EFA6F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7669CF4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14:paraId="6048D695">
            <w:pPr>
              <w:keepNext w:val="0"/>
              <w:keepLines w:val="0"/>
              <w:widowControl/>
              <w:suppressLineNumbers w:val="0"/>
              <w:jc w:val="left"/>
              <w:textAlignment w:val="center"/>
              <w:rPr>
                <w:rStyle w:val="9"/>
                <w:lang w:val="en-US" w:eastAsia="zh-CN" w:bidi="ar"/>
              </w:rPr>
            </w:pPr>
          </w:p>
          <w:p w14:paraId="475645E2">
            <w:pPr>
              <w:keepNext w:val="0"/>
              <w:keepLines w:val="0"/>
              <w:widowControl/>
              <w:suppressLineNumbers w:val="0"/>
              <w:jc w:val="left"/>
              <w:textAlignment w:val="center"/>
              <w:rPr>
                <w:rStyle w:val="9"/>
                <w:lang w:val="en-US" w:eastAsia="zh-CN" w:bidi="ar"/>
              </w:rPr>
            </w:pPr>
            <w:r>
              <w:rPr>
                <w:rStyle w:val="9"/>
                <w:lang w:val="en-US" w:eastAsia="zh-CN" w:bidi="ar"/>
              </w:rPr>
              <w:t>①资产配置合理符合标准、保管完整，账务管理规范，定期盘点并有台账，账实相符的，计</w:t>
            </w:r>
            <w:r>
              <w:rPr>
                <w:rStyle w:val="10"/>
                <w:rFonts w:eastAsia="宋体"/>
                <w:lang w:val="en-US" w:eastAsia="zh-CN" w:bidi="ar"/>
              </w:rPr>
              <w:t>0.5</w:t>
            </w:r>
            <w:r>
              <w:rPr>
                <w:rStyle w:val="9"/>
                <w:lang w:val="en-US" w:eastAsia="zh-CN" w:bidi="ar"/>
              </w:rPr>
              <w:t>分，发现一例不符，扣</w:t>
            </w:r>
            <w:r>
              <w:rPr>
                <w:rStyle w:val="10"/>
                <w:rFonts w:eastAsia="宋体"/>
                <w:lang w:val="en-US" w:eastAsia="zh-CN" w:bidi="ar"/>
              </w:rPr>
              <w:t>0.1</w:t>
            </w:r>
            <w:r>
              <w:rPr>
                <w:rStyle w:val="9"/>
                <w:lang w:val="en-US" w:eastAsia="zh-CN" w:bidi="ar"/>
              </w:rPr>
              <w:t>分，扣完为止；</w:t>
            </w:r>
          </w:p>
          <w:p w14:paraId="122E9CE5">
            <w:pPr>
              <w:keepNext w:val="0"/>
              <w:keepLines w:val="0"/>
              <w:widowControl/>
              <w:suppressLineNumbers w:val="0"/>
              <w:jc w:val="left"/>
              <w:textAlignment w:val="center"/>
              <w:rPr>
                <w:rStyle w:val="9"/>
                <w:lang w:val="en-US" w:eastAsia="zh-CN" w:bidi="ar"/>
              </w:rPr>
            </w:pPr>
            <w:r>
              <w:rPr>
                <w:rStyle w:val="9"/>
                <w:lang w:val="en-US" w:eastAsia="zh-CN" w:bidi="ar"/>
              </w:rPr>
              <w:t>②资产处置规范，计</w:t>
            </w:r>
            <w:r>
              <w:rPr>
                <w:rStyle w:val="10"/>
                <w:rFonts w:eastAsia="宋体"/>
                <w:lang w:val="en-US" w:eastAsia="zh-CN" w:bidi="ar"/>
              </w:rPr>
              <w:t>0.5</w:t>
            </w:r>
            <w:r>
              <w:rPr>
                <w:rStyle w:val="9"/>
                <w:lang w:val="en-US" w:eastAsia="zh-CN" w:bidi="ar"/>
              </w:rPr>
              <w:t>分，发现一例不符，扣</w:t>
            </w:r>
            <w:r>
              <w:rPr>
                <w:rStyle w:val="10"/>
                <w:rFonts w:eastAsia="宋体"/>
                <w:lang w:val="en-US" w:eastAsia="zh-CN" w:bidi="ar"/>
              </w:rPr>
              <w:t>0.1</w:t>
            </w:r>
            <w:r>
              <w:rPr>
                <w:rStyle w:val="9"/>
                <w:lang w:val="en-US" w:eastAsia="zh-CN" w:bidi="ar"/>
              </w:rPr>
              <w:t>分，扣完为止；</w:t>
            </w:r>
          </w:p>
          <w:p w14:paraId="48ED32E4">
            <w:pPr>
              <w:keepNext w:val="0"/>
              <w:keepLines w:val="0"/>
              <w:widowControl/>
              <w:suppressLineNumbers w:val="0"/>
              <w:jc w:val="left"/>
              <w:textAlignment w:val="center"/>
              <w:rPr>
                <w:rStyle w:val="9"/>
                <w:lang w:val="en-US" w:eastAsia="zh-CN" w:bidi="ar"/>
              </w:rPr>
            </w:pPr>
            <w:r>
              <w:rPr>
                <w:rStyle w:val="9"/>
                <w:lang w:val="en-US" w:eastAsia="zh-CN" w:bidi="ar"/>
              </w:rPr>
              <w:t>③资产有偿使用或处置收入及时足额上缴，计</w:t>
            </w:r>
            <w:r>
              <w:rPr>
                <w:rStyle w:val="10"/>
                <w:rFonts w:eastAsia="宋体"/>
                <w:lang w:val="en-US" w:eastAsia="zh-CN" w:bidi="ar"/>
              </w:rPr>
              <w:t>0.5</w:t>
            </w:r>
            <w:r>
              <w:rPr>
                <w:rStyle w:val="9"/>
                <w:lang w:val="en-US" w:eastAsia="zh-CN" w:bidi="ar"/>
              </w:rPr>
              <w:t>分，发现未上缴，本项不得分；</w:t>
            </w:r>
          </w:p>
          <w:p w14:paraId="5C0C02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④资产购置履行政府采购手续，计</w:t>
            </w:r>
            <w:r>
              <w:rPr>
                <w:rStyle w:val="10"/>
                <w:rFonts w:eastAsia="宋体"/>
                <w:lang w:val="en-US" w:eastAsia="zh-CN" w:bidi="ar"/>
              </w:rPr>
              <w:t>0.3</w:t>
            </w:r>
            <w:r>
              <w:rPr>
                <w:rStyle w:val="9"/>
                <w:lang w:val="en-US" w:eastAsia="zh-CN" w:bidi="ar"/>
              </w:rPr>
              <w:t>分，发现一例不符，扣</w:t>
            </w:r>
            <w:r>
              <w:rPr>
                <w:rStyle w:val="10"/>
                <w:rFonts w:eastAsia="宋体"/>
                <w:lang w:val="en-US" w:eastAsia="zh-CN" w:bidi="ar"/>
              </w:rPr>
              <w:t>0.1</w:t>
            </w:r>
            <w:r>
              <w:rPr>
                <w:rStyle w:val="9"/>
                <w:lang w:val="en-US" w:eastAsia="zh-CN" w:bidi="ar"/>
              </w:rPr>
              <w:t>分，扣完为止；外租资产全部走合规程序，计</w:t>
            </w:r>
            <w:r>
              <w:rPr>
                <w:rStyle w:val="10"/>
                <w:rFonts w:eastAsia="宋体"/>
                <w:lang w:val="en-US" w:eastAsia="zh-CN" w:bidi="ar"/>
              </w:rPr>
              <w:t>0.2</w:t>
            </w:r>
            <w:r>
              <w:rPr>
                <w:rStyle w:val="9"/>
                <w:lang w:val="en-US" w:eastAsia="zh-CN" w:bidi="ar"/>
              </w:rPr>
              <w:t>分，发现一例不合规，扣</w:t>
            </w:r>
            <w:r>
              <w:rPr>
                <w:rStyle w:val="10"/>
                <w:rFonts w:eastAsia="宋体"/>
                <w:lang w:val="en-US" w:eastAsia="zh-CN" w:bidi="ar"/>
              </w:rPr>
              <w:t>0.1</w:t>
            </w:r>
            <w:r>
              <w:rPr>
                <w:rStyle w:val="9"/>
                <w:lang w:val="en-US" w:eastAsia="zh-CN" w:bidi="ar"/>
              </w:rPr>
              <w:t>分，扣完为止；</w:t>
            </w:r>
          </w:p>
        </w:tc>
        <w:tc>
          <w:tcPr>
            <w:tcW w:w="2115" w:type="dxa"/>
            <w:tcBorders>
              <w:tl2br w:val="nil"/>
              <w:tr2bl w:val="nil"/>
            </w:tcBorders>
            <w:noWrap w:val="0"/>
            <w:vAlign w:val="center"/>
          </w:tcPr>
          <w:p w14:paraId="5B20831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14:paraId="09A3D41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04CE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14:paraId="3566EE7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1C505EE">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B84C164">
            <w:pPr>
              <w:keepNext w:val="0"/>
              <w:keepLines w:val="0"/>
              <w:widowControl/>
              <w:suppressLineNumbers w:val="0"/>
              <w:jc w:val="center"/>
              <w:textAlignment w:val="center"/>
              <w:rPr>
                <w:rStyle w:val="9"/>
                <w:lang w:val="en-US" w:eastAsia="zh-CN" w:bidi="ar"/>
              </w:rPr>
            </w:pPr>
            <w:r>
              <w:rPr>
                <w:rStyle w:val="9"/>
                <w:lang w:val="en-US" w:eastAsia="zh-CN" w:bidi="ar"/>
              </w:rPr>
              <w:t>固定资产</w:t>
            </w:r>
          </w:p>
          <w:p w14:paraId="64786B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保管和使用情况</w:t>
            </w:r>
          </w:p>
        </w:tc>
        <w:tc>
          <w:tcPr>
            <w:tcW w:w="495" w:type="dxa"/>
            <w:tcBorders>
              <w:tl2br w:val="nil"/>
              <w:tr2bl w:val="nil"/>
            </w:tcBorders>
            <w:noWrap w:val="0"/>
            <w:vAlign w:val="center"/>
          </w:tcPr>
          <w:p w14:paraId="6482BF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6108857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掌握预算单位固定资产配置管理使用情况。</w:t>
            </w:r>
          </w:p>
        </w:tc>
        <w:tc>
          <w:tcPr>
            <w:tcW w:w="5112" w:type="dxa"/>
            <w:tcBorders>
              <w:tl2br w:val="nil"/>
              <w:tr2bl w:val="nil"/>
            </w:tcBorders>
            <w:noWrap w:val="0"/>
            <w:vAlign w:val="center"/>
          </w:tcPr>
          <w:p w14:paraId="6EFC494B">
            <w:pPr>
              <w:keepNext w:val="0"/>
              <w:keepLines w:val="0"/>
              <w:widowControl/>
              <w:suppressLineNumbers w:val="0"/>
              <w:jc w:val="left"/>
              <w:textAlignment w:val="center"/>
              <w:rPr>
                <w:rStyle w:val="9"/>
                <w:lang w:val="en-US" w:eastAsia="zh-CN" w:bidi="ar"/>
              </w:rPr>
            </w:pPr>
          </w:p>
          <w:p w14:paraId="27AD8C83">
            <w:pPr>
              <w:keepNext w:val="0"/>
              <w:keepLines w:val="0"/>
              <w:widowControl/>
              <w:suppressLineNumbers w:val="0"/>
              <w:jc w:val="left"/>
              <w:textAlignment w:val="center"/>
              <w:rPr>
                <w:rStyle w:val="9"/>
                <w:lang w:val="en-US" w:eastAsia="zh-CN" w:bidi="ar"/>
              </w:rPr>
            </w:pPr>
            <w:r>
              <w:rPr>
                <w:rStyle w:val="9"/>
                <w:lang w:val="en-US" w:eastAsia="zh-CN" w:bidi="ar"/>
              </w:rPr>
              <w:t>①建了固定资产台账实行编码管理，且编码与实物完全匹配计</w:t>
            </w:r>
            <w:r>
              <w:rPr>
                <w:rStyle w:val="10"/>
                <w:rFonts w:eastAsia="宋体"/>
                <w:lang w:val="en-US" w:eastAsia="zh-CN" w:bidi="ar"/>
              </w:rPr>
              <w:t>1</w:t>
            </w:r>
            <w:r>
              <w:rPr>
                <w:rStyle w:val="9"/>
                <w:lang w:val="en-US" w:eastAsia="zh-CN" w:bidi="ar"/>
              </w:rPr>
              <w:t>分，否则不得分；</w:t>
            </w:r>
          </w:p>
          <w:p w14:paraId="531207E3">
            <w:pPr>
              <w:keepNext w:val="0"/>
              <w:keepLines w:val="0"/>
              <w:widowControl/>
              <w:suppressLineNumbers w:val="0"/>
              <w:jc w:val="left"/>
              <w:textAlignment w:val="center"/>
              <w:rPr>
                <w:rStyle w:val="9"/>
                <w:lang w:val="en-US" w:eastAsia="zh-CN" w:bidi="ar"/>
              </w:rPr>
            </w:pPr>
            <w:r>
              <w:rPr>
                <w:rStyle w:val="9"/>
                <w:lang w:val="en-US" w:eastAsia="zh-CN" w:bidi="ar"/>
              </w:rPr>
              <w:t>②建立了固定资产增减变化审批程序的计0.5分，否则不得分；</w:t>
            </w:r>
          </w:p>
          <w:p w14:paraId="750A7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③固定资产无闲置浪费现象计0.5分，发现一处扣</w:t>
            </w:r>
            <w:r>
              <w:rPr>
                <w:rStyle w:val="10"/>
                <w:rFonts w:eastAsia="宋体"/>
                <w:lang w:val="en-US" w:eastAsia="zh-CN" w:bidi="ar"/>
              </w:rPr>
              <w:t>0.1</w:t>
            </w:r>
            <w:r>
              <w:rPr>
                <w:rStyle w:val="9"/>
                <w:lang w:val="en-US" w:eastAsia="zh-CN" w:bidi="ar"/>
              </w:rPr>
              <w:t>分，扣完为止。</w:t>
            </w:r>
          </w:p>
        </w:tc>
        <w:tc>
          <w:tcPr>
            <w:tcW w:w="2115" w:type="dxa"/>
            <w:tcBorders>
              <w:tl2br w:val="nil"/>
              <w:tr2bl w:val="nil"/>
            </w:tcBorders>
            <w:noWrap w:val="0"/>
            <w:vAlign w:val="center"/>
          </w:tcPr>
          <w:p w14:paraId="48CB603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部门（单位）固定资产实际使用情况；固定资产账。</w:t>
            </w:r>
          </w:p>
        </w:tc>
        <w:tc>
          <w:tcPr>
            <w:tcW w:w="586" w:type="dxa"/>
            <w:tcBorders>
              <w:tl2br w:val="nil"/>
              <w:tr2bl w:val="nil"/>
            </w:tcBorders>
            <w:noWrap w:val="0"/>
            <w:vAlign w:val="center"/>
          </w:tcPr>
          <w:p w14:paraId="752C93D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78EB2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14:paraId="2E8DB4AF">
            <w:pPr>
              <w:keepNext w:val="0"/>
              <w:keepLines w:val="0"/>
              <w:widowControl/>
              <w:suppressLineNumbers w:val="0"/>
              <w:jc w:val="center"/>
              <w:textAlignment w:val="center"/>
              <w:rPr>
                <w:rStyle w:val="9"/>
                <w:lang w:val="en-US" w:eastAsia="zh-CN" w:bidi="ar"/>
              </w:rPr>
            </w:pPr>
            <w:r>
              <w:rPr>
                <w:rStyle w:val="9"/>
                <w:lang w:val="en-US" w:eastAsia="zh-CN" w:bidi="ar"/>
              </w:rPr>
              <w:t>产出</w:t>
            </w:r>
          </w:p>
          <w:p w14:paraId="358363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w:t>
            </w:r>
            <w:r>
              <w:rPr>
                <w:rStyle w:val="10"/>
                <w:rFonts w:eastAsia="宋体"/>
                <w:lang w:val="en-US" w:eastAsia="zh-CN" w:bidi="ar"/>
              </w:rPr>
              <w:t>22</w:t>
            </w:r>
            <w:r>
              <w:rPr>
                <w:rStyle w:val="9"/>
                <w:lang w:val="en-US" w:eastAsia="zh-CN" w:bidi="ar"/>
              </w:rPr>
              <w:t>分）</w:t>
            </w:r>
          </w:p>
        </w:tc>
        <w:tc>
          <w:tcPr>
            <w:tcW w:w="870" w:type="dxa"/>
            <w:vMerge w:val="restart"/>
            <w:tcBorders>
              <w:tl2br w:val="nil"/>
              <w:tr2bl w:val="nil"/>
            </w:tcBorders>
            <w:noWrap w:val="0"/>
            <w:vAlign w:val="center"/>
          </w:tcPr>
          <w:p w14:paraId="3BB400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职责履行（</w:t>
            </w:r>
            <w:r>
              <w:rPr>
                <w:rStyle w:val="10"/>
                <w:rFonts w:eastAsia="宋体"/>
                <w:lang w:val="en-US" w:eastAsia="zh-CN" w:bidi="ar"/>
              </w:rPr>
              <w:t>22</w:t>
            </w:r>
            <w:r>
              <w:rPr>
                <w:rStyle w:val="9"/>
                <w:lang w:val="en-US" w:eastAsia="zh-CN" w:bidi="ar"/>
              </w:rPr>
              <w:t>分）</w:t>
            </w:r>
          </w:p>
        </w:tc>
        <w:tc>
          <w:tcPr>
            <w:tcW w:w="1050" w:type="dxa"/>
            <w:tcBorders>
              <w:tl2br w:val="nil"/>
              <w:tr2bl w:val="nil"/>
            </w:tcBorders>
            <w:noWrap w:val="0"/>
            <w:vAlign w:val="center"/>
          </w:tcPr>
          <w:p w14:paraId="53EF52D9">
            <w:pPr>
              <w:keepNext w:val="0"/>
              <w:keepLines w:val="0"/>
              <w:widowControl/>
              <w:suppressLineNumbers w:val="0"/>
              <w:jc w:val="center"/>
              <w:textAlignment w:val="center"/>
              <w:rPr>
                <w:rStyle w:val="10"/>
                <w:rFonts w:eastAsia="宋体"/>
                <w:lang w:val="en-US" w:eastAsia="zh-CN" w:bidi="ar"/>
              </w:rPr>
            </w:pPr>
            <w:r>
              <w:rPr>
                <w:rStyle w:val="9"/>
                <w:lang w:val="en-US" w:eastAsia="zh-CN" w:bidi="ar"/>
              </w:rPr>
              <w:t>部门整体</w:t>
            </w:r>
            <w:r>
              <w:rPr>
                <w:rStyle w:val="10"/>
                <w:rFonts w:eastAsia="宋体"/>
                <w:lang w:val="en-US" w:eastAsia="zh-CN" w:bidi="ar"/>
              </w:rPr>
              <w:t xml:space="preserve"> </w:t>
            </w:r>
          </w:p>
          <w:p w14:paraId="5E4CD2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工作质量</w:t>
            </w:r>
          </w:p>
        </w:tc>
        <w:tc>
          <w:tcPr>
            <w:tcW w:w="495" w:type="dxa"/>
            <w:tcBorders>
              <w:tl2br w:val="nil"/>
              <w:tr2bl w:val="nil"/>
            </w:tcBorders>
            <w:noWrap w:val="0"/>
            <w:vAlign w:val="center"/>
          </w:tcPr>
          <w:p w14:paraId="03BF1F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6A7FCA0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反映部门党委政府绩效考核评估等级</w:t>
            </w:r>
          </w:p>
        </w:tc>
        <w:tc>
          <w:tcPr>
            <w:tcW w:w="5112" w:type="dxa"/>
            <w:tcBorders>
              <w:tl2br w:val="nil"/>
              <w:tr2bl w:val="nil"/>
            </w:tcBorders>
            <w:noWrap w:val="0"/>
            <w:vAlign w:val="center"/>
          </w:tcPr>
          <w:p w14:paraId="7B3D803F">
            <w:pPr>
              <w:keepNext w:val="0"/>
              <w:keepLines w:val="0"/>
              <w:widowControl/>
              <w:suppressLineNumbers w:val="0"/>
              <w:jc w:val="left"/>
              <w:textAlignment w:val="center"/>
              <w:rPr>
                <w:rStyle w:val="9"/>
                <w:lang w:val="en-US" w:eastAsia="zh-CN" w:bidi="ar"/>
              </w:rPr>
            </w:pPr>
          </w:p>
          <w:p w14:paraId="28E43C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lang w:val="en-US" w:eastAsia="zh-CN" w:bidi="ar"/>
              </w:rPr>
              <w:t>以市委、市政府绩效效考核评估结果为依据：优秀，计</w:t>
            </w:r>
            <w:r>
              <w:rPr>
                <w:rStyle w:val="10"/>
                <w:rFonts w:eastAsia="宋体"/>
                <w:lang w:val="en-US" w:eastAsia="zh-CN" w:bidi="ar"/>
              </w:rPr>
              <w:t>6</w:t>
            </w:r>
            <w:r>
              <w:rPr>
                <w:rStyle w:val="9"/>
                <w:lang w:val="en-US" w:eastAsia="zh-CN" w:bidi="ar"/>
              </w:rPr>
              <w:t>分；良好，</w:t>
            </w:r>
            <w:r>
              <w:rPr>
                <w:rStyle w:val="10"/>
                <w:rFonts w:eastAsia="宋体"/>
                <w:lang w:val="en-US" w:eastAsia="zh-CN" w:bidi="ar"/>
              </w:rPr>
              <w:t>4</w:t>
            </w:r>
            <w:r>
              <w:rPr>
                <w:rStyle w:val="9"/>
                <w:lang w:val="en-US" w:eastAsia="zh-CN" w:bidi="ar"/>
              </w:rPr>
              <w:t>分；合格，</w:t>
            </w:r>
            <w:r>
              <w:rPr>
                <w:rStyle w:val="10"/>
                <w:rFonts w:eastAsia="宋体"/>
                <w:lang w:val="en-US" w:eastAsia="zh-CN" w:bidi="ar"/>
              </w:rPr>
              <w:t>2</w:t>
            </w:r>
            <w:r>
              <w:rPr>
                <w:rStyle w:val="9"/>
                <w:lang w:val="en-US" w:eastAsia="zh-CN" w:bidi="ar"/>
              </w:rPr>
              <w:t>分；不合格，</w:t>
            </w:r>
            <w:r>
              <w:rPr>
                <w:rStyle w:val="10"/>
                <w:rFonts w:eastAsia="宋体"/>
                <w:lang w:val="en-US" w:eastAsia="zh-CN" w:bidi="ar"/>
              </w:rPr>
              <w:t>0</w:t>
            </w:r>
            <w:r>
              <w:rPr>
                <w:rStyle w:val="9"/>
                <w:lang w:val="en-US" w:eastAsia="zh-CN" w:bidi="ar"/>
              </w:rPr>
              <w:t>分。</w:t>
            </w:r>
          </w:p>
        </w:tc>
        <w:tc>
          <w:tcPr>
            <w:tcW w:w="2115" w:type="dxa"/>
            <w:tcBorders>
              <w:tl2br w:val="nil"/>
              <w:tr2bl w:val="nil"/>
            </w:tcBorders>
            <w:noWrap w:val="0"/>
            <w:vAlign w:val="center"/>
          </w:tcPr>
          <w:p w14:paraId="5504201A">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6237AEA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1AF3F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351C1F11">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2C285621">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0EFF4A52">
            <w:pPr>
              <w:keepNext w:val="0"/>
              <w:keepLines w:val="0"/>
              <w:widowControl/>
              <w:suppressLineNumbers w:val="0"/>
              <w:jc w:val="center"/>
              <w:textAlignment w:val="center"/>
              <w:rPr>
                <w:rStyle w:val="11"/>
                <w:lang w:val="en-US" w:eastAsia="zh-CN" w:bidi="ar"/>
              </w:rPr>
            </w:pPr>
            <w:r>
              <w:rPr>
                <w:rStyle w:val="11"/>
                <w:lang w:val="en-US" w:eastAsia="zh-CN" w:bidi="ar"/>
              </w:rPr>
              <w:t>实际</w:t>
            </w:r>
          </w:p>
          <w:p w14:paraId="352295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完成率</w:t>
            </w:r>
          </w:p>
        </w:tc>
        <w:tc>
          <w:tcPr>
            <w:tcW w:w="495" w:type="dxa"/>
            <w:tcBorders>
              <w:tl2br w:val="nil"/>
              <w:tr2bl w:val="nil"/>
            </w:tcBorders>
            <w:noWrap w:val="0"/>
            <w:vAlign w:val="center"/>
          </w:tcPr>
          <w:p w14:paraId="7D73A4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045A41F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14:paraId="78160711">
            <w:pPr>
              <w:keepNext w:val="0"/>
              <w:keepLines w:val="0"/>
              <w:widowControl/>
              <w:suppressLineNumbers w:val="0"/>
              <w:jc w:val="left"/>
              <w:textAlignment w:val="center"/>
              <w:rPr>
                <w:rStyle w:val="11"/>
                <w:lang w:val="en-US" w:eastAsia="zh-CN" w:bidi="ar"/>
              </w:rPr>
            </w:pPr>
          </w:p>
          <w:p w14:paraId="717ABD74">
            <w:pPr>
              <w:keepNext w:val="0"/>
              <w:keepLines w:val="0"/>
              <w:widowControl/>
              <w:suppressLineNumbers w:val="0"/>
              <w:jc w:val="left"/>
              <w:textAlignment w:val="center"/>
              <w:rPr>
                <w:rStyle w:val="11"/>
                <w:lang w:val="en-US" w:eastAsia="zh-CN" w:bidi="ar"/>
              </w:rPr>
            </w:pPr>
            <w:r>
              <w:rPr>
                <w:rStyle w:val="11"/>
                <w:lang w:val="en-US" w:eastAsia="zh-CN" w:bidi="ar"/>
              </w:rPr>
              <w:t>实际完成率</w:t>
            </w:r>
            <w:r>
              <w:rPr>
                <w:rStyle w:val="12"/>
                <w:rFonts w:eastAsia="宋体"/>
                <w:lang w:val="en-US" w:eastAsia="zh-CN" w:bidi="ar"/>
              </w:rPr>
              <w:t>=</w:t>
            </w:r>
            <w:r>
              <w:rPr>
                <w:rStyle w:val="11"/>
                <w:lang w:val="en-US" w:eastAsia="zh-CN" w:bidi="ar"/>
              </w:rPr>
              <w:t>（实际完成工作数</w:t>
            </w:r>
            <w:r>
              <w:rPr>
                <w:rStyle w:val="12"/>
                <w:rFonts w:eastAsia="宋体"/>
                <w:lang w:val="en-US" w:eastAsia="zh-CN" w:bidi="ar"/>
              </w:rPr>
              <w:t>/</w:t>
            </w:r>
            <w:r>
              <w:rPr>
                <w:rStyle w:val="11"/>
                <w:lang w:val="en-US" w:eastAsia="zh-CN" w:bidi="ar"/>
              </w:rPr>
              <w:t>计划工作数）</w:t>
            </w:r>
            <w:r>
              <w:rPr>
                <w:rStyle w:val="12"/>
                <w:rFonts w:eastAsia="宋体"/>
                <w:lang w:val="en-US" w:eastAsia="zh-CN" w:bidi="ar"/>
              </w:rPr>
              <w:t>×100%</w:t>
            </w:r>
            <w:r>
              <w:rPr>
                <w:rStyle w:val="11"/>
                <w:lang w:val="en-US" w:eastAsia="zh-CN" w:bidi="ar"/>
              </w:rPr>
              <w:t>。实际完成工作数：一定时期（年度或规划期）内部门实际完成工作任务的数量。计划工作数：部门整体绩效目标确定的一定时期（年度或规划期）内预计完成工作任务的数量。</w:t>
            </w:r>
          </w:p>
          <w:p w14:paraId="07274B7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该项得分</w:t>
            </w:r>
            <w:r>
              <w:rPr>
                <w:rStyle w:val="12"/>
                <w:rFonts w:eastAsia="宋体"/>
                <w:lang w:val="en-US" w:eastAsia="zh-CN" w:bidi="ar"/>
              </w:rPr>
              <w:t>=</w:t>
            </w:r>
            <w:r>
              <w:rPr>
                <w:rStyle w:val="11"/>
                <w:lang w:val="en-US" w:eastAsia="zh-CN" w:bidi="ar"/>
              </w:rPr>
              <w:t>完成率</w:t>
            </w:r>
            <w:r>
              <w:rPr>
                <w:rStyle w:val="12"/>
                <w:rFonts w:eastAsia="宋体"/>
                <w:lang w:val="en-US" w:eastAsia="zh-CN" w:bidi="ar"/>
              </w:rPr>
              <w:t>×4</w:t>
            </w:r>
            <w:r>
              <w:rPr>
                <w:rStyle w:val="11"/>
                <w:lang w:val="en-US" w:eastAsia="zh-CN" w:bidi="ar"/>
              </w:rPr>
              <w:t>分。</w:t>
            </w:r>
          </w:p>
        </w:tc>
        <w:tc>
          <w:tcPr>
            <w:tcW w:w="2115" w:type="dxa"/>
            <w:tcBorders>
              <w:tl2br w:val="nil"/>
              <w:tr2bl w:val="nil"/>
            </w:tcBorders>
            <w:noWrap w:val="0"/>
            <w:vAlign w:val="center"/>
          </w:tcPr>
          <w:p w14:paraId="47B92879">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3491E89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16252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14:paraId="32C26A75">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572DD167">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7AA52E57">
            <w:pPr>
              <w:keepNext w:val="0"/>
              <w:keepLines w:val="0"/>
              <w:widowControl/>
              <w:suppressLineNumbers w:val="0"/>
              <w:jc w:val="center"/>
              <w:textAlignment w:val="center"/>
              <w:rPr>
                <w:rStyle w:val="11"/>
                <w:lang w:val="en-US" w:eastAsia="zh-CN" w:bidi="ar"/>
              </w:rPr>
            </w:pPr>
            <w:r>
              <w:rPr>
                <w:rStyle w:val="11"/>
                <w:lang w:val="en-US" w:eastAsia="zh-CN" w:bidi="ar"/>
              </w:rPr>
              <w:t>完成</w:t>
            </w:r>
          </w:p>
          <w:p w14:paraId="61E6FA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及时性</w:t>
            </w:r>
          </w:p>
        </w:tc>
        <w:tc>
          <w:tcPr>
            <w:tcW w:w="495" w:type="dxa"/>
            <w:tcBorders>
              <w:tl2br w:val="nil"/>
              <w:tr2bl w:val="nil"/>
            </w:tcBorders>
            <w:noWrap w:val="0"/>
            <w:vAlign w:val="center"/>
          </w:tcPr>
          <w:p w14:paraId="336CC6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73A6514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14:paraId="2EA81DC3">
            <w:pPr>
              <w:keepNext w:val="0"/>
              <w:keepLines w:val="0"/>
              <w:widowControl/>
              <w:suppressLineNumbers w:val="0"/>
              <w:jc w:val="left"/>
              <w:textAlignment w:val="center"/>
              <w:rPr>
                <w:rStyle w:val="11"/>
                <w:lang w:val="en-US" w:eastAsia="zh-CN" w:bidi="ar"/>
              </w:rPr>
            </w:pPr>
          </w:p>
          <w:p w14:paraId="73265E95">
            <w:pPr>
              <w:keepNext w:val="0"/>
              <w:keepLines w:val="0"/>
              <w:widowControl/>
              <w:suppressLineNumbers w:val="0"/>
              <w:jc w:val="left"/>
              <w:textAlignment w:val="center"/>
              <w:rPr>
                <w:rStyle w:val="11"/>
                <w:lang w:val="en-US" w:eastAsia="zh-CN" w:bidi="ar"/>
              </w:rPr>
            </w:pPr>
            <w:r>
              <w:rPr>
                <w:rStyle w:val="11"/>
                <w:lang w:val="en-US" w:eastAsia="zh-CN" w:bidi="ar"/>
              </w:rPr>
              <w:t>完成及时率</w:t>
            </w:r>
            <w:r>
              <w:rPr>
                <w:rStyle w:val="12"/>
                <w:rFonts w:eastAsia="宋体"/>
                <w:lang w:val="en-US" w:eastAsia="zh-CN" w:bidi="ar"/>
              </w:rPr>
              <w:t>=</w:t>
            </w:r>
            <w:r>
              <w:rPr>
                <w:rStyle w:val="11"/>
                <w:lang w:val="en-US" w:eastAsia="zh-CN" w:bidi="ar"/>
              </w:rPr>
              <w:t>（及时完成实际工作数</w:t>
            </w:r>
            <w:r>
              <w:rPr>
                <w:rStyle w:val="12"/>
                <w:rFonts w:eastAsia="宋体"/>
                <w:lang w:val="en-US" w:eastAsia="zh-CN" w:bidi="ar"/>
              </w:rPr>
              <w:t>/</w:t>
            </w:r>
            <w:r>
              <w:rPr>
                <w:rStyle w:val="11"/>
                <w:lang w:val="en-US" w:eastAsia="zh-CN" w:bidi="ar"/>
              </w:rPr>
              <w:t>计划工作数）</w:t>
            </w:r>
            <w:r>
              <w:rPr>
                <w:rStyle w:val="12"/>
                <w:rFonts w:eastAsia="宋体"/>
                <w:lang w:val="en-US" w:eastAsia="zh-CN" w:bidi="ar"/>
              </w:rPr>
              <w:t>×100%</w:t>
            </w:r>
            <w:r>
              <w:rPr>
                <w:rStyle w:val="11"/>
                <w:lang w:val="en-US" w:eastAsia="zh-CN" w:bidi="ar"/>
              </w:rPr>
              <w:t>。及时完成实际工作数：部门按照整体绩效目标确定的时限实际完成的工作任务数量。</w:t>
            </w:r>
          </w:p>
          <w:p w14:paraId="472DC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该项得分</w:t>
            </w:r>
            <w:r>
              <w:rPr>
                <w:rStyle w:val="12"/>
                <w:rFonts w:eastAsia="宋体"/>
                <w:lang w:val="en-US" w:eastAsia="zh-CN" w:bidi="ar"/>
              </w:rPr>
              <w:t>=</w:t>
            </w:r>
            <w:r>
              <w:rPr>
                <w:rStyle w:val="11"/>
                <w:lang w:val="en-US" w:eastAsia="zh-CN" w:bidi="ar"/>
              </w:rPr>
              <w:t>完成及时率</w:t>
            </w:r>
            <w:r>
              <w:rPr>
                <w:rStyle w:val="12"/>
                <w:rFonts w:eastAsia="宋体"/>
                <w:lang w:val="en-US" w:eastAsia="zh-CN" w:bidi="ar"/>
              </w:rPr>
              <w:t>×4</w:t>
            </w:r>
            <w:r>
              <w:rPr>
                <w:rStyle w:val="11"/>
                <w:lang w:val="en-US" w:eastAsia="zh-CN" w:bidi="ar"/>
              </w:rPr>
              <w:t>分。</w:t>
            </w:r>
          </w:p>
        </w:tc>
        <w:tc>
          <w:tcPr>
            <w:tcW w:w="2115" w:type="dxa"/>
            <w:tcBorders>
              <w:tl2br w:val="nil"/>
              <w:tr2bl w:val="nil"/>
            </w:tcBorders>
            <w:noWrap w:val="0"/>
            <w:vAlign w:val="center"/>
          </w:tcPr>
          <w:p w14:paraId="235CEE8F">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6F5A787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6E7A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160A3030">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E6128A1">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4A832841">
            <w:pPr>
              <w:keepNext w:val="0"/>
              <w:keepLines w:val="0"/>
              <w:widowControl/>
              <w:suppressLineNumbers w:val="0"/>
              <w:jc w:val="center"/>
              <w:textAlignment w:val="center"/>
              <w:rPr>
                <w:rStyle w:val="11"/>
                <w:lang w:val="en-US" w:eastAsia="zh-CN" w:bidi="ar"/>
              </w:rPr>
            </w:pPr>
            <w:r>
              <w:rPr>
                <w:rStyle w:val="11"/>
                <w:lang w:val="en-US" w:eastAsia="zh-CN" w:bidi="ar"/>
              </w:rPr>
              <w:t>质量</w:t>
            </w:r>
          </w:p>
          <w:p w14:paraId="79DE32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达标率</w:t>
            </w:r>
          </w:p>
        </w:tc>
        <w:tc>
          <w:tcPr>
            <w:tcW w:w="495" w:type="dxa"/>
            <w:tcBorders>
              <w:tl2br w:val="nil"/>
              <w:tr2bl w:val="nil"/>
            </w:tcBorders>
            <w:noWrap w:val="0"/>
            <w:vAlign w:val="center"/>
          </w:tcPr>
          <w:p w14:paraId="14E140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0731B0F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达到质量标准（绩效标准值）的实际工作数与计划工作数的比率</w:t>
            </w:r>
            <w:r>
              <w:rPr>
                <w:rStyle w:val="12"/>
                <w:rFonts w:eastAsia="宋体"/>
                <w:lang w:val="en-US" w:eastAsia="zh-CN" w:bidi="ar"/>
              </w:rPr>
              <w:t>,</w:t>
            </w:r>
            <w:r>
              <w:rPr>
                <w:rStyle w:val="11"/>
                <w:lang w:val="en-US" w:eastAsia="zh-CN" w:bidi="ar"/>
              </w:rPr>
              <w:t>用以反映和考核部门履职质量目标的实现程度。</w:t>
            </w:r>
          </w:p>
        </w:tc>
        <w:tc>
          <w:tcPr>
            <w:tcW w:w="5112" w:type="dxa"/>
            <w:tcBorders>
              <w:tl2br w:val="nil"/>
              <w:tr2bl w:val="nil"/>
            </w:tcBorders>
            <w:noWrap w:val="0"/>
            <w:vAlign w:val="center"/>
          </w:tcPr>
          <w:p w14:paraId="19204820">
            <w:pPr>
              <w:keepNext w:val="0"/>
              <w:keepLines w:val="0"/>
              <w:widowControl/>
              <w:suppressLineNumbers w:val="0"/>
              <w:jc w:val="left"/>
              <w:textAlignment w:val="center"/>
              <w:rPr>
                <w:rStyle w:val="11"/>
                <w:lang w:val="en-US" w:eastAsia="zh-CN" w:bidi="ar"/>
              </w:rPr>
            </w:pPr>
          </w:p>
          <w:p w14:paraId="4359778C">
            <w:pPr>
              <w:keepNext w:val="0"/>
              <w:keepLines w:val="0"/>
              <w:widowControl/>
              <w:suppressLineNumbers w:val="0"/>
              <w:jc w:val="left"/>
              <w:textAlignment w:val="center"/>
              <w:rPr>
                <w:rStyle w:val="11"/>
                <w:lang w:val="en-US" w:eastAsia="zh-CN" w:bidi="ar"/>
              </w:rPr>
            </w:pPr>
            <w:r>
              <w:rPr>
                <w:rStyle w:val="11"/>
                <w:lang w:val="en-US" w:eastAsia="zh-CN" w:bidi="ar"/>
              </w:rPr>
              <w:t>质量达标率</w:t>
            </w:r>
            <w:r>
              <w:rPr>
                <w:rStyle w:val="12"/>
                <w:rFonts w:eastAsia="宋体"/>
                <w:lang w:val="en-US" w:eastAsia="zh-CN" w:bidi="ar"/>
              </w:rPr>
              <w:t>=</w:t>
            </w:r>
            <w:r>
              <w:rPr>
                <w:rStyle w:val="11"/>
                <w:lang w:val="en-US" w:eastAsia="zh-CN" w:bidi="ar"/>
              </w:rPr>
              <w:t>（质量达标实际工作数</w:t>
            </w:r>
            <w:r>
              <w:rPr>
                <w:rStyle w:val="12"/>
                <w:rFonts w:eastAsia="宋体"/>
                <w:lang w:val="en-US" w:eastAsia="zh-CN" w:bidi="ar"/>
              </w:rPr>
              <w:t>/</w:t>
            </w:r>
            <w:r>
              <w:rPr>
                <w:rStyle w:val="11"/>
                <w:lang w:val="en-US" w:eastAsia="zh-CN" w:bidi="ar"/>
              </w:rPr>
              <w:t>计划工作数）</w:t>
            </w:r>
            <w:r>
              <w:rPr>
                <w:rStyle w:val="12"/>
                <w:rFonts w:eastAsia="宋体"/>
                <w:lang w:val="en-US" w:eastAsia="zh-CN" w:bidi="ar"/>
              </w:rPr>
              <w:t>×100%</w:t>
            </w:r>
            <w:r>
              <w:rPr>
                <w:rStyle w:val="11"/>
                <w:lang w:val="en-US" w:eastAsia="zh-CN" w:bidi="ar"/>
              </w:rPr>
              <w:t>。质量达标实际工作数：一定时期（年度或规划期）内部门实际完成工作数中达到部门绩效目标要求（绩效标准值）的工作任务数量。</w:t>
            </w:r>
          </w:p>
          <w:p w14:paraId="061EB6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该项得分</w:t>
            </w:r>
            <w:r>
              <w:rPr>
                <w:rStyle w:val="12"/>
                <w:rFonts w:eastAsia="宋体"/>
                <w:lang w:val="en-US" w:eastAsia="zh-CN" w:bidi="ar"/>
              </w:rPr>
              <w:t>=</w:t>
            </w:r>
            <w:r>
              <w:rPr>
                <w:rStyle w:val="11"/>
                <w:lang w:val="en-US" w:eastAsia="zh-CN" w:bidi="ar"/>
              </w:rPr>
              <w:t>达标率</w:t>
            </w:r>
            <w:r>
              <w:rPr>
                <w:rStyle w:val="12"/>
                <w:rFonts w:eastAsia="宋体"/>
                <w:lang w:val="en-US" w:eastAsia="zh-CN" w:bidi="ar"/>
              </w:rPr>
              <w:t>×4</w:t>
            </w:r>
            <w:r>
              <w:rPr>
                <w:rStyle w:val="11"/>
                <w:lang w:val="en-US" w:eastAsia="zh-CN" w:bidi="ar"/>
              </w:rPr>
              <w:t>分。</w:t>
            </w:r>
          </w:p>
        </w:tc>
        <w:tc>
          <w:tcPr>
            <w:tcW w:w="2115" w:type="dxa"/>
            <w:tcBorders>
              <w:tl2br w:val="nil"/>
              <w:tr2bl w:val="nil"/>
            </w:tcBorders>
            <w:noWrap w:val="0"/>
            <w:vAlign w:val="center"/>
          </w:tcPr>
          <w:p w14:paraId="2B784C0E">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17A8C85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2ADED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14:paraId="0C705BE2">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46ABFD2D">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24B11B7F">
            <w:pPr>
              <w:keepNext w:val="0"/>
              <w:keepLines w:val="0"/>
              <w:widowControl/>
              <w:suppressLineNumbers w:val="0"/>
              <w:jc w:val="center"/>
              <w:textAlignment w:val="center"/>
              <w:rPr>
                <w:rStyle w:val="11"/>
                <w:lang w:val="en-US" w:eastAsia="zh-CN" w:bidi="ar"/>
              </w:rPr>
            </w:pPr>
            <w:r>
              <w:rPr>
                <w:rStyle w:val="11"/>
                <w:lang w:val="en-US" w:eastAsia="zh-CN" w:bidi="ar"/>
              </w:rPr>
              <w:t>重点工作</w:t>
            </w:r>
          </w:p>
          <w:p w14:paraId="2C04A5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办结率</w:t>
            </w:r>
          </w:p>
        </w:tc>
        <w:tc>
          <w:tcPr>
            <w:tcW w:w="495" w:type="dxa"/>
            <w:tcBorders>
              <w:tl2br w:val="nil"/>
              <w:tr2bl w:val="nil"/>
            </w:tcBorders>
            <w:noWrap w:val="0"/>
            <w:vAlign w:val="center"/>
          </w:tcPr>
          <w:p w14:paraId="74628D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2E1CA27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14:paraId="28B3F6CA">
            <w:pPr>
              <w:keepNext w:val="0"/>
              <w:keepLines w:val="0"/>
              <w:widowControl/>
              <w:suppressLineNumbers w:val="0"/>
              <w:jc w:val="left"/>
              <w:textAlignment w:val="center"/>
              <w:rPr>
                <w:rStyle w:val="11"/>
                <w:lang w:val="en-US" w:eastAsia="zh-CN" w:bidi="ar"/>
              </w:rPr>
            </w:pPr>
            <w:r>
              <w:rPr>
                <w:rStyle w:val="11"/>
                <w:lang w:val="en-US" w:eastAsia="zh-CN" w:bidi="ar"/>
              </w:rPr>
              <w:t>重点工作办结率</w:t>
            </w:r>
            <w:r>
              <w:rPr>
                <w:rStyle w:val="12"/>
                <w:rFonts w:eastAsia="宋体"/>
                <w:lang w:val="en-US" w:eastAsia="zh-CN" w:bidi="ar"/>
              </w:rPr>
              <w:t>=</w:t>
            </w:r>
            <w:r>
              <w:rPr>
                <w:rStyle w:val="11"/>
                <w:lang w:val="en-US" w:eastAsia="zh-CN" w:bidi="ar"/>
              </w:rPr>
              <w:t>（重点工作实际完成数</w:t>
            </w:r>
            <w:r>
              <w:rPr>
                <w:rStyle w:val="12"/>
                <w:rFonts w:eastAsia="宋体"/>
                <w:lang w:val="en-US" w:eastAsia="zh-CN" w:bidi="ar"/>
              </w:rPr>
              <w:t>/</w:t>
            </w:r>
            <w:r>
              <w:rPr>
                <w:rStyle w:val="11"/>
                <w:lang w:val="en-US" w:eastAsia="zh-CN" w:bidi="ar"/>
              </w:rPr>
              <w:t>交办或下达数）</w:t>
            </w:r>
            <w:r>
              <w:rPr>
                <w:rStyle w:val="12"/>
                <w:rFonts w:eastAsia="宋体"/>
                <w:lang w:val="en-US" w:eastAsia="zh-CN" w:bidi="ar"/>
              </w:rPr>
              <w:t>×100%</w:t>
            </w:r>
            <w:r>
              <w:rPr>
                <w:rStyle w:val="11"/>
                <w:lang w:val="en-US" w:eastAsia="zh-CN" w:bidi="ar"/>
              </w:rPr>
              <w:t>。</w:t>
            </w:r>
          </w:p>
          <w:p w14:paraId="1292E60E">
            <w:pPr>
              <w:keepNext w:val="0"/>
              <w:keepLines w:val="0"/>
              <w:widowControl/>
              <w:suppressLineNumbers w:val="0"/>
              <w:jc w:val="left"/>
              <w:textAlignment w:val="center"/>
              <w:rPr>
                <w:rStyle w:val="11"/>
                <w:lang w:val="en-US" w:eastAsia="zh-CN" w:bidi="ar"/>
              </w:rPr>
            </w:pPr>
            <w:r>
              <w:rPr>
                <w:rStyle w:val="11"/>
                <w:lang w:val="en-US" w:eastAsia="zh-CN" w:bidi="ar"/>
              </w:rPr>
              <w:t>重点工作是指党委、政府、人大、相关部门交办或下达的工作任务。</w:t>
            </w:r>
          </w:p>
          <w:p w14:paraId="420A0FD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该项得分</w:t>
            </w:r>
            <w:r>
              <w:rPr>
                <w:rStyle w:val="12"/>
                <w:rFonts w:eastAsia="宋体"/>
                <w:lang w:val="en-US" w:eastAsia="zh-CN" w:bidi="ar"/>
              </w:rPr>
              <w:t>=</w:t>
            </w:r>
            <w:r>
              <w:rPr>
                <w:rStyle w:val="11"/>
                <w:lang w:val="en-US" w:eastAsia="zh-CN" w:bidi="ar"/>
              </w:rPr>
              <w:t>办结率</w:t>
            </w:r>
            <w:r>
              <w:rPr>
                <w:rStyle w:val="12"/>
                <w:rFonts w:eastAsia="宋体"/>
                <w:lang w:val="en-US" w:eastAsia="zh-CN" w:bidi="ar"/>
              </w:rPr>
              <w:t>×4</w:t>
            </w:r>
            <w:r>
              <w:rPr>
                <w:rStyle w:val="11"/>
                <w:lang w:val="en-US" w:eastAsia="zh-CN" w:bidi="ar"/>
              </w:rPr>
              <w:t>分。</w:t>
            </w:r>
          </w:p>
        </w:tc>
        <w:tc>
          <w:tcPr>
            <w:tcW w:w="2115" w:type="dxa"/>
            <w:tcBorders>
              <w:tl2br w:val="nil"/>
              <w:tr2bl w:val="nil"/>
            </w:tcBorders>
            <w:noWrap w:val="0"/>
            <w:vAlign w:val="center"/>
          </w:tcPr>
          <w:p w14:paraId="58CF716E">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EB049F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578E0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14:paraId="5EEA6856">
            <w:pPr>
              <w:keepNext w:val="0"/>
              <w:keepLines w:val="0"/>
              <w:widowControl/>
              <w:suppressLineNumbers w:val="0"/>
              <w:jc w:val="center"/>
              <w:textAlignment w:val="center"/>
              <w:rPr>
                <w:rStyle w:val="9"/>
                <w:lang w:val="en-US" w:eastAsia="zh-CN" w:bidi="ar"/>
              </w:rPr>
            </w:pPr>
            <w:r>
              <w:rPr>
                <w:rStyle w:val="9"/>
                <w:lang w:val="en-US" w:eastAsia="zh-CN" w:bidi="ar"/>
              </w:rPr>
              <w:t>效果</w:t>
            </w:r>
          </w:p>
          <w:p w14:paraId="05ADB6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9"/>
                <w:lang w:val="en-US" w:eastAsia="zh-CN" w:bidi="ar"/>
              </w:rPr>
              <w:t>（</w:t>
            </w:r>
            <w:r>
              <w:rPr>
                <w:rStyle w:val="10"/>
                <w:rFonts w:eastAsia="宋体"/>
                <w:lang w:val="en-US" w:eastAsia="zh-CN" w:bidi="ar"/>
              </w:rPr>
              <w:t>17</w:t>
            </w:r>
            <w:r>
              <w:rPr>
                <w:rStyle w:val="9"/>
                <w:lang w:val="en-US" w:eastAsia="zh-CN" w:bidi="ar"/>
              </w:rPr>
              <w:t>分）</w:t>
            </w:r>
          </w:p>
        </w:tc>
        <w:tc>
          <w:tcPr>
            <w:tcW w:w="870" w:type="dxa"/>
            <w:vMerge w:val="restart"/>
            <w:tcBorders>
              <w:tl2br w:val="nil"/>
              <w:tr2bl w:val="nil"/>
            </w:tcBorders>
            <w:noWrap w:val="0"/>
            <w:vAlign w:val="center"/>
          </w:tcPr>
          <w:p w14:paraId="2C8355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履职效益（</w:t>
            </w:r>
            <w:r>
              <w:rPr>
                <w:rStyle w:val="12"/>
                <w:rFonts w:eastAsia="宋体"/>
                <w:lang w:val="en-US" w:eastAsia="zh-CN" w:bidi="ar"/>
              </w:rPr>
              <w:t>17</w:t>
            </w:r>
            <w:r>
              <w:rPr>
                <w:rStyle w:val="11"/>
                <w:lang w:val="en-US" w:eastAsia="zh-CN" w:bidi="ar"/>
              </w:rPr>
              <w:t>分）</w:t>
            </w:r>
          </w:p>
        </w:tc>
        <w:tc>
          <w:tcPr>
            <w:tcW w:w="1050" w:type="dxa"/>
            <w:tcBorders>
              <w:tl2br w:val="nil"/>
              <w:tr2bl w:val="nil"/>
            </w:tcBorders>
            <w:noWrap w:val="0"/>
            <w:vAlign w:val="center"/>
          </w:tcPr>
          <w:p w14:paraId="7216745A">
            <w:pPr>
              <w:keepNext w:val="0"/>
              <w:keepLines w:val="0"/>
              <w:widowControl/>
              <w:suppressLineNumbers w:val="0"/>
              <w:jc w:val="center"/>
              <w:textAlignment w:val="center"/>
              <w:rPr>
                <w:rStyle w:val="11"/>
                <w:lang w:val="en-US" w:eastAsia="zh-CN" w:bidi="ar"/>
              </w:rPr>
            </w:pPr>
            <w:r>
              <w:rPr>
                <w:rStyle w:val="11"/>
                <w:lang w:val="en-US" w:eastAsia="zh-CN" w:bidi="ar"/>
              </w:rPr>
              <w:t>经济</w:t>
            </w:r>
          </w:p>
          <w:p w14:paraId="3E0B10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效益</w:t>
            </w:r>
          </w:p>
        </w:tc>
        <w:tc>
          <w:tcPr>
            <w:tcW w:w="495" w:type="dxa"/>
            <w:vMerge w:val="restart"/>
            <w:tcBorders>
              <w:tl2br w:val="nil"/>
              <w:tr2bl w:val="nil"/>
            </w:tcBorders>
            <w:noWrap w:val="0"/>
            <w:vAlign w:val="center"/>
          </w:tcPr>
          <w:p w14:paraId="754813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14:paraId="26CDF89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14:paraId="01B3D883">
            <w:pPr>
              <w:keepNext w:val="0"/>
              <w:keepLines w:val="0"/>
              <w:widowControl/>
              <w:suppressLineNumbers w:val="0"/>
              <w:jc w:val="left"/>
              <w:textAlignment w:val="center"/>
              <w:rPr>
                <w:rStyle w:val="11"/>
                <w:lang w:val="en-US" w:eastAsia="zh-CN" w:bidi="ar"/>
              </w:rPr>
            </w:pPr>
            <w:r>
              <w:rPr>
                <w:rStyle w:val="11"/>
                <w:lang w:val="en-US" w:eastAsia="zh-CN" w:bidi="ar"/>
              </w:rPr>
              <w:t>此三项指标可根据部门实际并结合部门整体支出绩效目标设立情况有选择的进行评价。</w:t>
            </w:r>
          </w:p>
          <w:p w14:paraId="47C5D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该项得分</w:t>
            </w:r>
            <w:r>
              <w:rPr>
                <w:rStyle w:val="12"/>
                <w:rFonts w:eastAsia="宋体"/>
                <w:lang w:val="en-US" w:eastAsia="zh-CN" w:bidi="ar"/>
              </w:rPr>
              <w:t>=</w:t>
            </w:r>
            <w:r>
              <w:rPr>
                <w:rStyle w:val="11"/>
                <w:lang w:val="en-US" w:eastAsia="zh-CN" w:bidi="ar"/>
              </w:rPr>
              <w:t>依据评价内容相应计分。</w:t>
            </w:r>
          </w:p>
        </w:tc>
        <w:tc>
          <w:tcPr>
            <w:tcW w:w="2115" w:type="dxa"/>
            <w:tcBorders>
              <w:tl2br w:val="nil"/>
              <w:tr2bl w:val="nil"/>
            </w:tcBorders>
            <w:noWrap w:val="0"/>
            <w:vAlign w:val="center"/>
          </w:tcPr>
          <w:p w14:paraId="574011B2">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15B8B7C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28914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7B84AB9B">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7B82CDA1">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27E089A">
            <w:pPr>
              <w:keepNext w:val="0"/>
              <w:keepLines w:val="0"/>
              <w:widowControl/>
              <w:suppressLineNumbers w:val="0"/>
              <w:jc w:val="center"/>
              <w:textAlignment w:val="center"/>
              <w:rPr>
                <w:rStyle w:val="11"/>
                <w:lang w:val="en-US" w:eastAsia="zh-CN" w:bidi="ar"/>
              </w:rPr>
            </w:pPr>
            <w:r>
              <w:rPr>
                <w:rStyle w:val="11"/>
                <w:lang w:val="en-US" w:eastAsia="zh-CN" w:bidi="ar"/>
              </w:rPr>
              <w:t>社会</w:t>
            </w:r>
          </w:p>
          <w:p w14:paraId="67CF7A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效益</w:t>
            </w:r>
          </w:p>
        </w:tc>
        <w:tc>
          <w:tcPr>
            <w:tcW w:w="495" w:type="dxa"/>
            <w:vMerge w:val="continue"/>
            <w:tcBorders>
              <w:tl2br w:val="nil"/>
              <w:tr2bl w:val="nil"/>
            </w:tcBorders>
            <w:noWrap w:val="0"/>
            <w:vAlign w:val="center"/>
          </w:tcPr>
          <w:p w14:paraId="757842C7">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3937EFFE">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3408E666">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33A2C9E2">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1F6D8C0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6613D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24EF13B3">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10302C83">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35DFBD7B">
            <w:pPr>
              <w:keepNext w:val="0"/>
              <w:keepLines w:val="0"/>
              <w:widowControl/>
              <w:suppressLineNumbers w:val="0"/>
              <w:jc w:val="center"/>
              <w:textAlignment w:val="center"/>
              <w:rPr>
                <w:rStyle w:val="11"/>
                <w:lang w:val="en-US" w:eastAsia="zh-CN" w:bidi="ar"/>
              </w:rPr>
            </w:pPr>
            <w:r>
              <w:rPr>
                <w:rStyle w:val="11"/>
                <w:lang w:val="en-US" w:eastAsia="zh-CN" w:bidi="ar"/>
              </w:rPr>
              <w:t>生态</w:t>
            </w:r>
          </w:p>
          <w:p w14:paraId="3E6D36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效益</w:t>
            </w:r>
          </w:p>
        </w:tc>
        <w:tc>
          <w:tcPr>
            <w:tcW w:w="495" w:type="dxa"/>
            <w:vMerge w:val="continue"/>
            <w:tcBorders>
              <w:tl2br w:val="nil"/>
              <w:tr2bl w:val="nil"/>
            </w:tcBorders>
            <w:noWrap w:val="0"/>
            <w:vAlign w:val="center"/>
          </w:tcPr>
          <w:p w14:paraId="3E33272D">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32CEBDBA">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67D45EF9">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0C21B250">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11DE919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7F5F2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14:paraId="19BEB346">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578678CF">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0655FA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社会公众或服务对象满意度</w:t>
            </w:r>
          </w:p>
        </w:tc>
        <w:tc>
          <w:tcPr>
            <w:tcW w:w="495" w:type="dxa"/>
            <w:tcBorders>
              <w:tl2br w:val="nil"/>
              <w:tr2bl w:val="nil"/>
            </w:tcBorders>
            <w:noWrap w:val="0"/>
            <w:vAlign w:val="center"/>
          </w:tcPr>
          <w:p w14:paraId="283CDC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462E50D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社会公众或部门的服务对象对部门履职效果的满意程度。</w:t>
            </w:r>
          </w:p>
        </w:tc>
        <w:tc>
          <w:tcPr>
            <w:tcW w:w="5112" w:type="dxa"/>
            <w:tcBorders>
              <w:tl2br w:val="nil"/>
              <w:tr2bl w:val="nil"/>
            </w:tcBorders>
            <w:noWrap w:val="0"/>
            <w:vAlign w:val="center"/>
          </w:tcPr>
          <w:p w14:paraId="5D469DFE">
            <w:pPr>
              <w:keepNext w:val="0"/>
              <w:keepLines w:val="0"/>
              <w:widowControl/>
              <w:suppressLineNumbers w:val="0"/>
              <w:jc w:val="left"/>
              <w:textAlignment w:val="center"/>
              <w:rPr>
                <w:rStyle w:val="11"/>
                <w:lang w:val="en-US" w:eastAsia="zh-CN" w:bidi="ar"/>
              </w:rPr>
            </w:pPr>
          </w:p>
          <w:p w14:paraId="37B1C5A7">
            <w:pPr>
              <w:keepNext w:val="0"/>
              <w:keepLines w:val="0"/>
              <w:widowControl/>
              <w:suppressLineNumbers w:val="0"/>
              <w:jc w:val="left"/>
              <w:textAlignment w:val="center"/>
              <w:rPr>
                <w:rStyle w:val="11"/>
                <w:lang w:val="en-US" w:eastAsia="zh-CN" w:bidi="ar"/>
              </w:rPr>
            </w:pPr>
            <w:r>
              <w:rPr>
                <w:rStyle w:val="11"/>
                <w:lang w:val="en-US" w:eastAsia="zh-CN" w:bidi="ar"/>
              </w:rPr>
              <w:t>社会公众或服务对象是指部门履行职责而影响到的部门、群体或个人。一般采取社会调查的方式</w:t>
            </w:r>
            <w:r>
              <w:rPr>
                <w:rStyle w:val="12"/>
                <w:rFonts w:eastAsia="宋体"/>
                <w:lang w:val="en-US" w:eastAsia="zh-CN" w:bidi="ar"/>
              </w:rPr>
              <w:t>(</w:t>
            </w:r>
            <w:r>
              <w:rPr>
                <w:rStyle w:val="11"/>
                <w:lang w:val="en-US" w:eastAsia="zh-CN" w:bidi="ar"/>
              </w:rPr>
              <w:t>不少于</w:t>
            </w:r>
            <w:r>
              <w:rPr>
                <w:rStyle w:val="12"/>
                <w:rFonts w:eastAsia="宋体"/>
                <w:lang w:val="en-US" w:eastAsia="zh-CN" w:bidi="ar"/>
              </w:rPr>
              <w:t>30</w:t>
            </w:r>
            <w:r>
              <w:rPr>
                <w:rStyle w:val="11"/>
                <w:lang w:val="en-US" w:eastAsia="zh-CN" w:bidi="ar"/>
              </w:rPr>
              <w:t>份</w:t>
            </w:r>
            <w:r>
              <w:rPr>
                <w:rStyle w:val="12"/>
                <w:rFonts w:eastAsia="宋体"/>
                <w:lang w:val="en-US" w:eastAsia="zh-CN" w:bidi="ar"/>
              </w:rPr>
              <w:t>)</w:t>
            </w:r>
            <w:r>
              <w:rPr>
                <w:rStyle w:val="11"/>
                <w:lang w:val="en-US" w:eastAsia="zh-CN" w:bidi="ar"/>
              </w:rPr>
              <w:t>。</w:t>
            </w:r>
          </w:p>
          <w:p w14:paraId="19743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该项得分</w:t>
            </w:r>
            <w:r>
              <w:rPr>
                <w:rStyle w:val="12"/>
                <w:rFonts w:eastAsia="宋体"/>
                <w:lang w:val="en-US" w:eastAsia="zh-CN" w:bidi="ar"/>
              </w:rPr>
              <w:t>=</w:t>
            </w:r>
            <w:r>
              <w:rPr>
                <w:rStyle w:val="11"/>
                <w:lang w:val="en-US" w:eastAsia="zh-CN" w:bidi="ar"/>
              </w:rPr>
              <w:t>满意率</w:t>
            </w:r>
            <w:r>
              <w:rPr>
                <w:rStyle w:val="12"/>
                <w:rFonts w:eastAsia="宋体"/>
                <w:lang w:val="en-US" w:eastAsia="zh-CN" w:bidi="ar"/>
              </w:rPr>
              <w:t>×8</w:t>
            </w:r>
            <w:r>
              <w:rPr>
                <w:rStyle w:val="11"/>
                <w:lang w:val="en-US" w:eastAsia="zh-CN" w:bidi="ar"/>
              </w:rPr>
              <w:t>分。</w:t>
            </w:r>
          </w:p>
        </w:tc>
        <w:tc>
          <w:tcPr>
            <w:tcW w:w="2115" w:type="dxa"/>
            <w:tcBorders>
              <w:tl2br w:val="nil"/>
              <w:tr2bl w:val="nil"/>
            </w:tcBorders>
            <w:noWrap w:val="0"/>
            <w:vAlign w:val="center"/>
          </w:tcPr>
          <w:p w14:paraId="69C9C752">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14:paraId="6AD90E0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79D81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14:paraId="310D36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合</w:t>
            </w:r>
            <w:r>
              <w:rPr>
                <w:rStyle w:val="14"/>
                <w:rFonts w:eastAsia="宋体"/>
                <w:lang w:val="en-US" w:eastAsia="zh-CN" w:bidi="ar"/>
              </w:rPr>
              <w:t xml:space="preserve">  </w:t>
            </w:r>
            <w:r>
              <w:rPr>
                <w:rStyle w:val="13"/>
                <w:lang w:val="en-US" w:eastAsia="zh-CN" w:bidi="ar"/>
              </w:rPr>
              <w:t>计</w:t>
            </w:r>
          </w:p>
        </w:tc>
        <w:tc>
          <w:tcPr>
            <w:tcW w:w="0" w:type="auto"/>
            <w:tcBorders>
              <w:tl2br w:val="nil"/>
              <w:tr2bl w:val="nil"/>
            </w:tcBorders>
            <w:noWrap/>
            <w:vAlign w:val="center"/>
          </w:tcPr>
          <w:p w14:paraId="72902F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14:paraId="46EF0441">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3308E34D">
            <w:pPr>
              <w:jc w:val="both"/>
              <w:rPr>
                <w:rFonts w:hint="default" w:ascii="Times New Roman" w:hAnsi="Times New Roman" w:eastAsia="宋体" w:cs="Times New Roman"/>
                <w:i w:val="0"/>
                <w:iCs w:val="0"/>
                <w:color w:val="000000"/>
                <w:sz w:val="18"/>
                <w:szCs w:val="18"/>
                <w:u w:val="none"/>
              </w:rPr>
            </w:pPr>
          </w:p>
        </w:tc>
        <w:tc>
          <w:tcPr>
            <w:tcW w:w="2115" w:type="dxa"/>
            <w:tcBorders>
              <w:tl2br w:val="nil"/>
              <w:tr2bl w:val="nil"/>
            </w:tcBorders>
            <w:noWrap/>
            <w:vAlign w:val="center"/>
          </w:tcPr>
          <w:p w14:paraId="6BD7CF12">
            <w:pPr>
              <w:jc w:val="both"/>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ign w:val="center"/>
          </w:tcPr>
          <w:p w14:paraId="588C7D7D">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98</w:t>
            </w:r>
          </w:p>
        </w:tc>
      </w:tr>
    </w:tbl>
    <w:p w14:paraId="2A81A981">
      <w:pPr>
        <w:keepNext w:val="0"/>
        <w:keepLines w:val="0"/>
        <w:pageBreakBefore w:val="0"/>
        <w:kinsoku/>
        <w:wordWrap/>
        <w:overflowPunct/>
        <w:topLinePunct w:val="0"/>
        <w:autoSpaceDE/>
        <w:autoSpaceDN/>
        <w:bidi w:val="0"/>
        <w:adjustRightInd w:val="0"/>
        <w:snapToGrid w:val="0"/>
        <w:spacing w:before="120" w:beforeLines="50" w:after="120" w:afterLines="50" w:line="240" w:lineRule="atLeast"/>
        <w:jc w:val="center"/>
        <w:rPr>
          <w:rFonts w:hint="eastAsia" w:eastAsia="方正小标宋_GBK" w:asciiTheme="minorHAnsi" w:hAnsiTheme="minorHAnsi" w:cstheme="minorBidi"/>
          <w:bCs/>
          <w:sz w:val="36"/>
          <w:szCs w:val="36"/>
        </w:rPr>
      </w:pPr>
    </w:p>
    <w:p w14:paraId="49DF20BF">
      <w:pPr>
        <w:adjustRightInd w:val="0"/>
        <w:spacing w:line="600" w:lineRule="exact"/>
        <w:ind w:right="641"/>
        <w:rPr>
          <w:rFonts w:hint="eastAsia" w:ascii="黑体" w:eastAsia="黑体"/>
          <w:sz w:val="32"/>
          <w:szCs w:val="32"/>
        </w:rPr>
      </w:pPr>
    </w:p>
    <w:p w14:paraId="504A08B9">
      <w:pPr>
        <w:adjustRightInd w:val="0"/>
        <w:spacing w:line="600" w:lineRule="exact"/>
        <w:ind w:right="641"/>
        <w:rPr>
          <w:rFonts w:hint="eastAsia" w:ascii="黑体" w:eastAsia="黑体"/>
          <w:sz w:val="32"/>
          <w:szCs w:val="32"/>
        </w:rPr>
      </w:pPr>
    </w:p>
    <w:p w14:paraId="71C30716">
      <w:pPr>
        <w:adjustRightInd w:val="0"/>
        <w:spacing w:line="600" w:lineRule="exact"/>
        <w:ind w:right="641"/>
        <w:rPr>
          <w:rFonts w:hint="eastAsia" w:ascii="黑体" w:eastAsia="黑体"/>
          <w:sz w:val="32"/>
          <w:szCs w:val="32"/>
        </w:rPr>
        <w:sectPr>
          <w:pgSz w:w="16837" w:h="11905" w:orient="landscape"/>
          <w:pgMar w:top="1134" w:right="1134" w:bottom="1134" w:left="1134" w:header="0" w:footer="0" w:gutter="0"/>
          <w:pgBorders>
            <w:top w:val="none" w:sz="0" w:space="0"/>
            <w:left w:val="none" w:sz="0" w:space="0"/>
            <w:bottom w:val="none" w:sz="0" w:space="0"/>
            <w:right w:val="none" w:sz="0" w:space="0"/>
          </w:pgBorders>
          <w:pgNumType w:start="1"/>
          <w:cols w:space="0" w:num="1"/>
          <w:rtlGutter w:val="0"/>
          <w:docGrid w:linePitch="636" w:charSpace="0"/>
        </w:sectPr>
      </w:pPr>
    </w:p>
    <w:p w14:paraId="7FA266B9">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38425B47">
      <w:pPr>
        <w:pStyle w:val="2"/>
        <w:keepNext w:val="0"/>
        <w:keepLines w:val="0"/>
        <w:pageBreakBefore w:val="0"/>
        <w:kinsoku/>
        <w:wordWrap/>
        <w:overflowPunct/>
        <w:topLinePunct w:val="0"/>
        <w:autoSpaceDE/>
        <w:autoSpaceDN/>
        <w:bidi w:val="0"/>
        <w:adjustRightInd w:val="0"/>
        <w:snapToGrid w:val="0"/>
        <w:spacing w:line="280" w:lineRule="atLeast"/>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5"/>
        <w:tblpPr w:leftFromText="180" w:rightFromText="180" w:vertAnchor="text" w:horzAnchor="page" w:tblpXSpec="center" w:tblpY="700"/>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0"/>
        <w:gridCol w:w="975"/>
        <w:gridCol w:w="1408"/>
        <w:gridCol w:w="2282"/>
        <w:gridCol w:w="2818"/>
        <w:gridCol w:w="2"/>
      </w:tblGrid>
      <w:tr w14:paraId="47986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57" w:hRule="atLeast"/>
          <w:jc w:val="center"/>
        </w:trPr>
        <w:tc>
          <w:tcPr>
            <w:tcW w:w="22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DC8DAF">
            <w:pPr>
              <w:keepNext w:val="0"/>
              <w:keepLines w:val="0"/>
              <w:pageBreakBefore w:val="0"/>
              <w:widowControl/>
              <w:suppressLineNumbers w:val="0"/>
              <w:kinsoku/>
              <w:wordWrap/>
              <w:overflowPunct/>
              <w:topLinePunct w:val="0"/>
              <w:autoSpaceDE/>
              <w:autoSpaceDN/>
              <w:bidi w:val="0"/>
              <w:adjustRightInd w:val="0"/>
              <w:snapToGrid w:val="0"/>
              <w:spacing w:line="280" w:lineRule="atLeast"/>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383" w:type="dxa"/>
            <w:gridSpan w:val="2"/>
            <w:tcBorders>
              <w:top w:val="single" w:color="000000" w:sz="4" w:space="0"/>
              <w:left w:val="single" w:color="000000" w:sz="4" w:space="0"/>
              <w:bottom w:val="single" w:color="000000" w:sz="4" w:space="0"/>
              <w:right w:val="single" w:color="000000" w:sz="4" w:space="0"/>
            </w:tcBorders>
            <w:noWrap w:val="0"/>
            <w:vAlign w:val="center"/>
          </w:tcPr>
          <w:p w14:paraId="7A780311">
            <w:pPr>
              <w:keepNext w:val="0"/>
              <w:keepLines w:val="0"/>
              <w:pageBreakBefore w:val="0"/>
              <w:widowControl/>
              <w:suppressLineNumbers w:val="0"/>
              <w:kinsoku/>
              <w:wordWrap/>
              <w:overflowPunct/>
              <w:topLinePunct w:val="0"/>
              <w:autoSpaceDE/>
              <w:autoSpaceDN/>
              <w:bidi w:val="0"/>
              <w:adjustRightInd w:val="0"/>
              <w:snapToGrid w:val="0"/>
              <w:spacing w:line="280" w:lineRule="atLeas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0996ECB5">
            <w:pPr>
              <w:keepNext w:val="0"/>
              <w:keepLines w:val="0"/>
              <w:pageBreakBefore w:val="0"/>
              <w:widowControl/>
              <w:suppressLineNumbers w:val="0"/>
              <w:kinsoku/>
              <w:wordWrap/>
              <w:overflowPunct/>
              <w:topLinePunct w:val="0"/>
              <w:autoSpaceDE/>
              <w:autoSpaceDN/>
              <w:bidi w:val="0"/>
              <w:adjustRightInd w:val="0"/>
              <w:snapToGrid w:val="0"/>
              <w:spacing w:line="280" w:lineRule="atLeast"/>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5FD3BD2D">
            <w:pPr>
              <w:keepNext w:val="0"/>
              <w:keepLines w:val="0"/>
              <w:pageBreakBefore w:val="0"/>
              <w:widowControl/>
              <w:suppressLineNumbers w:val="0"/>
              <w:kinsoku/>
              <w:wordWrap/>
              <w:overflowPunct/>
              <w:topLinePunct w:val="0"/>
              <w:autoSpaceDE/>
              <w:autoSpaceDN/>
              <w:bidi w:val="0"/>
              <w:adjustRightInd w:val="0"/>
              <w:snapToGrid w:val="0"/>
              <w:spacing w:line="280" w:lineRule="atLeas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14:paraId="0B93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60" w:hRule="atLeast"/>
          <w:jc w:val="center"/>
        </w:trPr>
        <w:tc>
          <w:tcPr>
            <w:tcW w:w="2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B54F4">
            <w:pPr>
              <w:keepNext w:val="0"/>
              <w:keepLines w:val="0"/>
              <w:pageBreakBefore w:val="0"/>
              <w:kinsoku/>
              <w:wordWrap/>
              <w:overflowPunct/>
              <w:topLinePunct w:val="0"/>
              <w:autoSpaceDE/>
              <w:autoSpaceDN/>
              <w:bidi w:val="0"/>
              <w:adjustRightInd w:val="0"/>
              <w:snapToGrid w:val="0"/>
              <w:spacing w:line="280" w:lineRule="atLeast"/>
              <w:rPr>
                <w:rFonts w:hint="eastAsia" w:ascii="仿宋" w:hAnsi="仿宋" w:eastAsia="仿宋" w:cs="仿宋"/>
                <w:i w:val="0"/>
                <w:iCs w:val="0"/>
                <w:color w:val="000000"/>
                <w:sz w:val="20"/>
                <w:szCs w:val="20"/>
                <w:u w:val="none"/>
              </w:rPr>
            </w:pPr>
          </w:p>
        </w:tc>
        <w:tc>
          <w:tcPr>
            <w:tcW w:w="2383" w:type="dxa"/>
            <w:gridSpan w:val="2"/>
            <w:tcBorders>
              <w:top w:val="single" w:color="000000" w:sz="4" w:space="0"/>
              <w:left w:val="single" w:color="000000" w:sz="4" w:space="0"/>
              <w:bottom w:val="single" w:color="000000" w:sz="4" w:space="0"/>
              <w:right w:val="single" w:color="000000" w:sz="4" w:space="0"/>
            </w:tcBorders>
            <w:noWrap w:val="0"/>
            <w:vAlign w:val="center"/>
          </w:tcPr>
          <w:p w14:paraId="71217EDE">
            <w:pPr>
              <w:keepNext w:val="0"/>
              <w:keepLines w:val="0"/>
              <w:pageBreakBefore w:val="0"/>
              <w:kinsoku/>
              <w:wordWrap/>
              <w:overflowPunct/>
              <w:topLinePunct w:val="0"/>
              <w:autoSpaceDE/>
              <w:autoSpaceDN/>
              <w:bidi w:val="0"/>
              <w:adjustRightInd w:val="0"/>
              <w:snapToGrid w:val="0"/>
              <w:spacing w:line="280" w:lineRule="atLeast"/>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14</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0DADFB70">
            <w:pPr>
              <w:keepNext w:val="0"/>
              <w:keepLines w:val="0"/>
              <w:pageBreakBefore w:val="0"/>
              <w:kinsoku/>
              <w:wordWrap/>
              <w:overflowPunct/>
              <w:topLinePunct w:val="0"/>
              <w:autoSpaceDE/>
              <w:autoSpaceDN/>
              <w:bidi w:val="0"/>
              <w:adjustRightInd w:val="0"/>
              <w:snapToGrid w:val="0"/>
              <w:spacing w:line="280" w:lineRule="atLeast"/>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14</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74CBF7ED">
            <w:pPr>
              <w:keepNext w:val="0"/>
              <w:keepLines w:val="0"/>
              <w:pageBreakBefore w:val="0"/>
              <w:kinsoku/>
              <w:wordWrap/>
              <w:overflowPunct/>
              <w:topLinePunct w:val="0"/>
              <w:autoSpaceDE/>
              <w:autoSpaceDN/>
              <w:bidi w:val="0"/>
              <w:adjustRightInd w:val="0"/>
              <w:snapToGrid w:val="0"/>
              <w:spacing w:line="280" w:lineRule="atLeast"/>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100</w:t>
            </w:r>
          </w:p>
        </w:tc>
      </w:tr>
      <w:tr w14:paraId="12D4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21"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49599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383" w:type="dxa"/>
            <w:gridSpan w:val="2"/>
            <w:tcBorders>
              <w:top w:val="single" w:color="000000" w:sz="4" w:space="0"/>
              <w:left w:val="single" w:color="000000" w:sz="4" w:space="0"/>
              <w:bottom w:val="single" w:color="000000" w:sz="4" w:space="0"/>
              <w:right w:val="single" w:color="000000" w:sz="4" w:space="0"/>
            </w:tcBorders>
            <w:noWrap w:val="0"/>
            <w:vAlign w:val="center"/>
          </w:tcPr>
          <w:p w14:paraId="2E17CC2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2E120B4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29072B27">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14:paraId="38F8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2"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223DD4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7FBA894">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DCD7C6F">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3600</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763C0558">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10000</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51E203DF">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3560</w:t>
            </w:r>
          </w:p>
        </w:tc>
      </w:tr>
      <w:tr w14:paraId="7AEC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56"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4436FFB">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1FB9055">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BA87D8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5D851A0E">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27AF08B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334C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46"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254E2897">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B74A794">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8E5C44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0A6B5E1D">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483E863A">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60B4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71"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198BA5F6">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91FAAA5">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25FEE78">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00F186DA">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0423DF02">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67F6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61"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70CFB2DE">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ECB5F9C">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2445788">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772D3719">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219ABDDD">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1518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21"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288A182A">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A27D4E7">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A0D5459">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3600</w:t>
            </w: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2BD3EAD5">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10000</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66CAF314">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3560</w:t>
            </w:r>
          </w:p>
        </w:tc>
      </w:tr>
      <w:tr w14:paraId="7571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57"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360C30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45AA0FF">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DA7F80C">
            <w:pPr>
              <w:rPr>
                <w:rFonts w:hint="default" w:ascii="仿宋" w:hAnsi="仿宋" w:eastAsia="仿宋" w:cs="仿宋"/>
                <w:i w:val="0"/>
                <w:iCs w:val="0"/>
                <w:color w:val="000000"/>
                <w:sz w:val="21"/>
                <w:szCs w:val="21"/>
                <w:u w:val="none"/>
                <w:lang w:val="en-US" w:eastAsia="zh-CN"/>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63BA850B">
            <w:pPr>
              <w:rPr>
                <w:rFonts w:hint="default" w:ascii="仿宋" w:hAnsi="仿宋" w:eastAsia="仿宋" w:cs="仿宋"/>
                <w:i w:val="0"/>
                <w:iCs w:val="0"/>
                <w:color w:val="000000"/>
                <w:sz w:val="21"/>
                <w:szCs w:val="21"/>
                <w:u w:val="none"/>
                <w:lang w:val="en-US" w:eastAsia="zh-CN"/>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46ABBE72">
            <w:pPr>
              <w:rPr>
                <w:rFonts w:hint="default" w:ascii="仿宋" w:hAnsi="仿宋" w:eastAsia="仿宋" w:cs="仿宋"/>
                <w:i w:val="0"/>
                <w:iCs w:val="0"/>
                <w:color w:val="000000"/>
                <w:sz w:val="21"/>
                <w:szCs w:val="21"/>
                <w:u w:val="none"/>
                <w:lang w:val="en-US" w:eastAsia="zh-CN"/>
              </w:rPr>
            </w:pPr>
          </w:p>
        </w:tc>
      </w:tr>
      <w:tr w14:paraId="137F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61"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E3E2712">
            <w:pPr>
              <w:keepNext w:val="0"/>
              <w:keepLines w:val="0"/>
              <w:widowControl/>
              <w:suppressLineNumbers w:val="0"/>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58E4E69">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45A2D8D5">
            <w:pPr>
              <w:rPr>
                <w:rFonts w:hint="eastAsia" w:ascii="仿宋" w:hAnsi="仿宋" w:eastAsia="仿宋" w:cs="仿宋"/>
                <w:i w:val="0"/>
                <w:iCs w:val="0"/>
                <w:color w:val="000000"/>
                <w:sz w:val="21"/>
                <w:szCs w:val="21"/>
                <w:u w:val="none"/>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748989FF">
            <w:pPr>
              <w:rPr>
                <w:rFonts w:hint="eastAsia" w:ascii="仿宋" w:hAnsi="仿宋" w:eastAsia="仿宋" w:cs="仿宋"/>
                <w:i w:val="0"/>
                <w:iCs w:val="0"/>
                <w:color w:val="000000"/>
                <w:sz w:val="21"/>
                <w:szCs w:val="21"/>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6268E53D">
            <w:pPr>
              <w:rPr>
                <w:rFonts w:hint="eastAsia" w:ascii="仿宋" w:hAnsi="仿宋" w:eastAsia="仿宋" w:cs="仿宋"/>
                <w:i w:val="0"/>
                <w:iCs w:val="0"/>
                <w:color w:val="000000"/>
                <w:sz w:val="21"/>
                <w:szCs w:val="21"/>
                <w:u w:val="none"/>
              </w:rPr>
            </w:pPr>
          </w:p>
        </w:tc>
      </w:tr>
      <w:tr w14:paraId="2D33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41"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22A66CAD">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8657902">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16DC71D">
            <w:pPr>
              <w:rPr>
                <w:rFonts w:hint="eastAsia" w:ascii="仿宋" w:hAnsi="仿宋" w:eastAsia="仿宋" w:cs="仿宋"/>
                <w:i w:val="0"/>
                <w:iCs w:val="0"/>
                <w:color w:val="000000"/>
                <w:sz w:val="21"/>
                <w:szCs w:val="21"/>
                <w:u w:val="none"/>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0130AF5B">
            <w:pPr>
              <w:rPr>
                <w:rFonts w:hint="eastAsia" w:ascii="仿宋" w:hAnsi="仿宋" w:eastAsia="仿宋" w:cs="仿宋"/>
                <w:i w:val="0"/>
                <w:iCs w:val="0"/>
                <w:color w:val="000000"/>
                <w:sz w:val="21"/>
                <w:szCs w:val="21"/>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076167B3">
            <w:pPr>
              <w:rPr>
                <w:rFonts w:hint="eastAsia" w:ascii="仿宋" w:hAnsi="仿宋" w:eastAsia="仿宋" w:cs="仿宋"/>
                <w:i w:val="0"/>
                <w:iCs w:val="0"/>
                <w:color w:val="000000"/>
                <w:sz w:val="21"/>
                <w:szCs w:val="21"/>
                <w:u w:val="none"/>
              </w:rPr>
            </w:pPr>
          </w:p>
        </w:tc>
      </w:tr>
      <w:tr w14:paraId="582B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36"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6B247058">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94A53F3">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8F948B7">
            <w:pPr>
              <w:rPr>
                <w:rFonts w:hint="eastAsia" w:ascii="仿宋" w:hAnsi="仿宋" w:eastAsia="仿宋" w:cs="仿宋"/>
                <w:i w:val="0"/>
                <w:iCs w:val="0"/>
                <w:color w:val="000000"/>
                <w:sz w:val="21"/>
                <w:szCs w:val="21"/>
                <w:u w:val="none"/>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717AE5D3">
            <w:pPr>
              <w:rPr>
                <w:rFonts w:hint="eastAsia" w:ascii="仿宋" w:hAnsi="仿宋" w:eastAsia="仿宋" w:cs="仿宋"/>
                <w:i w:val="0"/>
                <w:iCs w:val="0"/>
                <w:color w:val="000000"/>
                <w:sz w:val="21"/>
                <w:szCs w:val="21"/>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50843E6F">
            <w:pPr>
              <w:rPr>
                <w:rFonts w:hint="eastAsia" w:ascii="仿宋" w:hAnsi="仿宋" w:eastAsia="仿宋" w:cs="仿宋"/>
                <w:i w:val="0"/>
                <w:iCs w:val="0"/>
                <w:color w:val="000000"/>
                <w:sz w:val="21"/>
                <w:szCs w:val="21"/>
                <w:u w:val="none"/>
              </w:rPr>
            </w:pPr>
          </w:p>
        </w:tc>
      </w:tr>
      <w:tr w14:paraId="5ADE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291"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6808D68">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2B4511F">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5336629">
            <w:pPr>
              <w:rPr>
                <w:rFonts w:hint="eastAsia" w:ascii="仿宋" w:hAnsi="仿宋" w:eastAsia="仿宋" w:cs="仿宋"/>
                <w:i w:val="0"/>
                <w:iCs w:val="0"/>
                <w:color w:val="000000"/>
                <w:sz w:val="21"/>
                <w:szCs w:val="21"/>
                <w:u w:val="none"/>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7C72FF11">
            <w:pPr>
              <w:rPr>
                <w:rFonts w:hint="eastAsia" w:ascii="仿宋" w:hAnsi="仿宋" w:eastAsia="仿宋" w:cs="仿宋"/>
                <w:i w:val="0"/>
                <w:iCs w:val="0"/>
                <w:color w:val="000000"/>
                <w:sz w:val="21"/>
                <w:szCs w:val="21"/>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6CB0BCB0">
            <w:pPr>
              <w:rPr>
                <w:rFonts w:hint="eastAsia" w:ascii="仿宋" w:hAnsi="仿宋" w:eastAsia="仿宋" w:cs="仿宋"/>
                <w:i w:val="0"/>
                <w:iCs w:val="0"/>
                <w:color w:val="000000"/>
                <w:sz w:val="21"/>
                <w:szCs w:val="21"/>
                <w:u w:val="none"/>
              </w:rPr>
            </w:pPr>
          </w:p>
        </w:tc>
      </w:tr>
      <w:tr w14:paraId="3140B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6"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44DD99A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B3C48F1">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FDF40AD">
            <w:pPr>
              <w:rPr>
                <w:rFonts w:hint="default" w:ascii="仿宋" w:hAnsi="仿宋" w:eastAsia="仿宋" w:cs="仿宋"/>
                <w:i w:val="0"/>
                <w:iCs w:val="0"/>
                <w:color w:val="000000"/>
                <w:sz w:val="21"/>
                <w:szCs w:val="21"/>
                <w:u w:val="none"/>
                <w:lang w:val="en-US" w:eastAsia="zh-CN"/>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66460690">
            <w:pPr>
              <w:jc w:val="center"/>
              <w:rPr>
                <w:rFonts w:hint="default" w:ascii="仿宋" w:hAnsi="仿宋" w:eastAsia="仿宋" w:cs="仿宋"/>
                <w:i w:val="0"/>
                <w:iCs w:val="0"/>
                <w:color w:val="000000"/>
                <w:sz w:val="21"/>
                <w:szCs w:val="21"/>
                <w:u w:val="none"/>
                <w:lang w:val="en-US" w:eastAsia="zh-CN"/>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6042729F">
            <w:pPr>
              <w:rPr>
                <w:rFonts w:hint="default" w:ascii="仿宋" w:hAnsi="仿宋" w:eastAsia="仿宋" w:cs="仿宋"/>
                <w:i w:val="0"/>
                <w:iCs w:val="0"/>
                <w:color w:val="000000"/>
                <w:sz w:val="21"/>
                <w:szCs w:val="21"/>
                <w:u w:val="none"/>
                <w:lang w:val="en-US" w:eastAsia="zh-CN"/>
              </w:rPr>
            </w:pPr>
          </w:p>
        </w:tc>
      </w:tr>
      <w:tr w14:paraId="31E6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60"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30CCC1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A3AEDF3">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BC883F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1D7D42D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0FDC4374">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r>
      <w:tr w14:paraId="23FB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1"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19CF100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AF6F3E2">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31C8091">
            <w:pPr>
              <w:tabs>
                <w:tab w:val="center" w:pos="596"/>
              </w:tabs>
              <w:rPr>
                <w:rFonts w:hint="default" w:ascii="仿宋" w:hAnsi="仿宋" w:eastAsia="仿宋" w:cs="仿宋"/>
                <w:i w:val="0"/>
                <w:iCs w:val="0"/>
                <w:color w:val="000000"/>
                <w:sz w:val="21"/>
                <w:szCs w:val="21"/>
                <w:u w:val="none"/>
                <w:lang w:val="en-US" w:eastAsia="zh-CN"/>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7E5E81EB">
            <w:pPr>
              <w:rPr>
                <w:rFonts w:hint="default" w:ascii="仿宋" w:hAnsi="仿宋" w:eastAsia="仿宋" w:cs="仿宋"/>
                <w:i w:val="0"/>
                <w:iCs w:val="0"/>
                <w:color w:val="000000"/>
                <w:sz w:val="21"/>
                <w:szCs w:val="21"/>
                <w:u w:val="none"/>
                <w:lang w:val="en-US" w:eastAsia="zh-CN"/>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55B54881">
            <w:pPr>
              <w:rPr>
                <w:rFonts w:hint="default" w:ascii="仿宋" w:hAnsi="仿宋" w:eastAsia="仿宋" w:cs="仿宋"/>
                <w:i w:val="0"/>
                <w:iCs w:val="0"/>
                <w:color w:val="000000"/>
                <w:sz w:val="21"/>
                <w:szCs w:val="21"/>
                <w:u w:val="none"/>
                <w:lang w:val="en-US" w:eastAsia="zh-CN"/>
              </w:rPr>
            </w:pPr>
          </w:p>
        </w:tc>
      </w:tr>
      <w:tr w14:paraId="2C6A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57"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C42A7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F3D4D06">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68BA308">
            <w:pPr>
              <w:rPr>
                <w:rFonts w:hint="default" w:ascii="仿宋" w:hAnsi="仿宋" w:eastAsia="仿宋" w:cs="仿宋"/>
                <w:i w:val="0"/>
                <w:iCs w:val="0"/>
                <w:color w:val="000000"/>
                <w:sz w:val="21"/>
                <w:szCs w:val="21"/>
                <w:u w:val="none"/>
                <w:lang w:val="en-US" w:eastAsia="zh-CN"/>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1FF2665D">
            <w:pPr>
              <w:rPr>
                <w:rFonts w:hint="default" w:ascii="仿宋" w:hAnsi="仿宋" w:eastAsia="仿宋" w:cs="仿宋"/>
                <w:i w:val="0"/>
                <w:iCs w:val="0"/>
                <w:color w:val="000000"/>
                <w:sz w:val="21"/>
                <w:szCs w:val="21"/>
                <w:u w:val="none"/>
                <w:lang w:val="en-US" w:eastAsia="zh-CN"/>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66E2B66E">
            <w:pPr>
              <w:rPr>
                <w:rFonts w:hint="default" w:ascii="仿宋" w:hAnsi="仿宋" w:eastAsia="仿宋" w:cs="仿宋"/>
                <w:i w:val="0"/>
                <w:iCs w:val="0"/>
                <w:color w:val="000000"/>
                <w:sz w:val="21"/>
                <w:szCs w:val="21"/>
                <w:u w:val="none"/>
                <w:lang w:val="en-US" w:eastAsia="zh-CN"/>
              </w:rPr>
            </w:pPr>
          </w:p>
        </w:tc>
      </w:tr>
      <w:tr w14:paraId="5FEB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76"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24548D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52B846A">
            <w:pPr>
              <w:rPr>
                <w:rFonts w:hint="eastAsia" w:ascii="仿宋" w:hAnsi="仿宋" w:eastAsia="仿宋" w:cs="仿宋"/>
                <w:i w:val="0"/>
                <w:iCs w:val="0"/>
                <w:color w:val="000000"/>
                <w:sz w:val="21"/>
                <w:szCs w:val="21"/>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937E85A">
            <w:pPr>
              <w:rPr>
                <w:rFonts w:hint="default" w:ascii="仿宋" w:hAnsi="仿宋" w:eastAsia="仿宋" w:cs="仿宋"/>
                <w:i w:val="0"/>
                <w:iCs w:val="0"/>
                <w:color w:val="000000"/>
                <w:sz w:val="21"/>
                <w:szCs w:val="21"/>
                <w:u w:val="none"/>
                <w:lang w:val="en-US" w:eastAsia="zh-CN"/>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42D23469">
            <w:pPr>
              <w:rPr>
                <w:rFonts w:hint="default" w:ascii="仿宋" w:hAnsi="仿宋" w:eastAsia="仿宋" w:cs="仿宋"/>
                <w:i w:val="0"/>
                <w:iCs w:val="0"/>
                <w:color w:val="000000"/>
                <w:sz w:val="21"/>
                <w:szCs w:val="21"/>
                <w:u w:val="none"/>
                <w:lang w:val="en-US" w:eastAsia="zh-CN"/>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733D29B3">
            <w:pPr>
              <w:rPr>
                <w:rFonts w:hint="default" w:ascii="仿宋" w:hAnsi="仿宋" w:eastAsia="仿宋" w:cs="仿宋"/>
                <w:i w:val="0"/>
                <w:iCs w:val="0"/>
                <w:color w:val="000000"/>
                <w:sz w:val="21"/>
                <w:szCs w:val="21"/>
                <w:u w:val="none"/>
                <w:lang w:val="en-US" w:eastAsia="zh-CN"/>
              </w:rPr>
            </w:pPr>
          </w:p>
        </w:tc>
      </w:tr>
      <w:tr w14:paraId="3B8C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06"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6E6D3E9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AA62B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5E9C219">
            <w:pPr>
              <w:rPr>
                <w:rFonts w:hint="eastAsia" w:ascii="仿宋" w:hAnsi="仿宋" w:eastAsia="仿宋" w:cs="仿宋"/>
                <w:i w:val="0"/>
                <w:iCs w:val="0"/>
                <w:color w:val="000000"/>
                <w:sz w:val="20"/>
                <w:szCs w:val="20"/>
                <w:u w:val="none"/>
                <w:lang w:val="en-US" w:eastAsia="zh-CN"/>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5F2D7763">
            <w:pPr>
              <w:rPr>
                <w:rFonts w:hint="eastAsia" w:ascii="仿宋" w:hAnsi="仿宋" w:eastAsia="仿宋" w:cs="仿宋"/>
                <w:i w:val="0"/>
                <w:iCs w:val="0"/>
                <w:color w:val="000000"/>
                <w:sz w:val="21"/>
                <w:szCs w:val="21"/>
                <w:u w:val="none"/>
                <w:lang w:val="en-US" w:eastAsia="zh-CN"/>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79ACF773">
            <w:pPr>
              <w:rPr>
                <w:rFonts w:hint="eastAsia" w:ascii="仿宋" w:hAnsi="仿宋" w:eastAsia="仿宋" w:cs="仿宋"/>
                <w:i w:val="0"/>
                <w:iCs w:val="0"/>
                <w:color w:val="000000"/>
                <w:sz w:val="21"/>
                <w:szCs w:val="21"/>
                <w:u w:val="none"/>
                <w:lang w:val="en-US" w:eastAsia="zh-CN"/>
              </w:rPr>
            </w:pPr>
          </w:p>
        </w:tc>
      </w:tr>
      <w:tr w14:paraId="45B77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484"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45BC81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4C6F5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4DDA305">
            <w:pPr>
              <w:rPr>
                <w:rFonts w:hint="default" w:ascii="仿宋" w:hAnsi="仿宋" w:eastAsia="仿宋" w:cs="仿宋"/>
                <w:i w:val="0"/>
                <w:iCs w:val="0"/>
                <w:color w:val="000000"/>
                <w:sz w:val="20"/>
                <w:szCs w:val="20"/>
                <w:u w:val="none"/>
                <w:lang w:val="en-US" w:eastAsia="zh-CN"/>
              </w:rPr>
            </w:pPr>
          </w:p>
        </w:tc>
        <w:tc>
          <w:tcPr>
            <w:tcW w:w="2282" w:type="dxa"/>
            <w:tcBorders>
              <w:top w:val="single" w:color="000000" w:sz="4" w:space="0"/>
              <w:left w:val="single" w:color="000000" w:sz="4" w:space="0"/>
              <w:bottom w:val="single" w:color="000000" w:sz="4" w:space="0"/>
              <w:right w:val="single" w:color="000000" w:sz="4" w:space="0"/>
            </w:tcBorders>
            <w:noWrap w:val="0"/>
            <w:vAlign w:val="center"/>
          </w:tcPr>
          <w:p w14:paraId="78E965BC">
            <w:pPr>
              <w:rPr>
                <w:rFonts w:hint="eastAsia" w:ascii="仿宋" w:hAnsi="仿宋" w:eastAsia="仿宋" w:cs="仿宋"/>
                <w:i w:val="0"/>
                <w:iCs w:val="0"/>
                <w:color w:val="000000"/>
                <w:sz w:val="21"/>
                <w:szCs w:val="21"/>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3A896DFF">
            <w:pPr>
              <w:rPr>
                <w:rFonts w:hint="default" w:ascii="仿宋" w:hAnsi="仿宋" w:eastAsia="仿宋" w:cs="仿宋"/>
                <w:i w:val="0"/>
                <w:iCs w:val="0"/>
                <w:color w:val="000000"/>
                <w:sz w:val="21"/>
                <w:szCs w:val="21"/>
                <w:u w:val="none"/>
                <w:lang w:val="en-US" w:eastAsia="zh-CN"/>
              </w:rPr>
            </w:pPr>
          </w:p>
        </w:tc>
      </w:tr>
      <w:tr w14:paraId="35B7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7C3B30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7485" w:type="dxa"/>
            <w:gridSpan w:val="5"/>
            <w:tcBorders>
              <w:top w:val="single" w:color="000000" w:sz="4" w:space="0"/>
              <w:left w:val="single" w:color="000000" w:sz="4" w:space="0"/>
              <w:bottom w:val="single" w:color="000000" w:sz="4" w:space="0"/>
              <w:right w:val="single" w:color="000000" w:sz="4" w:space="0"/>
            </w:tcBorders>
            <w:noWrap/>
            <w:vAlign w:val="center"/>
          </w:tcPr>
          <w:p w14:paraId="1AFC96D5">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1、提高政治站位，切实增强责任感和紧迫感，抓好抓实“厉行节约，反对浪费”相关工作。</w:t>
            </w:r>
          </w:p>
          <w:p w14:paraId="1F88DCE0">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2、严控办公经费，及时关闭办公设备电源，做到人走灯关，合理使用空调，节约办公用水。</w:t>
            </w:r>
          </w:p>
          <w:p w14:paraId="5CD1225E">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3、稳步压减“三公”经费，加强公务接待管理，严禁同城接待。</w:t>
            </w:r>
          </w:p>
          <w:p w14:paraId="23F14BA0">
            <w:pPr>
              <w:keepNext w:val="0"/>
              <w:keepLines w:val="0"/>
              <w:widowControl/>
              <w:suppressLineNumbers w:val="0"/>
              <w:jc w:val="left"/>
              <w:textAlignment w:val="center"/>
              <w:rPr>
                <w:rFonts w:hint="default" w:ascii="宋体" w:hAnsi="宋体" w:cs="宋体"/>
                <w:i w:val="0"/>
                <w:iCs w:val="0"/>
                <w:color w:val="000000"/>
                <w:sz w:val="24"/>
                <w:szCs w:val="24"/>
                <w:u w:val="none"/>
                <w:lang w:val="en-US" w:eastAsia="zh-CN"/>
              </w:rPr>
            </w:pPr>
            <w:r>
              <w:rPr>
                <w:rFonts w:hint="eastAsia" w:ascii="仿宋" w:hAnsi="仿宋" w:eastAsia="仿宋" w:cs="仿宋"/>
                <w:i w:val="0"/>
                <w:iCs w:val="0"/>
                <w:color w:val="000000"/>
                <w:kern w:val="0"/>
                <w:sz w:val="20"/>
                <w:szCs w:val="20"/>
                <w:u w:val="none"/>
                <w:lang w:val="en-US" w:eastAsia="zh-CN" w:bidi="ar"/>
              </w:rPr>
              <w:t>4、严格执行差旅费审批制度，加强出差审批管理，从严控制出差人数和天数，严格差旅费报销审核。</w:t>
            </w:r>
          </w:p>
        </w:tc>
      </w:tr>
    </w:tbl>
    <w:p w14:paraId="1C0B8782">
      <w:pPr>
        <w:pStyle w:val="2"/>
        <w:ind w:left="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38637186">
      <w:pPr>
        <w:pStyle w:val="2"/>
        <w:ind w:left="0" w:leftChars="0" w:firstLine="0" w:firstLineChars="0"/>
        <w:rPr>
          <w:rFonts w:hint="eastAsia" w:ascii="仿宋" w:hAnsi="仿宋" w:eastAsia="仿宋" w:cs="仿宋"/>
          <w:sz w:val="24"/>
          <w:szCs w:val="24"/>
          <w:lang w:val="en-US" w:eastAsia="zh-CN"/>
        </w:rPr>
      </w:pPr>
    </w:p>
    <w:p w14:paraId="43F6440D">
      <w:pPr>
        <w:pStyle w:val="2"/>
        <w:ind w:left="0" w:leftChars="0" w:firstLine="0" w:firstLineChars="0"/>
        <w:rPr>
          <w:rFonts w:hint="eastAsia" w:ascii="仿宋" w:hAnsi="仿宋" w:eastAsia="仿宋" w:cs="仿宋"/>
          <w:bCs/>
          <w:spacing w:val="-20"/>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14:paraId="3F954128">
      <w:pPr>
        <w:pStyle w:val="2"/>
        <w:ind w:left="0" w:leftChars="0" w:firstLine="0" w:firstLineChars="0"/>
        <w:rPr>
          <w:rFonts w:hint="default" w:ascii="黑体" w:hAnsi="黑体" w:eastAsia="黑体" w:cs="黑体"/>
          <w:sz w:val="32"/>
          <w:szCs w:val="32"/>
          <w:lang w:val="en-US"/>
        </w:rPr>
      </w:pPr>
      <w:r>
        <w:rPr>
          <w:rFonts w:hint="eastAsia" w:ascii="仿宋" w:hAnsi="仿宋" w:eastAsia="仿宋" w:cs="仿宋"/>
          <w:bCs/>
          <w:spacing w:val="-20"/>
          <w:sz w:val="24"/>
          <w:szCs w:val="24"/>
          <w:lang w:val="en-US" w:eastAsia="zh-CN"/>
        </w:rPr>
        <w:t>填表人：黎婷 填报日期：2024年3月18日  联系电话：15343299910  单位负责人签字：李小春</w:t>
      </w:r>
    </w:p>
    <w:p w14:paraId="7D4C8160"/>
    <w:sectPr>
      <w:pgSz w:w="11905" w:h="16837"/>
      <w:pgMar w:top="1134" w:right="1134" w:bottom="1134" w:left="1134" w:header="0" w:footer="0" w:gutter="0"/>
      <w:pgBorders>
        <w:top w:val="none" w:sz="0" w:space="0"/>
        <w:left w:val="none" w:sz="0" w:space="0"/>
        <w:bottom w:val="none" w:sz="0" w:space="0"/>
        <w:right w:val="none" w:sz="0" w:space="0"/>
      </w:pgBorders>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6A644574">
        <w:pPr>
          <w:pStyle w:val="4"/>
          <w:jc w:val="center"/>
        </w:pPr>
        <w:r>
          <w:fldChar w:fldCharType="begin"/>
        </w:r>
        <w:r>
          <w:instrText xml:space="preserve">PAGE   \* MERGEFORMAT</w:instrText>
        </w:r>
        <w:r>
          <w:fldChar w:fldCharType="separate"/>
        </w:r>
        <w:r>
          <w:rPr>
            <w:lang w:val="zh-CN"/>
          </w:rPr>
          <w:t>3</w:t>
        </w:r>
        <w:r>
          <w:fldChar w:fldCharType="end"/>
        </w:r>
      </w:p>
    </w:sdtContent>
  </w:sdt>
  <w:p w14:paraId="5DAD1FA1">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B6AA">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14:paraId="324483DD">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E6D04"/>
    <w:multiLevelType w:val="singleLevel"/>
    <w:tmpl w:val="B78E6D04"/>
    <w:lvl w:ilvl="0" w:tentative="0">
      <w:start w:val="1"/>
      <w:numFmt w:val="chineseCounting"/>
      <w:suff w:val="nothing"/>
      <w:lvlText w:val="%1、"/>
      <w:lvlJc w:val="left"/>
      <w:rPr>
        <w:rFonts w:hint="eastAsia"/>
      </w:rPr>
    </w:lvl>
  </w:abstractNum>
  <w:abstractNum w:abstractNumId="1">
    <w:nsid w:val="B922CF4A"/>
    <w:multiLevelType w:val="singleLevel"/>
    <w:tmpl w:val="B922CF4A"/>
    <w:lvl w:ilvl="0" w:tentative="0">
      <w:start w:val="2"/>
      <w:numFmt w:val="chineseCounting"/>
      <w:suff w:val="nothing"/>
      <w:lvlText w:val="（%1）"/>
      <w:lvlJc w:val="left"/>
      <w:rPr>
        <w:rFonts w:hint="eastAsia"/>
      </w:rPr>
    </w:lvl>
  </w:abstractNum>
  <w:abstractNum w:abstractNumId="2">
    <w:nsid w:val="46351612"/>
    <w:multiLevelType w:val="singleLevel"/>
    <w:tmpl w:val="46351612"/>
    <w:lvl w:ilvl="0" w:tentative="0">
      <w:start w:val="4"/>
      <w:numFmt w:val="chineseCounting"/>
      <w:suff w:val="nothing"/>
      <w:lvlText w:val="%1、"/>
      <w:lvlJc w:val="left"/>
      <w:rPr>
        <w:rFonts w:hint="eastAsia"/>
      </w:rPr>
    </w:lvl>
  </w:abstractNum>
  <w:abstractNum w:abstractNumId="3">
    <w:nsid w:val="5BE8F548"/>
    <w:multiLevelType w:val="singleLevel"/>
    <w:tmpl w:val="5BE8F548"/>
    <w:lvl w:ilvl="0" w:tentative="0">
      <w:start w:val="4"/>
      <w:numFmt w:val="decimal"/>
      <w:suff w:val="nothing"/>
      <w:lvlText w:val="%1、"/>
      <w:lvlJc w:val="left"/>
      <w:rPr>
        <w:rFonts w:hint="default"/>
        <w:b w:val="0"/>
        <w:bCs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MjYyNGEzMDU3NmNhYTc0MThlZGE1YTlkMzFmOGEifQ=="/>
  </w:docVars>
  <w:rsids>
    <w:rsidRoot w:val="7C3E3661"/>
    <w:rsid w:val="5C5550A8"/>
    <w:rsid w:val="7C3E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0"/>
    </w:pPr>
    <w:rPr>
      <w:rFonts w:ascii="仿宋_GB2312" w:eastAsia="仿宋_GB2312"/>
      <w:bCs/>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paragraph" w:styleId="8">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9">
    <w:name w:val="font41"/>
    <w:basedOn w:val="6"/>
    <w:autoRedefine/>
    <w:qFormat/>
    <w:uiPriority w:val="0"/>
    <w:rPr>
      <w:rFonts w:hint="eastAsia" w:ascii="宋体" w:hAnsi="宋体" w:eastAsia="宋体" w:cs="宋体"/>
      <w:color w:val="000000"/>
      <w:sz w:val="18"/>
      <w:szCs w:val="18"/>
      <w:u w:val="none"/>
    </w:rPr>
  </w:style>
  <w:style w:type="character" w:customStyle="1" w:styleId="10">
    <w:name w:val="font51"/>
    <w:basedOn w:val="6"/>
    <w:autoRedefine/>
    <w:qFormat/>
    <w:uiPriority w:val="0"/>
    <w:rPr>
      <w:rFonts w:hint="default" w:ascii="Times New Roman" w:hAnsi="Times New Roman" w:cs="Times New Roman"/>
      <w:color w:val="000000"/>
      <w:sz w:val="18"/>
      <w:szCs w:val="18"/>
      <w:u w:val="none"/>
    </w:rPr>
  </w:style>
  <w:style w:type="character" w:customStyle="1" w:styleId="11">
    <w:name w:val="font71"/>
    <w:basedOn w:val="6"/>
    <w:autoRedefine/>
    <w:qFormat/>
    <w:uiPriority w:val="0"/>
    <w:rPr>
      <w:rFonts w:hint="eastAsia" w:ascii="宋体" w:hAnsi="宋体" w:eastAsia="宋体" w:cs="宋体"/>
      <w:color w:val="000000"/>
      <w:sz w:val="18"/>
      <w:szCs w:val="18"/>
      <w:u w:val="none"/>
    </w:rPr>
  </w:style>
  <w:style w:type="character" w:customStyle="1" w:styleId="12">
    <w:name w:val="font61"/>
    <w:basedOn w:val="6"/>
    <w:autoRedefine/>
    <w:qFormat/>
    <w:uiPriority w:val="0"/>
    <w:rPr>
      <w:rFonts w:hint="default" w:ascii="Times New Roman" w:hAnsi="Times New Roman" w:cs="Times New Roman"/>
      <w:color w:val="000000"/>
      <w:sz w:val="18"/>
      <w:szCs w:val="18"/>
      <w:u w:val="none"/>
    </w:rPr>
  </w:style>
  <w:style w:type="character" w:customStyle="1" w:styleId="13">
    <w:name w:val="font11"/>
    <w:basedOn w:val="6"/>
    <w:autoRedefine/>
    <w:qFormat/>
    <w:uiPriority w:val="0"/>
    <w:rPr>
      <w:rFonts w:hint="eastAsia" w:ascii="宋体" w:hAnsi="宋体" w:eastAsia="宋体" w:cs="宋体"/>
      <w:color w:val="000000"/>
      <w:sz w:val="18"/>
      <w:szCs w:val="18"/>
      <w:u w:val="none"/>
    </w:rPr>
  </w:style>
  <w:style w:type="character" w:customStyle="1" w:styleId="14">
    <w:name w:val="font81"/>
    <w:basedOn w:val="6"/>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11530</Words>
  <Characters>11915</Characters>
  <Lines>0</Lines>
  <Paragraphs>0</Paragraphs>
  <TotalTime>0</TotalTime>
  <ScaleCrop>false</ScaleCrop>
  <LinksUpToDate>false</LinksUpToDate>
  <CharactersWithSpaces>11972</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2024-07-16T04:05:00Z</dcterms:created>
  <dc:creator>a9930507</dc:creator>
  <cp:lastModifiedBy>aliy </cp:lastModifiedBy>
  <dcterms:modified xsi:type="dcterms:W3CDTF">2024-07-17T01:26:55Z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1723F01F5F1845C19D8AD7C851911908_13</vt:lpwstr>
  </property>
</Properties>
</file>