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21</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邵阳县蔡桥乡人民政府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2022</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22</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根据《宪法》和《预算法》规定，邵阳县蔡桥乡人民政府依法履行下列职能职责：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5、综治民调工作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7、香柚生产推广</w:t>
      </w:r>
    </w:p>
    <w:p>
      <w:pPr>
        <w:pStyle w:val="2"/>
        <w:ind w:left="0" w:leftChars="0" w:firstLine="640" w:firstLineChars="200"/>
        <w:rPr>
          <w:rFonts w:hint="default"/>
          <w:lang w:val="en-US"/>
        </w:rPr>
      </w:pPr>
      <w:r>
        <w:rPr>
          <w:rFonts w:hint="eastAsia" w:eastAsia="仿宋_GB2312"/>
          <w:sz w:val="32"/>
          <w:szCs w:val="32"/>
          <w:lang w:val="en-US" w:eastAsia="zh-CN"/>
        </w:rPr>
        <w:t>8、疫情防控</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9、其他中心工作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蔡桥乡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事务站。</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部门在职实有人数76人，其中：财政全额供养74人；财政差额供养2人，车改后实保留车辆1辆。</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当年在职人员76人,比上年减少了1.06%，其原因是2021年人员调动。</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（一）预算情况</w:t>
      </w:r>
      <w:bookmarkStart w:id="1" w:name="_GoBack"/>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w:t>
      </w:r>
      <w:r>
        <w:rPr>
          <w:rFonts w:hint="eastAsia" w:ascii="仿宋_GB2312" w:hAnsi="仿宋_GB2312" w:eastAsia="仿宋_GB2312" w:cs="仿宋_GB2312"/>
          <w:sz w:val="32"/>
          <w:szCs w:val="32"/>
          <w:lang w:eastAsia="zh-CN"/>
        </w:rPr>
        <w:t>总收入</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933.65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其中非税收入返回</w:t>
      </w:r>
      <w:r>
        <w:rPr>
          <w:rFonts w:hint="eastAsia" w:ascii="仿宋_GB2312" w:hAnsi="仿宋_GB2312" w:eastAsia="仿宋_GB2312" w:cs="仿宋_GB2312"/>
          <w:sz w:val="32"/>
          <w:szCs w:val="32"/>
          <w:lang w:val="en-US" w:eastAsia="zh-CN"/>
        </w:rPr>
        <w:t>48万元。</w:t>
      </w:r>
      <w:r>
        <w:rPr>
          <w:rFonts w:hint="eastAsia" w:ascii="仿宋_GB2312" w:hAnsi="仿宋_GB2312" w:eastAsia="仿宋_GB2312" w:cs="仿宋_GB2312"/>
          <w:sz w:val="32"/>
          <w:szCs w:val="32"/>
          <w:lang w:eastAsia="zh-CN"/>
        </w:rPr>
        <w:t>预算基本支出为</w:t>
      </w:r>
      <w:r>
        <w:rPr>
          <w:rFonts w:hint="eastAsia" w:ascii="仿宋_GB2312" w:hAnsi="仿宋_GB2312" w:eastAsia="仿宋_GB2312" w:cs="仿宋_GB2312"/>
          <w:sz w:val="32"/>
          <w:szCs w:val="32"/>
          <w:lang w:val="en-US" w:eastAsia="zh-CN"/>
        </w:rPr>
        <w:t>885.65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其中：工资福利支出</w:t>
      </w:r>
      <w:r>
        <w:rPr>
          <w:rFonts w:hint="eastAsia" w:ascii="仿宋_GB2312" w:hAnsi="仿宋_GB2312" w:eastAsia="仿宋_GB2312" w:cs="仿宋_GB2312"/>
          <w:sz w:val="32"/>
          <w:szCs w:val="32"/>
          <w:lang w:val="en-US" w:eastAsia="zh-CN"/>
        </w:rPr>
        <w:t>631.75</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233.32</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20.58</w:t>
      </w:r>
      <w:r>
        <w:rPr>
          <w:rFonts w:hint="eastAsia" w:ascii="仿宋_GB2312" w:hAnsi="仿宋_GB2312" w:eastAsia="仿宋_GB2312" w:cs="仿宋_GB2312"/>
          <w:sz w:val="32"/>
          <w:szCs w:val="32"/>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1442.53</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sz w:val="32"/>
          <w:szCs w:val="32"/>
          <w:lang w:val="en-US" w:eastAsia="zh-CN"/>
        </w:rPr>
        <w:t>875.2</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sz w:val="32"/>
          <w:szCs w:val="32"/>
          <w:lang w:val="en-US" w:eastAsia="zh-CN"/>
        </w:rPr>
        <w:t>496.75</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66.84</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adjustRightInd w:val="0"/>
        <w:snapToGrid w:val="0"/>
        <w:spacing w:line="600" w:lineRule="exact"/>
        <w:ind w:firstLine="640" w:firstLineChars="20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kern w:val="2"/>
          <w:sz w:val="32"/>
          <w:szCs w:val="32"/>
          <w:lang w:val="en-US" w:eastAsia="zh-CN" w:bidi="ar-SA"/>
        </w:rPr>
        <w:t>2021年“三公”经费预算数为</w:t>
      </w:r>
      <w:r>
        <w:rPr>
          <w:rFonts w:hint="eastAsia" w:eastAsia="仿宋_GB2312" w:cs="Times New Roman"/>
          <w:kern w:val="2"/>
          <w:sz w:val="32"/>
          <w:szCs w:val="32"/>
          <w:lang w:val="en-US" w:eastAsia="zh-CN" w:bidi="ar-SA"/>
        </w:rPr>
        <w:t>1</w:t>
      </w:r>
      <w:r>
        <w:rPr>
          <w:rFonts w:hint="eastAsia" w:ascii="Calibri" w:hAnsi="Calibri" w:eastAsia="仿宋_GB2312" w:cs="Times New Roman"/>
          <w:kern w:val="2"/>
          <w:sz w:val="32"/>
          <w:szCs w:val="32"/>
          <w:lang w:val="en-US" w:eastAsia="zh-CN" w:bidi="ar-SA"/>
        </w:rPr>
        <w:t>万元，其中：因公出国（境）费0万元，公务用车购置及运行费</w:t>
      </w:r>
      <w:r>
        <w:rPr>
          <w:rFonts w:hint="eastAsia" w:eastAsia="仿宋_GB2312" w:cs="Times New Roman"/>
          <w:kern w:val="2"/>
          <w:sz w:val="32"/>
          <w:szCs w:val="32"/>
          <w:lang w:val="en-US" w:eastAsia="zh-CN" w:bidi="ar-SA"/>
        </w:rPr>
        <w:t>0</w:t>
      </w:r>
      <w:r>
        <w:rPr>
          <w:rFonts w:hint="eastAsia" w:ascii="Calibri" w:hAnsi="Calibri" w:eastAsia="仿宋_GB2312" w:cs="Times New Roman"/>
          <w:kern w:val="2"/>
          <w:sz w:val="32"/>
          <w:szCs w:val="32"/>
          <w:lang w:val="en-US" w:eastAsia="zh-CN" w:bidi="ar-SA"/>
        </w:rPr>
        <w:t>万元（公务用车购置费0万元，公务用车运行费</w:t>
      </w:r>
      <w:r>
        <w:rPr>
          <w:rFonts w:hint="eastAsia" w:eastAsia="仿宋_GB2312" w:cs="Times New Roman"/>
          <w:kern w:val="2"/>
          <w:sz w:val="32"/>
          <w:szCs w:val="32"/>
          <w:lang w:val="en-US" w:eastAsia="zh-CN" w:bidi="ar-SA"/>
        </w:rPr>
        <w:t>0</w:t>
      </w:r>
      <w:r>
        <w:rPr>
          <w:rFonts w:hint="eastAsia" w:ascii="Calibri" w:hAnsi="Calibri" w:eastAsia="仿宋_GB2312" w:cs="Times New Roman"/>
          <w:kern w:val="2"/>
          <w:sz w:val="32"/>
          <w:szCs w:val="32"/>
          <w:lang w:val="en-US" w:eastAsia="zh-CN" w:bidi="ar-SA"/>
        </w:rPr>
        <w:t>万元），公务接待费</w:t>
      </w:r>
      <w:r>
        <w:rPr>
          <w:rFonts w:hint="eastAsia" w:eastAsia="仿宋_GB2312" w:cs="Times New Roman"/>
          <w:kern w:val="2"/>
          <w:sz w:val="32"/>
          <w:szCs w:val="32"/>
          <w:lang w:val="en-US" w:eastAsia="zh-CN" w:bidi="ar-SA"/>
        </w:rPr>
        <w:t>0.56</w:t>
      </w:r>
      <w:r>
        <w:rPr>
          <w:rFonts w:hint="eastAsia" w:ascii="Calibri" w:hAnsi="Calibri" w:eastAsia="仿宋_GB2312" w:cs="Times New Roman"/>
          <w:kern w:val="2"/>
          <w:sz w:val="32"/>
          <w:szCs w:val="32"/>
          <w:lang w:val="en-US" w:eastAsia="zh-CN" w:bidi="ar-SA"/>
        </w:rPr>
        <w:t>万元。</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0.56</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、公务接待费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全年共接待</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人次。全年决算支出公务接待费</w:t>
      </w:r>
      <w:r>
        <w:rPr>
          <w:rFonts w:hint="eastAsia" w:ascii="仿宋_GB2312" w:hAnsi="仿宋_GB2312" w:eastAsia="仿宋_GB2312" w:cs="仿宋_GB2312"/>
          <w:color w:val="auto"/>
          <w:sz w:val="32"/>
          <w:szCs w:val="32"/>
          <w:lang w:val="en-US" w:eastAsia="zh-CN"/>
        </w:rPr>
        <w:t>0.56</w:t>
      </w:r>
      <w:r>
        <w:rPr>
          <w:rFonts w:hint="eastAsia" w:ascii="仿宋_GB2312" w:hAnsi="仿宋_GB2312" w:eastAsia="仿宋_GB2312" w:cs="仿宋_GB2312"/>
          <w:color w:val="auto"/>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、公务用车购置及运行费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（1）公务车运行维护费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年的公务车运行费用为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2"/>
        <w:rPr>
          <w:rFonts w:hint="eastAsia"/>
          <w:lang w:val="en-US" w:eastAsia="zh-CN"/>
        </w:rPr>
      </w:pP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rPr>
        <w:t>财绩[20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邵阳县蔡桥乡人民政府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numPr>
          <w:ilvl w:val="0"/>
          <w:numId w:val="0"/>
        </w:numPr>
        <w:ind w:leftChars="400"/>
      </w:pP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2021年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乡</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乡</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98</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numPr>
          <w:ilvl w:val="0"/>
          <w:numId w:val="1"/>
        </w:numPr>
        <w:adjustRightInd w:val="0"/>
        <w:snapToGrid w:val="0"/>
        <w:spacing w:line="60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部门整体支出主要绩效</w:t>
      </w:r>
    </w:p>
    <w:tbl>
      <w:tblPr>
        <w:tblStyle w:val="6"/>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2060"/>
        <w:gridCol w:w="2860"/>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7"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单位实有人数</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76人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工资发放率</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成本指标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工资福利支出及公用经费</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865.06万元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效益指标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经济及社会效益</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发展农村经济、改善民生、改善农村人居环境及社会和谐稳定</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hint="eastAsia" w:ascii="仿宋_GB2312" w:hAnsi="黑体" w:eastAsia="仿宋_GB2312" w:cs="黑体"/>
                <w:szCs w:val="21"/>
              </w:rPr>
            </w:pPr>
          </w:p>
        </w:tc>
        <w:tc>
          <w:tcPr>
            <w:tcW w:w="20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28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服务对象对单位的满意程度</w:t>
            </w:r>
          </w:p>
        </w:tc>
        <w:tc>
          <w:tcPr>
            <w:tcW w:w="1838" w:type="dxa"/>
            <w:tcBorders>
              <w:bottom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98%</w:t>
            </w:r>
          </w:p>
        </w:tc>
      </w:tr>
    </w:tbl>
    <w:p>
      <w:pPr>
        <w:pStyle w:val="2"/>
        <w:numPr>
          <w:ilvl w:val="0"/>
          <w:numId w:val="0"/>
        </w:numPr>
        <w:ind w:leftChars="200"/>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（一）围绕有效衔接，巩固提升脱贫攻坚</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全面走访排查，</w:t>
      </w:r>
      <w:r>
        <w:rPr>
          <w:rFonts w:hint="eastAsia" w:ascii="仿宋" w:hAnsi="仿宋" w:eastAsia="仿宋" w:cs="仿宋"/>
          <w:sz w:val="32"/>
          <w:szCs w:val="32"/>
          <w:lang w:val="en-US" w:eastAsia="zh-CN"/>
        </w:rPr>
        <w:t>脱贫户872户3675人</w:t>
      </w:r>
      <w:r>
        <w:rPr>
          <w:rFonts w:hint="eastAsia" w:ascii="仿宋" w:hAnsi="仿宋" w:eastAsia="仿宋" w:cs="仿宋"/>
          <w:sz w:val="32"/>
          <w:szCs w:val="32"/>
          <w:lang w:eastAsia="zh-CN"/>
        </w:rPr>
        <w:t>，监测户</w:t>
      </w:r>
      <w:r>
        <w:rPr>
          <w:rFonts w:hint="eastAsia" w:ascii="仿宋" w:hAnsi="仿宋" w:eastAsia="仿宋" w:cs="仿宋"/>
          <w:sz w:val="32"/>
          <w:szCs w:val="32"/>
          <w:lang w:val="en-US" w:eastAsia="zh-CN"/>
        </w:rPr>
        <w:t>117户416人</w:t>
      </w:r>
      <w:r>
        <w:rPr>
          <w:rFonts w:hint="eastAsia" w:ascii="仿宋" w:hAnsi="仿宋" w:eastAsia="仿宋" w:cs="仿宋"/>
          <w:sz w:val="32"/>
          <w:szCs w:val="32"/>
        </w:rPr>
        <w:t>，其中脱贫不稳定户</w:t>
      </w:r>
      <w:r>
        <w:rPr>
          <w:rFonts w:hint="eastAsia" w:ascii="仿宋" w:hAnsi="仿宋" w:eastAsia="仿宋" w:cs="仿宋"/>
          <w:sz w:val="32"/>
          <w:szCs w:val="32"/>
          <w:lang w:val="en-US" w:eastAsia="zh-CN"/>
        </w:rPr>
        <w:t>20户60人</w:t>
      </w:r>
      <w:r>
        <w:rPr>
          <w:rFonts w:hint="eastAsia" w:ascii="仿宋" w:hAnsi="仿宋" w:eastAsia="仿宋" w:cs="仿宋"/>
          <w:sz w:val="32"/>
          <w:szCs w:val="32"/>
        </w:rPr>
        <w:t>，边缘易致贫户</w:t>
      </w:r>
      <w:r>
        <w:rPr>
          <w:rFonts w:hint="eastAsia" w:ascii="仿宋" w:hAnsi="仿宋" w:eastAsia="仿宋" w:cs="仿宋"/>
          <w:sz w:val="32"/>
          <w:szCs w:val="32"/>
          <w:lang w:val="en-US" w:eastAsia="zh-CN"/>
        </w:rPr>
        <w:t>13户41人</w:t>
      </w:r>
      <w:r>
        <w:rPr>
          <w:rFonts w:hint="eastAsia" w:ascii="仿宋" w:hAnsi="仿宋" w:eastAsia="仿宋" w:cs="仿宋"/>
          <w:sz w:val="32"/>
          <w:szCs w:val="32"/>
        </w:rPr>
        <w:t>，突发严重困难户</w:t>
      </w:r>
      <w:r>
        <w:rPr>
          <w:rFonts w:hint="eastAsia" w:ascii="仿宋" w:hAnsi="仿宋" w:eastAsia="仿宋" w:cs="仿宋"/>
          <w:sz w:val="32"/>
          <w:szCs w:val="32"/>
          <w:lang w:val="en-US" w:eastAsia="zh-CN"/>
        </w:rPr>
        <w:t>86</w:t>
      </w:r>
      <w:r>
        <w:rPr>
          <w:rFonts w:hint="eastAsia" w:ascii="仿宋" w:hAnsi="仿宋" w:eastAsia="仿宋" w:cs="仿宋"/>
          <w:sz w:val="32"/>
          <w:szCs w:val="32"/>
        </w:rPr>
        <w:t>户</w:t>
      </w:r>
      <w:r>
        <w:rPr>
          <w:rFonts w:hint="eastAsia" w:ascii="仿宋" w:hAnsi="仿宋" w:eastAsia="仿宋" w:cs="仿宋"/>
          <w:sz w:val="32"/>
          <w:szCs w:val="32"/>
          <w:lang w:val="en-US" w:eastAsia="zh-CN"/>
        </w:rPr>
        <w:t>317</w:t>
      </w:r>
      <w:r>
        <w:rPr>
          <w:rFonts w:hint="eastAsia" w:ascii="仿宋" w:hAnsi="仿宋" w:eastAsia="仿宋" w:cs="仿宋"/>
          <w:sz w:val="32"/>
          <w:szCs w:val="32"/>
        </w:rPr>
        <w:t>人,落实精准帮扶措施，开展防止返贫致贫的常态化监测预警。</w:t>
      </w:r>
      <w:r>
        <w:rPr>
          <w:rFonts w:hint="eastAsia" w:ascii="仿宋" w:hAnsi="仿宋" w:eastAsia="仿宋" w:cs="仿宋"/>
          <w:b/>
          <w:bCs/>
          <w:sz w:val="32"/>
          <w:szCs w:val="32"/>
        </w:rPr>
        <w:t>教育扶贫方面</w:t>
      </w:r>
      <w:r>
        <w:rPr>
          <w:rFonts w:hint="eastAsia" w:ascii="仿宋" w:hAnsi="仿宋" w:eastAsia="仿宋" w:cs="仿宋"/>
          <w:b/>
          <w:bCs/>
          <w:sz w:val="32"/>
          <w:szCs w:val="32"/>
          <w:lang w:eastAsia="zh-CN"/>
        </w:rPr>
        <w:t>：</w:t>
      </w:r>
      <w:r>
        <w:rPr>
          <w:rFonts w:hint="eastAsia" w:ascii="仿宋" w:hAnsi="仿宋" w:eastAsia="仿宋" w:cs="仿宋"/>
          <w:sz w:val="32"/>
          <w:szCs w:val="32"/>
        </w:rPr>
        <w:t>全面落实教育资助政策，全</w:t>
      </w:r>
      <w:r>
        <w:rPr>
          <w:rFonts w:hint="eastAsia" w:ascii="仿宋" w:hAnsi="仿宋" w:eastAsia="仿宋" w:cs="仿宋"/>
          <w:sz w:val="32"/>
          <w:szCs w:val="32"/>
          <w:lang w:eastAsia="zh-CN"/>
        </w:rPr>
        <w:t>乡</w:t>
      </w:r>
      <w:r>
        <w:rPr>
          <w:rFonts w:hint="eastAsia" w:ascii="仿宋" w:hAnsi="仿宋" w:eastAsia="仿宋" w:cs="仿宋"/>
          <w:sz w:val="32"/>
          <w:szCs w:val="32"/>
        </w:rPr>
        <w:t>贫困家庭学生资助全覆盖，义务教育阶段无辍学学生。</w:t>
      </w:r>
      <w:r>
        <w:rPr>
          <w:rFonts w:hint="eastAsia" w:ascii="仿宋" w:hAnsi="仿宋" w:eastAsia="仿宋" w:cs="仿宋"/>
          <w:b/>
          <w:bCs/>
          <w:sz w:val="32"/>
          <w:szCs w:val="32"/>
        </w:rPr>
        <w:t>危房改造方面</w:t>
      </w:r>
      <w:r>
        <w:rPr>
          <w:rFonts w:hint="eastAsia" w:ascii="仿宋" w:hAnsi="仿宋" w:eastAsia="仿宋" w:cs="仿宋"/>
          <w:b/>
          <w:bCs/>
          <w:sz w:val="32"/>
          <w:szCs w:val="32"/>
          <w:lang w:eastAsia="zh-CN"/>
        </w:rPr>
        <w:t>：</w:t>
      </w:r>
      <w:r>
        <w:rPr>
          <w:rFonts w:hint="eastAsia" w:ascii="仿宋" w:hAnsi="仿宋" w:eastAsia="仿宋" w:cs="仿宋"/>
          <w:sz w:val="32"/>
          <w:szCs w:val="32"/>
        </w:rPr>
        <w:t>实施“危房清零行动”，对全</w:t>
      </w:r>
      <w:r>
        <w:rPr>
          <w:rFonts w:hint="eastAsia" w:ascii="仿宋" w:hAnsi="仿宋" w:eastAsia="仿宋" w:cs="仿宋"/>
          <w:sz w:val="32"/>
          <w:szCs w:val="32"/>
          <w:lang w:eastAsia="zh-CN"/>
        </w:rPr>
        <w:t>乡</w:t>
      </w:r>
      <w:r>
        <w:rPr>
          <w:rFonts w:hint="eastAsia" w:ascii="仿宋" w:hAnsi="仿宋" w:eastAsia="仿宋" w:cs="仿宋"/>
          <w:sz w:val="32"/>
          <w:szCs w:val="32"/>
          <w:lang w:val="en-US" w:eastAsia="zh-CN"/>
        </w:rPr>
        <w:t>872</w:t>
      </w:r>
      <w:r>
        <w:rPr>
          <w:rFonts w:hint="eastAsia" w:ascii="仿宋" w:hAnsi="仿宋" w:eastAsia="仿宋" w:cs="仿宋"/>
          <w:sz w:val="32"/>
          <w:szCs w:val="32"/>
        </w:rPr>
        <w:t>户脱贫户住房进行安全性认定</w:t>
      </w:r>
      <w:r>
        <w:rPr>
          <w:rFonts w:hint="eastAsia" w:ascii="仿宋" w:hAnsi="仿宋" w:eastAsia="仿宋" w:cs="仿宋"/>
          <w:sz w:val="32"/>
          <w:szCs w:val="32"/>
          <w:lang w:eastAsia="zh-CN"/>
        </w:rPr>
        <w:t>，全年完成</w:t>
      </w:r>
      <w:r>
        <w:rPr>
          <w:rFonts w:hint="eastAsia" w:ascii="仿宋" w:hAnsi="仿宋" w:eastAsia="仿宋" w:cs="仿宋"/>
          <w:sz w:val="32"/>
          <w:szCs w:val="32"/>
          <w:lang w:val="en-US" w:eastAsia="zh-CN"/>
        </w:rPr>
        <w:t>危房改造</w:t>
      </w:r>
      <w:r>
        <w:rPr>
          <w:rFonts w:hint="eastAsia" w:ascii="仿宋" w:hAnsi="仿宋" w:eastAsia="仿宋" w:cs="仿宋"/>
          <w:sz w:val="32"/>
          <w:szCs w:val="32"/>
          <w:highlight w:val="none"/>
          <w:lang w:val="en-US" w:eastAsia="zh-CN"/>
        </w:rPr>
        <w:t>43</w:t>
      </w:r>
      <w:r>
        <w:rPr>
          <w:rFonts w:hint="eastAsia" w:ascii="仿宋" w:hAnsi="仿宋" w:eastAsia="仿宋" w:cs="仿宋"/>
          <w:sz w:val="32"/>
          <w:szCs w:val="32"/>
          <w:lang w:val="en-US" w:eastAsia="zh-CN"/>
        </w:rPr>
        <w:t>户</w:t>
      </w:r>
      <w:r>
        <w:rPr>
          <w:rFonts w:hint="eastAsia" w:ascii="仿宋" w:hAnsi="仿宋" w:eastAsia="仿宋" w:cs="仿宋"/>
          <w:sz w:val="32"/>
          <w:szCs w:val="32"/>
        </w:rPr>
        <w:t>。</w:t>
      </w:r>
      <w:r>
        <w:rPr>
          <w:rFonts w:hint="eastAsia" w:ascii="仿宋" w:hAnsi="仿宋" w:eastAsia="仿宋" w:cs="仿宋"/>
          <w:b/>
          <w:bCs/>
          <w:sz w:val="32"/>
          <w:szCs w:val="32"/>
        </w:rPr>
        <w:t>健康扶贫方面</w:t>
      </w:r>
      <w:r>
        <w:rPr>
          <w:rFonts w:hint="eastAsia" w:ascii="仿宋" w:hAnsi="仿宋" w:eastAsia="仿宋" w:cs="仿宋"/>
          <w:b/>
          <w:bCs/>
          <w:sz w:val="32"/>
          <w:szCs w:val="32"/>
          <w:lang w:eastAsia="zh-CN"/>
        </w:rPr>
        <w:t>：</w:t>
      </w:r>
      <w:r>
        <w:rPr>
          <w:rFonts w:hint="eastAsia" w:ascii="仿宋" w:hAnsi="仿宋" w:eastAsia="仿宋" w:cs="仿宋"/>
          <w:sz w:val="32"/>
          <w:szCs w:val="32"/>
        </w:rPr>
        <w:t>持续实施贫困群众“一站式服务”“先诊疗后付费”等措施</w:t>
      </w:r>
      <w:r>
        <w:rPr>
          <w:rFonts w:hint="eastAsia" w:ascii="仿宋" w:hAnsi="仿宋" w:eastAsia="仿宋" w:cs="仿宋"/>
          <w:sz w:val="32"/>
          <w:szCs w:val="32"/>
          <w:lang w:eastAsia="zh-CN"/>
        </w:rPr>
        <w:t>，</w:t>
      </w:r>
      <w:r>
        <w:rPr>
          <w:rFonts w:hint="eastAsia" w:ascii="仿宋" w:hAnsi="仿宋" w:eastAsia="仿宋" w:cs="仿宋"/>
          <w:sz w:val="32"/>
          <w:szCs w:val="32"/>
        </w:rPr>
        <w:t>为符合鉴定标准的</w:t>
      </w:r>
      <w:r>
        <w:rPr>
          <w:rFonts w:hint="eastAsia" w:ascii="仿宋" w:hAnsi="仿宋" w:eastAsia="仿宋" w:cs="仿宋"/>
          <w:sz w:val="32"/>
          <w:szCs w:val="32"/>
          <w:highlight w:val="none"/>
          <w:lang w:val="en-US" w:eastAsia="zh-CN"/>
        </w:rPr>
        <w:t>3675</w:t>
      </w:r>
      <w:r>
        <w:rPr>
          <w:rFonts w:hint="eastAsia" w:ascii="仿宋" w:hAnsi="仿宋" w:eastAsia="仿宋" w:cs="仿宋"/>
          <w:sz w:val="32"/>
          <w:szCs w:val="32"/>
        </w:rPr>
        <w:t>名</w:t>
      </w:r>
      <w:r>
        <w:rPr>
          <w:rFonts w:hint="eastAsia" w:ascii="仿宋" w:hAnsi="仿宋" w:eastAsia="仿宋" w:cs="仿宋"/>
          <w:sz w:val="32"/>
          <w:szCs w:val="32"/>
          <w:lang w:val="en-US" w:eastAsia="zh-CN"/>
        </w:rPr>
        <w:t>四种慢病提供签约服务</w:t>
      </w:r>
      <w:r>
        <w:rPr>
          <w:rFonts w:hint="eastAsia" w:ascii="仿宋" w:hAnsi="仿宋" w:eastAsia="仿宋" w:cs="仿宋"/>
          <w:sz w:val="32"/>
          <w:szCs w:val="32"/>
        </w:rPr>
        <w:t>。</w:t>
      </w:r>
      <w:r>
        <w:rPr>
          <w:rFonts w:hint="eastAsia" w:ascii="仿宋" w:hAnsi="仿宋" w:eastAsia="仿宋" w:cs="仿宋"/>
          <w:b/>
          <w:bCs/>
          <w:sz w:val="32"/>
          <w:szCs w:val="32"/>
        </w:rPr>
        <w:t>综合保障方面</w:t>
      </w:r>
      <w:r>
        <w:rPr>
          <w:rFonts w:hint="eastAsia" w:ascii="仿宋" w:hAnsi="仿宋" w:eastAsia="仿宋" w:cs="仿宋"/>
          <w:b/>
          <w:bCs/>
          <w:sz w:val="32"/>
          <w:szCs w:val="32"/>
          <w:lang w:eastAsia="zh-CN"/>
        </w:rPr>
        <w:t>：</w:t>
      </w:r>
      <w:r>
        <w:rPr>
          <w:rFonts w:hint="eastAsia" w:ascii="仿宋" w:hAnsi="仿宋" w:eastAsia="仿宋" w:cs="仿宋"/>
          <w:sz w:val="32"/>
          <w:szCs w:val="32"/>
        </w:rPr>
        <w:t>狠抓农村五保、低保、残疾人、孤儿等特困人口动态管理，全面落实优抚保障政策。落实特困供养待遇</w:t>
      </w:r>
      <w:r>
        <w:rPr>
          <w:rFonts w:hint="eastAsia" w:ascii="仿宋" w:hAnsi="仿宋" w:eastAsia="仿宋" w:cs="仿宋"/>
          <w:sz w:val="32"/>
          <w:szCs w:val="32"/>
          <w:lang w:val="en-US" w:eastAsia="zh-CN"/>
        </w:rPr>
        <w:t>151人</w:t>
      </w:r>
      <w:r>
        <w:rPr>
          <w:rFonts w:hint="eastAsia" w:ascii="仿宋" w:hAnsi="仿宋" w:eastAsia="仿宋" w:cs="仿宋"/>
          <w:sz w:val="32"/>
          <w:szCs w:val="32"/>
        </w:rPr>
        <w:t>、农村低保待遇</w:t>
      </w:r>
      <w:r>
        <w:rPr>
          <w:rFonts w:hint="eastAsia" w:ascii="仿宋" w:hAnsi="仿宋" w:eastAsia="仿宋" w:cs="仿宋"/>
          <w:sz w:val="32"/>
          <w:szCs w:val="32"/>
          <w:lang w:val="en-US" w:eastAsia="zh-CN"/>
        </w:rPr>
        <w:t>703户1092人</w:t>
      </w:r>
      <w:r>
        <w:rPr>
          <w:rFonts w:hint="eastAsia" w:ascii="仿宋" w:hAnsi="仿宋" w:eastAsia="仿宋" w:cs="仿宋"/>
          <w:sz w:val="32"/>
          <w:szCs w:val="32"/>
        </w:rPr>
        <w:t>、残疾护理补贴</w:t>
      </w:r>
      <w:r>
        <w:rPr>
          <w:rFonts w:hint="eastAsia" w:ascii="仿宋" w:hAnsi="仿宋" w:eastAsia="仿宋" w:cs="仿宋"/>
          <w:sz w:val="32"/>
          <w:szCs w:val="32"/>
          <w:lang w:eastAsia="zh-CN"/>
        </w:rPr>
        <w:t>覆盖</w:t>
      </w:r>
      <w:r>
        <w:rPr>
          <w:rFonts w:hint="eastAsia" w:ascii="仿宋" w:hAnsi="仿宋" w:eastAsia="仿宋" w:cs="仿宋"/>
          <w:sz w:val="32"/>
          <w:szCs w:val="32"/>
          <w:lang w:val="en-US" w:eastAsia="zh-CN"/>
        </w:rPr>
        <w:t>517</w:t>
      </w:r>
      <w:r>
        <w:rPr>
          <w:rFonts w:hint="eastAsia" w:ascii="仿宋" w:hAnsi="仿宋" w:eastAsia="仿宋" w:cs="仿宋"/>
          <w:sz w:val="32"/>
          <w:szCs w:val="32"/>
        </w:rPr>
        <w:t>人，残疾生活补贴</w:t>
      </w:r>
      <w:r>
        <w:rPr>
          <w:rFonts w:hint="eastAsia" w:ascii="仿宋" w:hAnsi="仿宋" w:eastAsia="仿宋" w:cs="仿宋"/>
          <w:sz w:val="32"/>
          <w:szCs w:val="32"/>
          <w:lang w:eastAsia="zh-CN"/>
        </w:rPr>
        <w:t>覆盖</w:t>
      </w:r>
      <w:r>
        <w:rPr>
          <w:rFonts w:hint="eastAsia" w:ascii="仿宋" w:hAnsi="仿宋" w:eastAsia="仿宋" w:cs="仿宋"/>
          <w:sz w:val="32"/>
          <w:szCs w:val="32"/>
          <w:lang w:val="en-US" w:eastAsia="zh-CN"/>
        </w:rPr>
        <w:t>369</w:t>
      </w:r>
      <w:r>
        <w:rPr>
          <w:rFonts w:hint="eastAsia" w:ascii="仿宋" w:hAnsi="仿宋" w:eastAsia="仿宋" w:cs="仿宋"/>
          <w:sz w:val="32"/>
          <w:szCs w:val="32"/>
        </w:rPr>
        <w:t>人。</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（二）围绕持续发展，重点推进乡村振兴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both"/>
        <w:textAlignment w:val="auto"/>
        <w:rPr>
          <w:rFonts w:hint="eastAsia" w:ascii="仿宋" w:hAnsi="仿宋" w:eastAsia="仿宋" w:cs="仿宋"/>
          <w:spacing w:val="11"/>
          <w:w w:val="95"/>
          <w:sz w:val="32"/>
          <w:szCs w:val="32"/>
          <w:lang w:val="en-US" w:eastAsia="zh-CN"/>
        </w:rPr>
      </w:pPr>
      <w:r>
        <w:rPr>
          <w:rFonts w:hint="eastAsia" w:ascii="仿宋" w:hAnsi="仿宋" w:eastAsia="仿宋" w:cs="仿宋"/>
          <w:b/>
          <w:bCs/>
          <w:sz w:val="32"/>
          <w:szCs w:val="32"/>
          <w:lang w:eastAsia="zh-CN"/>
        </w:rPr>
        <w:t>一是扶贫车间</w:t>
      </w:r>
      <w:r>
        <w:rPr>
          <w:rFonts w:hint="eastAsia" w:ascii="仿宋" w:hAnsi="仿宋" w:eastAsia="仿宋" w:cs="仿宋"/>
          <w:b/>
          <w:bCs/>
          <w:color w:val="000000"/>
          <w:spacing w:val="0"/>
          <w:w w:val="100"/>
          <w:kern w:val="2"/>
          <w:position w:val="0"/>
          <w:sz w:val="32"/>
          <w:szCs w:val="32"/>
          <w:u w:val="none"/>
          <w:shd w:val="clear" w:color="auto" w:fill="auto"/>
          <w:lang w:val="zh-TW" w:eastAsia="zh-TW" w:bidi="zh-TW"/>
        </w:rPr>
        <w:t>提质增效</w:t>
      </w:r>
      <w:r>
        <w:rPr>
          <w:rFonts w:hint="eastAsia" w:ascii="仿宋" w:hAnsi="仿宋" w:eastAsia="仿宋" w:cs="仿宋"/>
          <w:b/>
          <w:bCs/>
          <w:color w:val="000000"/>
          <w:spacing w:val="0"/>
          <w:w w:val="100"/>
          <w:kern w:val="2"/>
          <w:position w:val="0"/>
          <w:sz w:val="32"/>
          <w:szCs w:val="32"/>
          <w:u w:val="none"/>
          <w:shd w:val="clear" w:color="auto" w:fill="auto"/>
          <w:lang w:val="zh-TW" w:eastAsia="zh-CN" w:bidi="zh-TW"/>
        </w:rPr>
        <w:t>。</w:t>
      </w:r>
      <w:r>
        <w:rPr>
          <w:rFonts w:hint="eastAsia" w:ascii="仿宋" w:hAnsi="仿宋" w:eastAsia="仿宋" w:cs="仿宋"/>
          <w:color w:val="000000"/>
          <w:spacing w:val="0"/>
          <w:w w:val="100"/>
          <w:kern w:val="2"/>
          <w:position w:val="0"/>
          <w:sz w:val="32"/>
          <w:szCs w:val="32"/>
          <w:u w:val="none"/>
          <w:shd w:val="clear" w:color="auto" w:fill="auto"/>
          <w:lang w:val="zh-TW" w:eastAsia="zh-TW" w:bidi="zh-TW"/>
        </w:rPr>
        <w:t>充分发挥好就业帮扶车间就地就近就业优势</w:t>
      </w:r>
      <w:r>
        <w:rPr>
          <w:rFonts w:hint="eastAsia" w:ascii="仿宋" w:hAnsi="仿宋" w:eastAsia="仿宋" w:cs="仿宋"/>
          <w:color w:val="000000"/>
          <w:spacing w:val="0"/>
          <w:w w:val="100"/>
          <w:kern w:val="2"/>
          <w:position w:val="0"/>
          <w:sz w:val="32"/>
          <w:szCs w:val="32"/>
          <w:u w:val="none"/>
          <w:shd w:val="clear" w:color="auto" w:fill="auto"/>
          <w:lang w:val="zh-TW" w:eastAsia="zh-CN" w:bidi="zh-TW"/>
        </w:rPr>
        <w:t>，邵阳县昆仑鑫广农业发展有限公司（南林村）、邵阳县亿联有限责任公司（德云村）、邵阳县众厦贸易有限公司（水口村）</w:t>
      </w:r>
      <w:r>
        <w:rPr>
          <w:rFonts w:hint="eastAsia" w:ascii="仿宋" w:hAnsi="仿宋" w:eastAsia="仿宋" w:cs="仿宋"/>
          <w:color w:val="000000"/>
          <w:spacing w:val="0"/>
          <w:w w:val="100"/>
          <w:kern w:val="2"/>
          <w:position w:val="0"/>
          <w:sz w:val="32"/>
          <w:szCs w:val="32"/>
          <w:u w:val="none"/>
          <w:shd w:val="clear" w:color="auto" w:fill="auto"/>
          <w:lang w:val="en-US" w:eastAsia="zh-CN" w:bidi="zh-TW"/>
        </w:rPr>
        <w:t>共解决就业乡内110名劳动力就业，比去年增加就业23人。</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lang w:eastAsia="zh-CN"/>
        </w:rPr>
        <w:t>稳步推进“厕所革命”。</w:t>
      </w:r>
      <w:r>
        <w:rPr>
          <w:rFonts w:hint="eastAsia" w:ascii="仿宋" w:hAnsi="仿宋" w:eastAsia="仿宋" w:cs="仿宋"/>
          <w:sz w:val="32"/>
          <w:szCs w:val="32"/>
          <w:lang w:eastAsia="zh-CN"/>
        </w:rPr>
        <w:t>全年旱厕拆除5</w:t>
      </w:r>
      <w:r>
        <w:rPr>
          <w:rFonts w:hint="eastAsia" w:ascii="仿宋" w:hAnsi="仿宋" w:eastAsia="仿宋" w:cs="仿宋"/>
          <w:sz w:val="32"/>
          <w:szCs w:val="32"/>
          <w:lang w:val="en-US" w:eastAsia="zh-CN"/>
        </w:rPr>
        <w:t>45</w:t>
      </w:r>
      <w:r>
        <w:rPr>
          <w:rFonts w:hint="eastAsia" w:ascii="仿宋" w:hAnsi="仿宋" w:eastAsia="仿宋" w:cs="仿宋"/>
          <w:sz w:val="32"/>
          <w:szCs w:val="32"/>
          <w:lang w:eastAsia="zh-CN"/>
        </w:rPr>
        <w:t>户</w:t>
      </w:r>
      <w:r>
        <w:rPr>
          <w:rFonts w:hint="eastAsia" w:ascii="仿宋" w:hAnsi="仿宋" w:eastAsia="仿宋" w:cs="仿宋"/>
          <w:sz w:val="32"/>
          <w:szCs w:val="32"/>
          <w:lang w:val="en-US" w:eastAsia="zh-CN"/>
        </w:rPr>
        <w:t>545</w:t>
      </w:r>
      <w:r>
        <w:rPr>
          <w:rFonts w:hint="eastAsia" w:ascii="仿宋" w:hAnsi="仿宋" w:eastAsia="仿宋" w:cs="仿宋"/>
          <w:sz w:val="32"/>
          <w:szCs w:val="32"/>
          <w:lang w:eastAsia="zh-CN"/>
        </w:rPr>
        <w:t>座，卫生厕所改(新)建县分配任务数</w:t>
      </w:r>
      <w:r>
        <w:rPr>
          <w:rFonts w:hint="eastAsia" w:ascii="仿宋" w:hAnsi="仿宋" w:eastAsia="仿宋" w:cs="仿宋"/>
          <w:sz w:val="32"/>
          <w:szCs w:val="32"/>
          <w:lang w:val="en-US" w:eastAsia="zh-CN"/>
        </w:rPr>
        <w:t>300</w:t>
      </w:r>
      <w:r>
        <w:rPr>
          <w:rFonts w:hint="eastAsia" w:ascii="仿宋" w:hAnsi="仿宋" w:eastAsia="仿宋" w:cs="仿宋"/>
          <w:sz w:val="32"/>
          <w:szCs w:val="32"/>
          <w:lang w:eastAsia="zh-CN"/>
        </w:rPr>
        <w:t>座，已全部完工。我乡自主</w:t>
      </w:r>
      <w:r>
        <w:rPr>
          <w:rFonts w:hint="eastAsia" w:ascii="仿宋" w:hAnsi="仿宋" w:eastAsia="仿宋" w:cs="仿宋"/>
          <w:sz w:val="32"/>
          <w:szCs w:val="32"/>
          <w:lang w:val="en-US" w:eastAsia="zh-CN"/>
        </w:rPr>
        <w:t>申报的748</w:t>
      </w:r>
      <w:r>
        <w:rPr>
          <w:rFonts w:hint="eastAsia" w:ascii="仿宋" w:hAnsi="仿宋" w:eastAsia="仿宋" w:cs="仿宋"/>
          <w:sz w:val="32"/>
          <w:szCs w:val="32"/>
          <w:lang w:eastAsia="zh-CN"/>
        </w:rPr>
        <w:t>座厕改目前为止已完成</w:t>
      </w:r>
      <w:r>
        <w:rPr>
          <w:rFonts w:hint="eastAsia" w:ascii="仿宋" w:hAnsi="仿宋" w:eastAsia="仿宋" w:cs="仿宋"/>
          <w:sz w:val="32"/>
          <w:szCs w:val="32"/>
          <w:lang w:val="en-US" w:eastAsia="zh-CN"/>
        </w:rPr>
        <w:t>638</w:t>
      </w:r>
      <w:r>
        <w:rPr>
          <w:rFonts w:hint="eastAsia" w:ascii="仿宋" w:hAnsi="仿宋" w:eastAsia="仿宋" w:cs="仿宋"/>
          <w:sz w:val="32"/>
          <w:szCs w:val="32"/>
          <w:lang w:eastAsia="zh-CN"/>
        </w:rPr>
        <w:t>座。在全乡营造“人人参与‘厕所革命’，共建共享优美环境”的良好氛围，为落实整村推进扫清了障碍。</w:t>
      </w:r>
      <w:r>
        <w:rPr>
          <w:rFonts w:hint="eastAsia" w:ascii="仿宋" w:hAnsi="仿宋" w:eastAsia="仿宋" w:cs="仿宋"/>
          <w:b/>
          <w:bCs/>
          <w:sz w:val="32"/>
          <w:szCs w:val="32"/>
          <w:lang w:eastAsia="zh-CN"/>
        </w:rPr>
        <w:t>三是“空心房”整治成效显著。</w:t>
      </w:r>
      <w:r>
        <w:rPr>
          <w:rFonts w:hint="eastAsia" w:ascii="仿宋" w:hAnsi="仿宋" w:eastAsia="仿宋" w:cs="仿宋"/>
          <w:sz w:val="32"/>
          <w:szCs w:val="32"/>
          <w:lang w:eastAsia="zh-CN"/>
        </w:rPr>
        <w:t>以打造</w:t>
      </w:r>
      <w:r>
        <w:rPr>
          <w:rFonts w:hint="eastAsia" w:ascii="仿宋" w:hAnsi="仿宋" w:eastAsia="仿宋" w:cs="仿宋"/>
          <w:spacing w:val="11"/>
          <w:w w:val="95"/>
          <w:sz w:val="32"/>
          <w:szCs w:val="32"/>
        </w:rPr>
        <w:t>“规范有序、干净整洁、生态宜居、面貌提升”的幸福</w:t>
      </w:r>
      <w:r>
        <w:rPr>
          <w:rFonts w:hint="eastAsia" w:ascii="仿宋" w:hAnsi="仿宋" w:eastAsia="仿宋" w:cs="仿宋"/>
          <w:spacing w:val="11"/>
          <w:w w:val="95"/>
          <w:sz w:val="32"/>
          <w:szCs w:val="32"/>
          <w:lang w:eastAsia="zh-CN"/>
        </w:rPr>
        <w:t>蔡桥为指导，共拆除空心房</w:t>
      </w:r>
      <w:r>
        <w:rPr>
          <w:rFonts w:hint="eastAsia" w:ascii="仿宋" w:hAnsi="仿宋" w:eastAsia="仿宋" w:cs="仿宋"/>
          <w:spacing w:val="11"/>
          <w:w w:val="95"/>
          <w:sz w:val="32"/>
          <w:szCs w:val="32"/>
          <w:lang w:val="en-US" w:eastAsia="zh-CN"/>
        </w:rPr>
        <w:t>200座，完成县定任务的167%。</w:t>
      </w:r>
      <w:r>
        <w:rPr>
          <w:rFonts w:hint="eastAsia" w:ascii="仿宋" w:hAnsi="仿宋" w:eastAsia="仿宋" w:cs="仿宋"/>
          <w:b/>
          <w:bCs/>
          <w:spacing w:val="11"/>
          <w:w w:val="95"/>
          <w:sz w:val="32"/>
          <w:szCs w:val="32"/>
          <w:lang w:val="en-US" w:eastAsia="zh-CN"/>
        </w:rPr>
        <w:t>四是建立住房安全保障长效机制。</w:t>
      </w:r>
      <w:r>
        <w:rPr>
          <w:rFonts w:hint="eastAsia" w:ascii="仿宋" w:hAnsi="仿宋" w:eastAsia="仿宋" w:cs="仿宋"/>
          <w:spacing w:val="11"/>
          <w:w w:val="95"/>
          <w:sz w:val="32"/>
          <w:szCs w:val="32"/>
          <w:lang w:val="en-US" w:eastAsia="zh-CN"/>
        </w:rPr>
        <w:t>全乡2021年危房改造43户，其中四类对象贫困户29户、非贫困户14户，现已全部完成并入住。</w:t>
      </w:r>
      <w:r>
        <w:rPr>
          <w:rFonts w:hint="eastAsia" w:ascii="仿宋" w:hAnsi="仿宋" w:eastAsia="仿宋" w:cs="仿宋"/>
          <w:b/>
          <w:bCs/>
          <w:spacing w:val="11"/>
          <w:w w:val="95"/>
          <w:sz w:val="32"/>
          <w:szCs w:val="32"/>
          <w:lang w:val="en-US" w:eastAsia="zh-CN"/>
        </w:rPr>
        <w:t>五是重点工作统筹推进。</w:t>
      </w:r>
      <w:r>
        <w:rPr>
          <w:rFonts w:hint="eastAsia" w:ascii="仿宋" w:hAnsi="仿宋" w:eastAsia="仿宋" w:cs="仿宋"/>
          <w:b w:val="0"/>
          <w:bCs w:val="0"/>
          <w:spacing w:val="11"/>
          <w:w w:val="95"/>
          <w:sz w:val="32"/>
          <w:szCs w:val="32"/>
          <w:lang w:val="en-US" w:eastAsia="zh-CN"/>
        </w:rPr>
        <w:t>开展</w:t>
      </w:r>
      <w:r>
        <w:rPr>
          <w:rFonts w:hint="eastAsia" w:ascii="仿宋" w:hAnsi="仿宋" w:eastAsia="仿宋" w:cs="仿宋"/>
          <w:b w:val="0"/>
          <w:bCs w:val="0"/>
          <w:spacing w:val="27"/>
          <w:sz w:val="32"/>
          <w:szCs w:val="32"/>
        </w:rPr>
        <w:t>扶贫项目及资金管理“回头看”</w:t>
      </w:r>
      <w:r>
        <w:rPr>
          <w:rFonts w:hint="eastAsia" w:ascii="仿宋" w:hAnsi="仿宋" w:eastAsia="仿宋" w:cs="仿宋"/>
          <w:b w:val="0"/>
          <w:bCs w:val="0"/>
          <w:spacing w:val="27"/>
          <w:sz w:val="32"/>
          <w:szCs w:val="32"/>
          <w:lang w:eastAsia="zh-CN"/>
        </w:rPr>
        <w:t>确保扶贫资金充分发挥最大效益</w:t>
      </w:r>
      <w:r>
        <w:rPr>
          <w:rFonts w:hint="eastAsia" w:ascii="仿宋" w:hAnsi="仿宋" w:eastAsia="仿宋" w:cs="仿宋"/>
          <w:spacing w:val="27"/>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（三）围绕从严治党，强化对标基层建设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55" w:firstLineChars="200"/>
        <w:jc w:val="both"/>
        <w:textAlignment w:val="auto"/>
        <w:rPr>
          <w:rFonts w:hint="default" w:ascii="仿宋" w:hAnsi="仿宋" w:eastAsia="仿宋" w:cs="仿宋"/>
          <w:spacing w:val="11"/>
          <w:w w:val="95"/>
          <w:sz w:val="32"/>
          <w:szCs w:val="32"/>
          <w:lang w:val="en-US" w:eastAsia="zh-CN"/>
        </w:rPr>
      </w:pPr>
      <w:r>
        <w:rPr>
          <w:rFonts w:hint="eastAsia" w:ascii="仿宋" w:hAnsi="仿宋" w:eastAsia="仿宋" w:cs="仿宋"/>
          <w:b/>
          <w:bCs/>
          <w:spacing w:val="11"/>
          <w:w w:val="95"/>
          <w:sz w:val="32"/>
          <w:szCs w:val="32"/>
          <w:lang w:val="en-US" w:eastAsia="zh-CN"/>
        </w:rPr>
        <w:t>1.全面落实党建工作责任，推动党的建设高质量。</w:t>
      </w:r>
      <w:r>
        <w:rPr>
          <w:rFonts w:hint="eastAsia" w:ascii="仿宋" w:hAnsi="仿宋" w:eastAsia="仿宋" w:cs="仿宋"/>
          <w:b w:val="0"/>
          <w:bCs w:val="0"/>
          <w:spacing w:val="11"/>
          <w:w w:val="95"/>
          <w:sz w:val="32"/>
          <w:szCs w:val="32"/>
          <w:lang w:val="en-US" w:eastAsia="zh-CN"/>
        </w:rPr>
        <w:t>一是持续开展“不忘初心、牢记使命”、党史学习教育常态化制度化建设，严格落实“三会一课”、主题党日等制度，强化党员日常教育管理。二是全面落实“一门式”服务全覆盖。全年开展一门式服务代办员培训2次，落实软件硬件双重保障，实现基</w:t>
      </w:r>
      <w:r>
        <w:rPr>
          <w:rFonts w:hint="eastAsia" w:ascii="仿宋" w:hAnsi="仿宋" w:eastAsia="仿宋" w:cs="仿宋"/>
          <w:spacing w:val="11"/>
          <w:w w:val="95"/>
          <w:sz w:val="32"/>
          <w:szCs w:val="32"/>
          <w:lang w:val="en-US" w:eastAsia="zh-CN"/>
        </w:rPr>
        <w:t>层群众办实“小事不出村，大事不出乡”。三是推动村集体经济发展。通过落实油茶及福林香柚推广项目，实现村村有规划、发展有方向，2021年全乡60%的村已实现集体经济收益5万元以上。四是抓党建促乡村振兴。全乡实现重点村、已脱贫村、易地扶贫集中安置村驻村帮扶全覆盖，“第一书记”全覆盖，党员干部结对帮扶全覆盖，充分利用后盾单位优势，全面推进乡村振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55" w:firstLineChars="200"/>
        <w:jc w:val="both"/>
        <w:textAlignment w:val="auto"/>
        <w:rPr>
          <w:rFonts w:hint="eastAsia" w:ascii="仿宋" w:hAnsi="仿宋" w:eastAsia="仿宋" w:cs="仿宋"/>
          <w:spacing w:val="11"/>
          <w:w w:val="95"/>
          <w:sz w:val="32"/>
          <w:szCs w:val="32"/>
          <w:lang w:val="en-US" w:eastAsia="zh-CN"/>
        </w:rPr>
      </w:pPr>
      <w:r>
        <w:rPr>
          <w:rFonts w:hint="eastAsia" w:ascii="仿宋" w:hAnsi="仿宋" w:eastAsia="仿宋" w:cs="仿宋"/>
          <w:b/>
          <w:bCs/>
          <w:spacing w:val="11"/>
          <w:w w:val="95"/>
          <w:sz w:val="32"/>
          <w:szCs w:val="32"/>
          <w:lang w:val="en-US" w:eastAsia="zh-CN"/>
        </w:rPr>
        <w:t>2.严格落实意识形态主体责任，把握意识形态工作主动权。</w:t>
      </w:r>
      <w:r>
        <w:rPr>
          <w:rFonts w:hint="eastAsia" w:ascii="仿宋" w:hAnsi="仿宋" w:eastAsia="仿宋" w:cs="仿宋"/>
          <w:spacing w:val="11"/>
          <w:w w:val="95"/>
          <w:sz w:val="32"/>
          <w:szCs w:val="32"/>
          <w:lang w:val="en-US" w:eastAsia="zh-CN"/>
        </w:rPr>
        <w:t>一是宣传报道提质提量。</w:t>
      </w:r>
      <w:r>
        <w:rPr>
          <w:rFonts w:hint="eastAsia" w:ascii="仿宋" w:hAnsi="仿宋" w:eastAsia="仿宋" w:cs="仿宋"/>
          <w:sz w:val="32"/>
          <w:szCs w:val="32"/>
        </w:rPr>
        <w:t>全年在</w:t>
      </w:r>
      <w:r>
        <w:rPr>
          <w:rFonts w:hint="eastAsia" w:ascii="仿宋" w:hAnsi="仿宋" w:eastAsia="仿宋" w:cs="仿宋"/>
          <w:sz w:val="32"/>
          <w:szCs w:val="32"/>
          <w:lang w:eastAsia="zh-CN"/>
        </w:rPr>
        <w:t>中国普法教育网、中国网、红网、</w:t>
      </w:r>
      <w:r>
        <w:rPr>
          <w:rFonts w:hint="eastAsia" w:ascii="仿宋" w:hAnsi="仿宋" w:eastAsia="仿宋" w:cs="仿宋"/>
          <w:sz w:val="32"/>
          <w:szCs w:val="32"/>
        </w:rPr>
        <w:t>湖南</w:t>
      </w:r>
      <w:r>
        <w:rPr>
          <w:rFonts w:hint="eastAsia" w:ascii="仿宋" w:hAnsi="仿宋" w:eastAsia="仿宋" w:cs="仿宋"/>
          <w:sz w:val="32"/>
          <w:szCs w:val="32"/>
          <w:lang w:eastAsia="zh-CN"/>
        </w:rPr>
        <w:t>频道</w:t>
      </w:r>
      <w:r>
        <w:rPr>
          <w:rFonts w:hint="eastAsia" w:ascii="仿宋" w:hAnsi="仿宋" w:eastAsia="仿宋" w:cs="仿宋"/>
          <w:sz w:val="32"/>
          <w:szCs w:val="32"/>
        </w:rPr>
        <w:t>、邵阳新闻网等中央省市主流媒体上稿</w:t>
      </w:r>
      <w:r>
        <w:rPr>
          <w:rFonts w:hint="eastAsia" w:ascii="仿宋" w:hAnsi="仿宋" w:eastAsia="仿宋" w:cs="仿宋"/>
          <w:sz w:val="32"/>
          <w:szCs w:val="32"/>
          <w:lang w:val="en-US" w:eastAsia="zh-CN"/>
        </w:rPr>
        <w:t>41余</w:t>
      </w:r>
      <w:r>
        <w:rPr>
          <w:rFonts w:hint="eastAsia" w:ascii="仿宋" w:hAnsi="仿宋" w:eastAsia="仿宋" w:cs="仿宋"/>
          <w:sz w:val="32"/>
          <w:szCs w:val="32"/>
        </w:rPr>
        <w:t>篇。</w:t>
      </w:r>
      <w:r>
        <w:rPr>
          <w:rFonts w:hint="eastAsia" w:ascii="仿宋" w:hAnsi="仿宋" w:eastAsia="仿宋" w:cs="仿宋"/>
          <w:spacing w:val="11"/>
          <w:w w:val="95"/>
          <w:sz w:val="32"/>
          <w:szCs w:val="32"/>
          <w:lang w:val="en-US" w:eastAsia="zh-CN"/>
        </w:rPr>
        <w:t>二是党史教育深入基层。</w:t>
      </w:r>
      <w:r>
        <w:rPr>
          <w:rFonts w:hint="eastAsia" w:ascii="仿宋" w:hAnsi="仿宋" w:eastAsia="仿宋" w:cs="仿宋"/>
          <w:sz w:val="32"/>
          <w:szCs w:val="32"/>
        </w:rPr>
        <w:t>全乡共开展屋场会</w:t>
      </w:r>
      <w:r>
        <w:rPr>
          <w:rFonts w:hint="eastAsia" w:ascii="仿宋" w:hAnsi="仿宋" w:eastAsia="仿宋" w:cs="仿宋"/>
          <w:sz w:val="32"/>
          <w:szCs w:val="32"/>
          <w:lang w:val="en-US" w:eastAsia="zh-CN"/>
        </w:rPr>
        <w:t>129</w:t>
      </w:r>
      <w:r>
        <w:rPr>
          <w:rFonts w:hint="eastAsia" w:ascii="仿宋" w:hAnsi="仿宋" w:eastAsia="仿宋" w:cs="仿宋"/>
          <w:sz w:val="32"/>
          <w:szCs w:val="32"/>
        </w:rPr>
        <w:t>场次，</w:t>
      </w:r>
      <w:r>
        <w:rPr>
          <w:rFonts w:hint="eastAsia" w:ascii="仿宋" w:hAnsi="仿宋" w:eastAsia="仿宋" w:cs="仿宋"/>
          <w:sz w:val="32"/>
          <w:szCs w:val="32"/>
          <w:lang w:val="en-US" w:eastAsia="zh-CN"/>
        </w:rPr>
        <w:t>13</w:t>
      </w:r>
      <w:r>
        <w:rPr>
          <w:rFonts w:hint="eastAsia" w:ascii="仿宋" w:hAnsi="仿宋" w:eastAsia="仿宋" w:cs="仿宋"/>
          <w:sz w:val="32"/>
          <w:szCs w:val="32"/>
        </w:rPr>
        <w:t>46人次参与；座谈会、党员大会等</w:t>
      </w:r>
      <w:r>
        <w:rPr>
          <w:rFonts w:hint="eastAsia" w:ascii="仿宋" w:hAnsi="仿宋" w:eastAsia="仿宋" w:cs="仿宋"/>
          <w:sz w:val="32"/>
          <w:szCs w:val="32"/>
          <w:lang w:val="en-US" w:eastAsia="zh-CN"/>
        </w:rPr>
        <w:t>102</w:t>
      </w:r>
      <w:r>
        <w:rPr>
          <w:rFonts w:hint="eastAsia" w:ascii="仿宋" w:hAnsi="仿宋" w:eastAsia="仿宋" w:cs="仿宋"/>
          <w:sz w:val="32"/>
          <w:szCs w:val="32"/>
        </w:rPr>
        <w:t>场，1</w:t>
      </w:r>
      <w:r>
        <w:rPr>
          <w:rFonts w:hint="eastAsia" w:ascii="仿宋" w:hAnsi="仿宋" w:eastAsia="仿宋" w:cs="仿宋"/>
          <w:sz w:val="32"/>
          <w:szCs w:val="32"/>
          <w:lang w:val="en-US" w:eastAsia="zh-CN"/>
        </w:rPr>
        <w:t>2</w:t>
      </w:r>
      <w:r>
        <w:rPr>
          <w:rFonts w:hint="eastAsia" w:ascii="仿宋" w:hAnsi="仿宋" w:eastAsia="仿宋" w:cs="仿宋"/>
          <w:sz w:val="32"/>
          <w:szCs w:val="32"/>
        </w:rPr>
        <w:t>52人次参与；为群众办实事，认领完成微心愿</w:t>
      </w:r>
      <w:r>
        <w:rPr>
          <w:rFonts w:hint="eastAsia" w:ascii="仿宋" w:hAnsi="仿宋" w:eastAsia="仿宋" w:cs="仿宋"/>
          <w:sz w:val="32"/>
          <w:szCs w:val="32"/>
          <w:lang w:val="en-US" w:eastAsia="zh-CN"/>
        </w:rPr>
        <w:t>163</w:t>
      </w:r>
      <w:r>
        <w:rPr>
          <w:rFonts w:hint="eastAsia" w:ascii="仿宋" w:hAnsi="仿宋" w:eastAsia="仿宋" w:cs="仿宋"/>
          <w:sz w:val="32"/>
          <w:szCs w:val="32"/>
        </w:rPr>
        <w:t>个，班子成员积极完成个人认领项目及集体认领项目。联合县</w:t>
      </w:r>
      <w:r>
        <w:rPr>
          <w:rFonts w:hint="eastAsia" w:ascii="仿宋" w:hAnsi="仿宋" w:eastAsia="仿宋" w:cs="仿宋"/>
          <w:sz w:val="32"/>
          <w:szCs w:val="32"/>
          <w:lang w:eastAsia="zh-CN"/>
        </w:rPr>
        <w:t>中医</w:t>
      </w:r>
      <w:r>
        <w:rPr>
          <w:rFonts w:hint="eastAsia" w:ascii="仿宋" w:hAnsi="仿宋" w:eastAsia="仿宋" w:cs="仿宋"/>
          <w:sz w:val="32"/>
          <w:szCs w:val="32"/>
        </w:rPr>
        <w:t>医院开展“学党史，创示范，共建美好大坪”健康义诊活动，</w:t>
      </w:r>
      <w:r>
        <w:rPr>
          <w:rFonts w:hint="eastAsia" w:ascii="仿宋" w:hAnsi="仿宋" w:eastAsia="仿宋" w:cs="仿宋"/>
          <w:sz w:val="32"/>
          <w:szCs w:val="32"/>
          <w:lang w:eastAsia="zh-CN"/>
        </w:rPr>
        <w:t>开展</w:t>
      </w:r>
      <w:r>
        <w:rPr>
          <w:rFonts w:hint="eastAsia" w:ascii="仿宋" w:hAnsi="仿宋" w:eastAsia="仿宋" w:cs="仿宋"/>
          <w:sz w:val="32"/>
          <w:szCs w:val="32"/>
        </w:rPr>
        <w:t>积极开展“一争二提三主动”</w:t>
      </w:r>
      <w:r>
        <w:rPr>
          <w:rFonts w:hint="eastAsia" w:ascii="仿宋" w:hAnsi="仿宋" w:eastAsia="仿宋" w:cs="仿宋"/>
          <w:sz w:val="32"/>
          <w:szCs w:val="32"/>
          <w:lang w:eastAsia="zh-CN"/>
        </w:rPr>
        <w:t>大讨论活动</w:t>
      </w:r>
      <w:r>
        <w:rPr>
          <w:rFonts w:hint="eastAsia" w:ascii="仿宋" w:hAnsi="仿宋" w:eastAsia="仿宋" w:cs="仿宋"/>
          <w:sz w:val="32"/>
          <w:szCs w:val="32"/>
          <w:lang w:val="en-US" w:eastAsia="zh-CN"/>
        </w:rPr>
        <w:t>12余场，</w:t>
      </w:r>
      <w:r>
        <w:rPr>
          <w:rFonts w:hint="eastAsia" w:ascii="仿宋" w:hAnsi="仿宋" w:eastAsia="仿宋" w:cs="仿宋"/>
          <w:sz w:val="32"/>
          <w:szCs w:val="32"/>
        </w:rPr>
        <w:t>全体乡村干部自查自纠，积极参与讨论，为</w:t>
      </w:r>
      <w:r>
        <w:rPr>
          <w:rFonts w:hint="eastAsia" w:ascii="仿宋" w:hAnsi="仿宋" w:eastAsia="仿宋" w:cs="仿宋"/>
          <w:sz w:val="32"/>
          <w:szCs w:val="32"/>
          <w:lang w:eastAsia="zh-CN"/>
        </w:rPr>
        <w:t>蔡桥</w:t>
      </w:r>
      <w:r>
        <w:rPr>
          <w:rFonts w:hint="eastAsia" w:ascii="仿宋" w:hAnsi="仿宋" w:eastAsia="仿宋" w:cs="仿宋"/>
          <w:sz w:val="32"/>
          <w:szCs w:val="32"/>
        </w:rPr>
        <w:t>乡高质量发展建言献策</w:t>
      </w:r>
      <w:r>
        <w:rPr>
          <w:rFonts w:hint="eastAsia" w:ascii="仿宋" w:hAnsi="仿宋" w:eastAsia="仿宋" w:cs="仿宋"/>
          <w:sz w:val="32"/>
          <w:szCs w:val="32"/>
          <w:lang w:val="en-US" w:eastAsia="zh-CN"/>
        </w:rPr>
        <w:t>既</w:t>
      </w:r>
      <w:r>
        <w:rPr>
          <w:rFonts w:hint="eastAsia" w:ascii="仿宋" w:hAnsi="仿宋" w:eastAsia="仿宋" w:cs="仿宋"/>
          <w:sz w:val="32"/>
          <w:szCs w:val="32"/>
          <w:lang w:eastAsia="zh-CN"/>
        </w:rPr>
        <w:t>巩固了脱贫攻坚又推进了乡村振兴</w:t>
      </w:r>
      <w:r>
        <w:rPr>
          <w:rFonts w:hint="eastAsia" w:ascii="仿宋" w:hAnsi="仿宋" w:eastAsia="仿宋" w:cs="仿宋"/>
          <w:sz w:val="32"/>
          <w:szCs w:val="32"/>
        </w:rPr>
        <w:t>。</w:t>
      </w:r>
      <w:r>
        <w:rPr>
          <w:rFonts w:hint="eastAsia" w:ascii="仿宋" w:hAnsi="仿宋" w:eastAsia="仿宋" w:cs="仿宋"/>
          <w:spacing w:val="11"/>
          <w:w w:val="95"/>
          <w:sz w:val="32"/>
          <w:szCs w:val="32"/>
          <w:lang w:val="en-US" w:eastAsia="zh-CN"/>
        </w:rPr>
        <w:t>三是文明创建卓有成效。大力开展环境整治、移风易俗、志愿者服务活动，评选出了一批“优秀共产党员”、“道德模范”、“文明卫生家庭”、“好媳妇”、“好婆婆”、“致富带头人”， 全年打造了3个县级乡风文明示范村、2个县级文明村。</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（四）围绕社会和谐，大力实施基层治理</w:t>
      </w:r>
    </w:p>
    <w:p>
      <w:pPr>
        <w:pStyle w:val="2"/>
        <w:keepNext w:val="0"/>
        <w:keepLines w:val="0"/>
        <w:pageBreakBefore w:val="0"/>
        <w:widowControl w:val="0"/>
        <w:kinsoku/>
        <w:wordWrap/>
        <w:overflowPunct/>
        <w:topLinePunct w:val="0"/>
        <w:autoSpaceDE/>
        <w:autoSpaceDN/>
        <w:bidi w:val="0"/>
        <w:spacing w:line="600" w:lineRule="exact"/>
        <w:ind w:left="0" w:leftChars="0" w:firstLine="655" w:firstLineChars="200"/>
        <w:textAlignment w:val="auto"/>
        <w:rPr>
          <w:rFonts w:hint="eastAsia" w:ascii="仿宋" w:hAnsi="仿宋" w:eastAsia="仿宋" w:cs="仿宋"/>
          <w:snapToGrid w:val="0"/>
          <w:spacing w:val="11"/>
          <w:w w:val="95"/>
          <w:kern w:val="0"/>
          <w:sz w:val="32"/>
          <w:szCs w:val="32"/>
          <w:lang w:val="en-US" w:eastAsia="zh-CN" w:bidi="ar-SA"/>
        </w:rPr>
      </w:pPr>
      <w:r>
        <w:rPr>
          <w:rFonts w:hint="eastAsia" w:ascii="仿宋" w:hAnsi="仿宋" w:eastAsia="仿宋" w:cs="仿宋"/>
          <w:b/>
          <w:bCs/>
          <w:snapToGrid w:val="0"/>
          <w:spacing w:val="11"/>
          <w:w w:val="95"/>
          <w:kern w:val="0"/>
          <w:sz w:val="32"/>
          <w:szCs w:val="32"/>
          <w:lang w:val="en-US" w:eastAsia="zh-CN" w:bidi="ar-SA"/>
        </w:rPr>
        <w:t>一是加强村民自治实践。</w:t>
      </w:r>
      <w:r>
        <w:rPr>
          <w:rFonts w:hint="eastAsia" w:ascii="仿宋" w:hAnsi="仿宋" w:eastAsia="仿宋" w:cs="仿宋"/>
          <w:snapToGrid w:val="0"/>
          <w:spacing w:val="11"/>
          <w:w w:val="95"/>
          <w:kern w:val="0"/>
          <w:sz w:val="32"/>
          <w:szCs w:val="32"/>
          <w:lang w:val="en-US" w:eastAsia="zh-CN" w:bidi="ar-SA"/>
        </w:rPr>
        <w:t>完善和落实基层民主科学决策制度，进一步运用好“四议两公开”工作法，让农民自已“说事、议事、主事”。全乡统一组织修订和完善村民自治章程、村规民约，村委会在村党组织领导下依据自治章程开展群众自治工作。</w:t>
      </w:r>
      <w:r>
        <w:rPr>
          <w:rFonts w:hint="eastAsia" w:ascii="仿宋" w:hAnsi="仿宋" w:eastAsia="仿宋" w:cs="仿宋"/>
          <w:b/>
          <w:bCs/>
          <w:snapToGrid w:val="0"/>
          <w:spacing w:val="11"/>
          <w:w w:val="95"/>
          <w:kern w:val="0"/>
          <w:sz w:val="32"/>
          <w:szCs w:val="32"/>
          <w:lang w:val="en-US" w:eastAsia="zh-CN" w:bidi="ar-SA"/>
        </w:rPr>
        <w:t>二是落实微网格平台建设。</w:t>
      </w:r>
      <w:r>
        <w:rPr>
          <w:rFonts w:hint="eastAsia" w:ascii="仿宋" w:hAnsi="仿宋" w:eastAsia="仿宋" w:cs="仿宋"/>
          <w:snapToGrid w:val="0"/>
          <w:spacing w:val="11"/>
          <w:w w:val="95"/>
          <w:kern w:val="0"/>
          <w:sz w:val="32"/>
          <w:szCs w:val="32"/>
          <w:lang w:val="en-US" w:eastAsia="zh-CN" w:bidi="ar-SA"/>
        </w:rPr>
        <w:t>创立四级微网格长49名，五级微网格长345名，通过精神鼓舞与物质奖励相结合的方式，充分发挥了微网格长在禁毒与反电诈、农村人居环境整治、违法占地、安全生产、疫情防控、抗旱等当前底线、重点工作中的作用，全面推动基层治理。</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（五）围绕争先创优，突出工作亮点</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eastAsia="仿宋_GB2312"/>
          <w:lang w:eastAsia="zh-CN"/>
        </w:rPr>
      </w:pPr>
      <w:r>
        <w:rPr>
          <w:rFonts w:hint="eastAsia" w:ascii="仿宋" w:hAnsi="仿宋" w:eastAsia="仿宋" w:cs="仿宋"/>
          <w:b/>
          <w:bCs/>
          <w:sz w:val="32"/>
          <w:szCs w:val="32"/>
          <w:lang w:val="en-US" w:eastAsia="zh-CN"/>
        </w:rPr>
        <w:t>一是全乡零信访完成村级“两委”换届工作。</w:t>
      </w:r>
      <w:r>
        <w:rPr>
          <w:rFonts w:hint="eastAsia" w:ascii="仿宋" w:hAnsi="仿宋" w:eastAsia="仿宋" w:cs="仿宋"/>
          <w:b w:val="0"/>
          <w:bCs w:val="0"/>
          <w:sz w:val="32"/>
          <w:szCs w:val="32"/>
          <w:lang w:val="en-US" w:eastAsia="zh-CN"/>
        </w:rPr>
        <w:t>圆满实现组织意图，选优配强村两委班子，其中35岁以下“两委”干部15名，干部平均年龄下降9岁，大专以上学历15名，增加了8名，两委班子整体素质有了明显提升，获得全县村级换届工作先进单位。</w:t>
      </w:r>
      <w:r>
        <w:rPr>
          <w:rFonts w:hint="eastAsia" w:ascii="仿宋" w:hAnsi="仿宋" w:eastAsia="仿宋" w:cs="仿宋"/>
          <w:b/>
          <w:bCs/>
          <w:sz w:val="32"/>
          <w:szCs w:val="32"/>
          <w:lang w:val="en-US" w:eastAsia="zh-CN"/>
        </w:rPr>
        <w:t>二是全县首个充分就业示范村级建设全覆盖。</w:t>
      </w:r>
      <w:r>
        <w:rPr>
          <w:rFonts w:hint="eastAsia" w:ascii="仿宋" w:hAnsi="仿宋" w:eastAsia="仿宋" w:cs="仿宋"/>
          <w:b w:val="0"/>
          <w:bCs w:val="0"/>
          <w:sz w:val="32"/>
          <w:szCs w:val="32"/>
          <w:lang w:val="en-US" w:eastAsia="zh-CN"/>
        </w:rPr>
        <w:t>全乡15个公共就业平台已全部更新维护完成，涵盖全乡各村劳动力、农民工、失业人员等各类就业人员信息，实现了全乡劳动力就业动态管理，确保了就业保障工作有的放矢。</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蔡桥乡财务管理制度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0"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邵阳县蔡桥乡人民政府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I3ZjFlOWNhOWY5Mzc2YTA4MWQ2NWFkMDAzZjIifQ=="/>
  </w:docVars>
  <w:rsids>
    <w:rsidRoot w:val="6488656F"/>
    <w:rsid w:val="0136732D"/>
    <w:rsid w:val="04BD1B14"/>
    <w:rsid w:val="088C3CD7"/>
    <w:rsid w:val="0FD146C5"/>
    <w:rsid w:val="120A1066"/>
    <w:rsid w:val="12EA441C"/>
    <w:rsid w:val="140274EC"/>
    <w:rsid w:val="17127A9D"/>
    <w:rsid w:val="1766520F"/>
    <w:rsid w:val="177C760C"/>
    <w:rsid w:val="1A5D7FC5"/>
    <w:rsid w:val="1B8D3B96"/>
    <w:rsid w:val="1D306ECF"/>
    <w:rsid w:val="1E556E5B"/>
    <w:rsid w:val="2035757E"/>
    <w:rsid w:val="214629FE"/>
    <w:rsid w:val="26155168"/>
    <w:rsid w:val="29707995"/>
    <w:rsid w:val="2BC52ED8"/>
    <w:rsid w:val="2BEC66B7"/>
    <w:rsid w:val="2C161986"/>
    <w:rsid w:val="2F803CE6"/>
    <w:rsid w:val="30DF4A3C"/>
    <w:rsid w:val="31B5002E"/>
    <w:rsid w:val="35C67F79"/>
    <w:rsid w:val="3647730B"/>
    <w:rsid w:val="37F4792B"/>
    <w:rsid w:val="38602906"/>
    <w:rsid w:val="3B0973B5"/>
    <w:rsid w:val="3B5B73B5"/>
    <w:rsid w:val="40490124"/>
    <w:rsid w:val="448C4B46"/>
    <w:rsid w:val="471825FE"/>
    <w:rsid w:val="4A6A3171"/>
    <w:rsid w:val="4A9D52F4"/>
    <w:rsid w:val="4AD226DB"/>
    <w:rsid w:val="4B3F45FD"/>
    <w:rsid w:val="4E265601"/>
    <w:rsid w:val="503D159E"/>
    <w:rsid w:val="50B909AE"/>
    <w:rsid w:val="51E774FB"/>
    <w:rsid w:val="51EE4BF7"/>
    <w:rsid w:val="554D7917"/>
    <w:rsid w:val="55790F68"/>
    <w:rsid w:val="58D112CD"/>
    <w:rsid w:val="5B4E4B9D"/>
    <w:rsid w:val="5B6559BA"/>
    <w:rsid w:val="5CBA0C04"/>
    <w:rsid w:val="5DCC4393"/>
    <w:rsid w:val="5E454BA5"/>
    <w:rsid w:val="5F143964"/>
    <w:rsid w:val="60051CC1"/>
    <w:rsid w:val="61E83E9D"/>
    <w:rsid w:val="624D3A32"/>
    <w:rsid w:val="62B56ACB"/>
    <w:rsid w:val="62C77933"/>
    <w:rsid w:val="6488656F"/>
    <w:rsid w:val="67E60D91"/>
    <w:rsid w:val="6AF24D91"/>
    <w:rsid w:val="6FC93771"/>
    <w:rsid w:val="700D7F77"/>
    <w:rsid w:val="72E509D8"/>
    <w:rsid w:val="731B7655"/>
    <w:rsid w:val="739E7864"/>
    <w:rsid w:val="74602515"/>
    <w:rsid w:val="75FC2F67"/>
    <w:rsid w:val="769E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3862</Words>
  <Characters>4120</Characters>
  <Lines>0</Lines>
  <Paragraphs>0</Paragraphs>
  <TotalTime>1</TotalTime>
  <ScaleCrop>false</ScaleCrop>
  <LinksUpToDate>false</LinksUpToDate>
  <CharactersWithSpaces>4213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2022-02-17T12:17:00Z</dcterms:created>
  <dc:creator>Administrator</dc:creator>
  <cp:lastModifiedBy>Administrator</cp:lastModifiedBy>
  <dcterms:modified xsi:type="dcterms:W3CDTF">2022-12-07T08:37:29Z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E7FB6526D7494DB0AA5F4C850FA76CCF</vt:lpwstr>
  </property>
</Properties>
</file>