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sz w:val="32"/>
          <w:szCs w:val="32"/>
        </w:rPr>
      </w:pPr>
      <w:r>
        <w:rPr>
          <w:rFonts w:hint="eastAsia" w:ascii="黑体" w:hAnsi="黑体" w:eastAsia="黑体" w:cs="黑体"/>
          <w:b/>
          <w:sz w:val="32"/>
          <w:szCs w:val="32"/>
        </w:rPr>
        <w:t>附件1</w:t>
      </w:r>
    </w:p>
    <w:p>
      <w:pPr>
        <w:jc w:val="center"/>
        <w:rPr>
          <w:rFonts w:ascii="仿宋_GB2312" w:hAnsi="黑体" w:eastAsia="仿宋_GB2312" w:cs="黑体"/>
          <w:sz w:val="44"/>
          <w:szCs w:val="44"/>
        </w:rPr>
      </w:pPr>
      <w:r>
        <w:rPr>
          <w:rFonts w:hint="eastAsia" w:ascii="仿宋_GB2312" w:hAnsi="黑体" w:eastAsia="仿宋_GB2312" w:cs="黑体"/>
          <w:sz w:val="44"/>
          <w:szCs w:val="44"/>
        </w:rPr>
        <w:t>部门整体支出绩效目标申报表</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 w:val="32"/>
          <w:szCs w:val="32"/>
        </w:rPr>
      </w:pPr>
      <w:r>
        <w:rPr>
          <w:rFonts w:hint="eastAsia" w:ascii="仿宋_GB2312" w:hAnsi="黑体" w:eastAsia="仿宋_GB2312" w:cs="黑体"/>
          <w:sz w:val="32"/>
          <w:szCs w:val="32"/>
        </w:rPr>
        <w:t>（2022年度）</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 w:val="32"/>
          <w:szCs w:val="32"/>
        </w:rPr>
      </w:pPr>
      <w:r>
        <w:rPr>
          <w:rFonts w:hint="eastAsia" w:ascii="仿宋_GB2312" w:hAnsi="黑体" w:eastAsia="仿宋_GB2312" w:cs="黑体"/>
          <w:sz w:val="24"/>
        </w:rPr>
        <w:t xml:space="preserve">填报单位（盖章）： </w:t>
      </w:r>
      <w:r>
        <w:rPr>
          <w:rFonts w:hint="eastAsia" w:ascii="仿宋_GB2312" w:hAnsi="黑体" w:eastAsia="仿宋_GB2312" w:cs="黑体"/>
          <w:sz w:val="24"/>
          <w:lang w:val="en-US" w:eastAsia="zh-CN"/>
        </w:rPr>
        <w:t>邵阳县党史和地方志研究室</w:t>
      </w:r>
      <w:r>
        <w:rPr>
          <w:rFonts w:hint="eastAsia" w:ascii="仿宋_GB2312" w:hAnsi="黑体" w:eastAsia="仿宋_GB2312" w:cs="黑体"/>
          <w:sz w:val="24"/>
        </w:rPr>
        <w:t xml:space="preserve">                        金额单位：万元</w:t>
      </w:r>
    </w:p>
    <w:tbl>
      <w:tblPr>
        <w:tblStyle w:val="8"/>
        <w:tblW w:w="10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823"/>
        <w:gridCol w:w="709"/>
        <w:gridCol w:w="567"/>
        <w:gridCol w:w="333"/>
        <w:gridCol w:w="636"/>
        <w:gridCol w:w="72"/>
        <w:gridCol w:w="431"/>
        <w:gridCol w:w="236"/>
        <w:gridCol w:w="42"/>
        <w:gridCol w:w="709"/>
        <w:gridCol w:w="709"/>
        <w:gridCol w:w="223"/>
        <w:gridCol w:w="485"/>
        <w:gridCol w:w="214"/>
        <w:gridCol w:w="456"/>
        <w:gridCol w:w="610"/>
        <w:gridCol w:w="236"/>
        <w:gridCol w:w="756"/>
        <w:gridCol w:w="22"/>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部门基本信息</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单位名称</w:t>
            </w:r>
          </w:p>
        </w:tc>
        <w:tc>
          <w:tcPr>
            <w:tcW w:w="7630"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邵阳县市场监督管理局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705" w:type="dxa"/>
            <w:vMerge w:val="continue"/>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2532"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编制人数</w:t>
            </w:r>
          </w:p>
        </w:tc>
        <w:tc>
          <w:tcPr>
            <w:tcW w:w="56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15</w:t>
            </w:r>
          </w:p>
        </w:tc>
        <w:tc>
          <w:tcPr>
            <w:tcW w:w="969"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实有人数</w:t>
            </w:r>
          </w:p>
        </w:tc>
        <w:tc>
          <w:tcPr>
            <w:tcW w:w="739"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黑体" w:eastAsia="仿宋_GB2312" w:cs="黑体"/>
                <w:szCs w:val="21"/>
                <w:lang w:eastAsia="zh-CN"/>
              </w:rPr>
            </w:pPr>
            <w:r>
              <w:rPr>
                <w:rFonts w:hint="eastAsia" w:ascii="仿宋_GB2312" w:hAnsi="黑体" w:eastAsia="仿宋_GB2312" w:cs="黑体"/>
                <w:szCs w:val="21"/>
                <w:lang w:val="en-US" w:eastAsia="zh-CN"/>
              </w:rPr>
              <w:t>5</w:t>
            </w:r>
          </w:p>
        </w:tc>
        <w:tc>
          <w:tcPr>
            <w:tcW w:w="1683" w:type="dxa"/>
            <w:gridSpan w:val="4"/>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单位预算绩效   管理联系人</w:t>
            </w:r>
          </w:p>
        </w:tc>
        <w:tc>
          <w:tcPr>
            <w:tcW w:w="1155"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黑体" w:eastAsia="仿宋_GB2312" w:cs="黑体"/>
                <w:szCs w:val="21"/>
                <w:lang w:eastAsia="zh-CN"/>
              </w:rPr>
            </w:pPr>
            <w:r>
              <w:rPr>
                <w:rFonts w:hint="eastAsia" w:ascii="仿宋_GB2312" w:hAnsi="黑体" w:eastAsia="仿宋_GB2312" w:cs="黑体"/>
                <w:szCs w:val="21"/>
                <w:lang w:val="en-US" w:eastAsia="zh-CN"/>
              </w:rPr>
              <w:t>郑鸿盈</w:t>
            </w:r>
          </w:p>
        </w:tc>
        <w:tc>
          <w:tcPr>
            <w:tcW w:w="846"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联系   电话</w:t>
            </w:r>
          </w:p>
        </w:tc>
        <w:tc>
          <w:tcPr>
            <w:tcW w:w="1671"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17873959975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2532"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单位   职能   概述</w:t>
            </w:r>
          </w:p>
        </w:tc>
        <w:tc>
          <w:tcPr>
            <w:tcW w:w="7630" w:type="dxa"/>
            <w:gridSpan w:val="18"/>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1.研究和宣传普及马克思列宁主义、毛泽东思想、邓小平理论、“三个代表”重要思想、科学发展观、习近平新时代中国特色社会主义思想。研究总结邵阳县深入贯彻习近平新时代中国特色社会主义思想的实践和经验。</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2.贯彻执行党中央、国务院和省、市关于党史和地方志工作有关方针、政策及规定，制定并组织实施全县党史和地方志工作的有关规划。</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3.征集、整理中共邵阳县地方史资料，研究中共邵阳县地方史，总结历史经验，提供历史借鉴；收集、整理、研究邵阳县地方文献和县情资料。编写邵阳县地方党史、党史大事记、组织史、党委工作纪事，编纂出版《邵阳县志》《邵阳县年鉴》等地方志书、地方综合年鉴和乡镇志、部门志、专业志及特色志等其他相关地情文献。编纂出版党史书刊、老同志回忆录。规划和组织邵阳县籍重要党史人物生平和思想的研究，编写重要党史人物传记，建立邵阳县籍人物资料信息中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4.运用党史、地方志资料及其研究成果，开展各种形式的党史和地方志宣传教育，努力发挥党史资政育人的社会功能，参与组织重大党史事件、重要党史人物的纪念活动。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5.审核涉及中国共产党邵阳县历史的重要文稿、书稿、照片，参与审核全县重大党史题材作品、重要展览、新建党史纪念场馆的立项和内容等。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6.组织指导全县党史联络工作，负责县党史联络组日常工作，为离退休老同志做好党史工作服务。</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7.负责对各部门和各乡镇场的党史和地方志工作进行督查和业务指导，组织对地方志稿的评审、验收、出版、评奖。开展党史和地方志工作经验交流、成果评比和学术活动。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8.完成县委交办的其他工作。</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4140" w:type="dxa"/>
            <w:gridSpan w:val="6"/>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年度收入预算</w:t>
            </w:r>
          </w:p>
        </w:tc>
        <w:tc>
          <w:tcPr>
            <w:tcW w:w="2127" w:type="dxa"/>
            <w:gridSpan w:val="5"/>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年度支出预算</w:t>
            </w:r>
          </w:p>
        </w:tc>
        <w:tc>
          <w:tcPr>
            <w:tcW w:w="3895" w:type="dxa"/>
            <w:gridSpan w:val="9"/>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三公经费预算支出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 xml:space="preserve">财政安排     </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非税    收入</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其他    收入</w:t>
            </w:r>
          </w:p>
        </w:tc>
        <w:tc>
          <w:tcPr>
            <w:tcW w:w="708"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收入     合计</w:t>
            </w:r>
          </w:p>
        </w:tc>
        <w:tc>
          <w:tcPr>
            <w:tcW w:w="709"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基本    支出</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项目    支出</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支出    合计</w:t>
            </w:r>
          </w:p>
        </w:tc>
        <w:tc>
          <w:tcPr>
            <w:tcW w:w="708"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公务    接待费</w:t>
            </w:r>
          </w:p>
        </w:tc>
        <w:tc>
          <w:tcPr>
            <w:tcW w:w="1280"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公务用车运行和购置费</w:t>
            </w:r>
          </w:p>
        </w:tc>
        <w:tc>
          <w:tcPr>
            <w:tcW w:w="992"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因公出国（境）费</w:t>
            </w:r>
          </w:p>
        </w:tc>
        <w:tc>
          <w:tcPr>
            <w:tcW w:w="915"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95.42</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eastAsia="zh-CN"/>
              </w:rPr>
            </w:pPr>
          </w:p>
        </w:tc>
        <w:tc>
          <w:tcPr>
            <w:tcW w:w="708"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95.42</w:t>
            </w:r>
          </w:p>
        </w:tc>
        <w:tc>
          <w:tcPr>
            <w:tcW w:w="709"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53.42</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53.42</w:t>
            </w:r>
          </w:p>
        </w:tc>
        <w:tc>
          <w:tcPr>
            <w:tcW w:w="708"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黑体" w:eastAsia="仿宋_GB2312" w:cs="黑体"/>
                <w:szCs w:val="21"/>
                <w:lang w:eastAsia="zh-CN"/>
              </w:rPr>
            </w:pPr>
            <w:r>
              <w:rPr>
                <w:rFonts w:hint="eastAsia" w:ascii="仿宋_GB2312" w:hAnsi="黑体" w:eastAsia="仿宋_GB2312" w:cs="黑体"/>
                <w:szCs w:val="21"/>
                <w:lang w:val="en-US" w:eastAsia="zh-CN"/>
              </w:rPr>
              <w:t>2</w:t>
            </w:r>
          </w:p>
        </w:tc>
        <w:tc>
          <w:tcPr>
            <w:tcW w:w="1280"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992"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0</w:t>
            </w:r>
          </w:p>
        </w:tc>
        <w:tc>
          <w:tcPr>
            <w:tcW w:w="915"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黑体" w:eastAsia="仿宋_GB2312" w:cs="黑体"/>
                <w:szCs w:val="21"/>
                <w:lang w:eastAsia="zh-CN"/>
              </w:rPr>
            </w:pPr>
            <w:r>
              <w:rPr>
                <w:rFonts w:hint="eastAsia" w:ascii="仿宋_GB2312" w:hAnsi="黑体" w:eastAsia="仿宋_GB2312" w:cs="黑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部门</w:t>
            </w:r>
            <w:r>
              <w:rPr>
                <w:rFonts w:hint="eastAsia" w:ascii="仿宋_GB2312" w:hAnsi="黑体" w:eastAsia="仿宋_GB2312" w:cs="黑体"/>
                <w:szCs w:val="21"/>
              </w:rPr>
              <w:br w:type="textWrapping"/>
            </w:r>
            <w:r>
              <w:rPr>
                <w:rFonts w:hint="eastAsia" w:ascii="仿宋_GB2312" w:hAnsi="黑体" w:eastAsia="仿宋_GB2312" w:cs="黑体"/>
                <w:szCs w:val="21"/>
              </w:rPr>
              <w:t>整体</w:t>
            </w:r>
            <w:r>
              <w:rPr>
                <w:rFonts w:hint="eastAsia" w:ascii="仿宋_GB2312" w:hAnsi="黑体" w:eastAsia="仿宋_GB2312" w:cs="黑体"/>
                <w:szCs w:val="21"/>
              </w:rPr>
              <w:br w:type="textWrapping"/>
            </w:r>
            <w:r>
              <w:rPr>
                <w:rFonts w:hint="eastAsia" w:ascii="仿宋_GB2312" w:hAnsi="黑体" w:eastAsia="仿宋_GB2312" w:cs="黑体"/>
                <w:szCs w:val="21"/>
              </w:rPr>
              <w:t>支出</w:t>
            </w:r>
            <w:r>
              <w:rPr>
                <w:rFonts w:hint="eastAsia" w:ascii="仿宋_GB2312" w:hAnsi="黑体" w:eastAsia="仿宋_GB2312" w:cs="黑体"/>
                <w:szCs w:val="21"/>
              </w:rPr>
              <w:br w:type="textWrapping"/>
            </w:r>
            <w:r>
              <w:rPr>
                <w:rFonts w:hint="eastAsia" w:ascii="仿宋_GB2312" w:hAnsi="黑体" w:eastAsia="仿宋_GB2312" w:cs="黑体"/>
                <w:szCs w:val="21"/>
              </w:rPr>
              <w:t>绩效</w:t>
            </w:r>
            <w:r>
              <w:rPr>
                <w:rFonts w:hint="eastAsia" w:ascii="仿宋_GB2312" w:hAnsi="黑体" w:eastAsia="仿宋_GB2312" w:cs="黑体"/>
                <w:szCs w:val="21"/>
              </w:rPr>
              <w:br w:type="textWrapping"/>
            </w:r>
            <w:r>
              <w:rPr>
                <w:rFonts w:hint="eastAsia" w:ascii="仿宋_GB2312" w:hAnsi="黑体" w:eastAsia="仿宋_GB2312" w:cs="黑体"/>
                <w:szCs w:val="21"/>
              </w:rPr>
              <w:t>目标</w:t>
            </w:r>
          </w:p>
        </w:tc>
        <w:tc>
          <w:tcPr>
            <w:tcW w:w="10162" w:type="dxa"/>
            <w:gridSpan w:val="2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黑体" w:eastAsia="仿宋_GB2312" w:cs="黑体"/>
                <w:szCs w:val="21"/>
              </w:rPr>
            </w:pPr>
            <w:r>
              <w:rPr>
                <w:rFonts w:hint="eastAsia" w:ascii="仿宋_GB2312" w:hAnsi="黑体" w:eastAsia="仿宋_GB2312" w:cs="黑体"/>
                <w:szCs w:val="21"/>
              </w:rPr>
              <w:t>在今年收支预算内，确保完成以下整体目标：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1.做好《中国共产党邵阳县历史》第三卷（1979—2012）资料征编工作。拟定好编写纲目，根据纲目收集整理80%以上的资料，为明年的编写打好史料基础。</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2.编纂公开出版《邵阳县年鉴（2022）》。进一步完善和优化《邵阳县年鉴（2022）》的框架结构，丰富辑录内容，突出年度特点和地方特色，实现“一年一鉴、公开出版、当年出版”目标。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3.做好《邵阳县脱贫攻坚口述史》征编出版发行工作。4月30日前完成省市脱贫攻坚口述史邵阳县部分的征编工作，6月31日前出版发行《邵阳县脱贫攻坚口述史》。</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4.指导规范乡镇部门志的编修。年内力争出版发行2部部门志和1部乡镇（场）志。</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5.做实做大史志宣传教育工作。做好省级、市级党史教育基地的申报与创建工作。继续开展史志知识“三进”(进学校、进机关、进农村)活动。加强小康社会建设和新冠疫情防控等专题资料的征集。谋划筹建邵阳县史志陈列馆，力争建成2-3个村微党史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6.全年编制印发《夫夷史苑》4期。</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7.高质量完成省市年鉴和纪事邵阳县篇组稿工作等省市史志部门交办的各项工作。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8.配合做好《天子湖文化集锦》项目的资料搜集整理工作。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 xml:space="preserve"> 9.高质量完成县委领导交办的材料撰写和调研任务。</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仿宋_GB2312" w:hAnsi="黑体" w:eastAsia="仿宋_GB2312" w:cs="黑体"/>
                <w:szCs w:val="21"/>
              </w:rPr>
            </w:pPr>
            <w:r>
              <w:rPr>
                <w:rFonts w:hint="eastAsia" w:ascii="仿宋_GB2312" w:hAnsi="黑体" w:eastAsia="仿宋_GB2312" w:cs="黑体"/>
                <w:szCs w:val="21"/>
                <w:lang w:val="en-US" w:eastAsia="zh-CN"/>
              </w:rPr>
              <w:t>10.及时传达中央、省、市深改委相关文件精神，提请县委深改委研究我县改革相关工作，指导督促相关部门改革任务落实。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部门</w:t>
            </w:r>
            <w:r>
              <w:rPr>
                <w:rFonts w:hint="eastAsia" w:ascii="仿宋_GB2312" w:hAnsi="黑体" w:eastAsia="仿宋_GB2312" w:cs="黑体"/>
                <w:szCs w:val="21"/>
              </w:rPr>
              <w:br w:type="textWrapping"/>
            </w:r>
            <w:r>
              <w:rPr>
                <w:rFonts w:hint="eastAsia" w:ascii="仿宋_GB2312" w:hAnsi="黑体" w:eastAsia="仿宋_GB2312" w:cs="黑体"/>
                <w:szCs w:val="21"/>
              </w:rPr>
              <w:t>整体       支出</w:t>
            </w:r>
            <w:r>
              <w:rPr>
                <w:rFonts w:hint="eastAsia" w:ascii="仿宋_GB2312" w:hAnsi="黑体" w:eastAsia="仿宋_GB2312" w:cs="黑体"/>
                <w:szCs w:val="21"/>
              </w:rPr>
              <w:br w:type="textWrapping"/>
            </w:r>
            <w:r>
              <w:rPr>
                <w:rFonts w:hint="eastAsia" w:ascii="仿宋_GB2312" w:hAnsi="黑体" w:eastAsia="仿宋_GB2312" w:cs="黑体"/>
                <w:szCs w:val="21"/>
              </w:rPr>
              <w:t>绩效指标</w:t>
            </w:r>
          </w:p>
        </w:tc>
        <w:tc>
          <w:tcPr>
            <w:tcW w:w="2532"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一级指标</w:t>
            </w:r>
          </w:p>
        </w:tc>
        <w:tc>
          <w:tcPr>
            <w:tcW w:w="2039" w:type="dxa"/>
            <w:gridSpan w:val="5"/>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二级指标</w:t>
            </w:r>
          </w:p>
        </w:tc>
        <w:tc>
          <w:tcPr>
            <w:tcW w:w="2618"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指标内容</w:t>
            </w:r>
          </w:p>
        </w:tc>
        <w:tc>
          <w:tcPr>
            <w:tcW w:w="2080" w:type="dxa"/>
            <w:gridSpan w:val="5"/>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指标值</w:t>
            </w: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253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产出指标</w:t>
            </w:r>
          </w:p>
        </w:tc>
        <w:tc>
          <w:tcPr>
            <w:tcW w:w="2039" w:type="dxa"/>
            <w:gridSpan w:val="5"/>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数量指标</w:t>
            </w:r>
          </w:p>
        </w:tc>
        <w:tc>
          <w:tcPr>
            <w:tcW w:w="2618"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夫夷史苑第四期</w:t>
            </w:r>
          </w:p>
        </w:tc>
        <w:tc>
          <w:tcPr>
            <w:tcW w:w="2080" w:type="dxa"/>
            <w:gridSpan w:val="5"/>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100%</w:t>
            </w: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253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2039" w:type="dxa"/>
            <w:gridSpan w:val="5"/>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质量指标</w:t>
            </w:r>
          </w:p>
        </w:tc>
        <w:tc>
          <w:tcPr>
            <w:tcW w:w="2618"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夫夷史苑的征集工作</w:t>
            </w:r>
          </w:p>
        </w:tc>
        <w:tc>
          <w:tcPr>
            <w:tcW w:w="2080" w:type="dxa"/>
            <w:gridSpan w:val="5"/>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rPr>
            </w:pPr>
            <w:r>
              <w:rPr>
                <w:rFonts w:hint="eastAsia" w:ascii="仿宋_GB2312" w:hAnsi="黑体" w:eastAsia="仿宋_GB2312" w:cs="黑体"/>
                <w:szCs w:val="21"/>
                <w:lang w:val="en-US" w:eastAsia="zh-CN"/>
              </w:rPr>
              <w:t>100%</w:t>
            </w: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2532"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2039" w:type="dxa"/>
            <w:gridSpan w:val="5"/>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黑体" w:eastAsia="仿宋_GB2312" w:cs="黑体"/>
                <w:kern w:val="2"/>
                <w:sz w:val="21"/>
                <w:szCs w:val="21"/>
                <w:lang w:val="en-US" w:eastAsia="zh-CN" w:bidi="ar-SA"/>
              </w:rPr>
            </w:pPr>
            <w:r>
              <w:rPr>
                <w:rFonts w:hint="eastAsia" w:ascii="仿宋_GB2312" w:hAnsi="黑体" w:eastAsia="仿宋_GB2312" w:cs="黑体"/>
                <w:szCs w:val="21"/>
                <w:lang w:val="en-US" w:eastAsia="zh-CN"/>
              </w:rPr>
              <w:t>成本指标</w:t>
            </w:r>
          </w:p>
        </w:tc>
        <w:tc>
          <w:tcPr>
            <w:tcW w:w="2618"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kern w:val="2"/>
                <w:sz w:val="21"/>
                <w:szCs w:val="21"/>
                <w:lang w:val="en-US" w:eastAsia="zh-CN" w:bidi="ar-SA"/>
              </w:rPr>
            </w:pPr>
            <w:r>
              <w:rPr>
                <w:rFonts w:hint="eastAsia" w:ascii="仿宋_GB2312" w:hAnsi="黑体" w:eastAsia="仿宋_GB2312" w:cs="黑体"/>
                <w:szCs w:val="21"/>
                <w:lang w:val="en-US" w:eastAsia="zh-CN"/>
              </w:rPr>
              <w:t>编纂费和资料收集费</w:t>
            </w:r>
          </w:p>
        </w:tc>
        <w:tc>
          <w:tcPr>
            <w:tcW w:w="2080" w:type="dxa"/>
            <w:gridSpan w:val="5"/>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kern w:val="2"/>
                <w:sz w:val="21"/>
                <w:szCs w:val="21"/>
                <w:lang w:val="en-US" w:eastAsia="zh-CN" w:bidi="ar-SA"/>
              </w:rPr>
            </w:pPr>
            <w:r>
              <w:rPr>
                <w:rFonts w:hint="eastAsia" w:ascii="仿宋_GB2312" w:hAnsi="黑体" w:eastAsia="仿宋_GB2312" w:cs="黑体"/>
                <w:szCs w:val="21"/>
                <w:lang w:val="en-US" w:eastAsia="zh-CN"/>
              </w:rPr>
              <w:t>42</w:t>
            </w: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253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效益指标</w:t>
            </w:r>
          </w:p>
        </w:tc>
        <w:tc>
          <w:tcPr>
            <w:tcW w:w="2039" w:type="dxa"/>
            <w:gridSpan w:val="5"/>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经济及社会效益</w:t>
            </w:r>
          </w:p>
        </w:tc>
        <w:tc>
          <w:tcPr>
            <w:tcW w:w="2618"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做好史志知识“三进”活动</w:t>
            </w:r>
          </w:p>
        </w:tc>
        <w:tc>
          <w:tcPr>
            <w:tcW w:w="2080" w:type="dxa"/>
            <w:gridSpan w:val="5"/>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100%</w:t>
            </w: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253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黑体" w:eastAsia="仿宋_GB2312" w:cs="黑体"/>
                <w:szCs w:val="21"/>
              </w:rPr>
            </w:pPr>
          </w:p>
        </w:tc>
        <w:tc>
          <w:tcPr>
            <w:tcW w:w="2039" w:type="dxa"/>
            <w:gridSpan w:val="5"/>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黑体" w:eastAsia="仿宋_GB2312" w:cs="黑体"/>
                <w:kern w:val="2"/>
                <w:sz w:val="21"/>
                <w:szCs w:val="21"/>
                <w:lang w:val="en-US" w:eastAsia="zh-CN" w:bidi="ar-SA"/>
              </w:rPr>
            </w:pPr>
            <w:r>
              <w:rPr>
                <w:rFonts w:hint="eastAsia" w:ascii="仿宋_GB2312" w:hAnsi="黑体" w:eastAsia="仿宋_GB2312" w:cs="黑体"/>
                <w:szCs w:val="21"/>
              </w:rPr>
              <w:t>社会公众满意度</w:t>
            </w:r>
          </w:p>
        </w:tc>
        <w:tc>
          <w:tcPr>
            <w:tcW w:w="2618"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黑体" w:eastAsia="仿宋_GB2312" w:cs="黑体"/>
                <w:kern w:val="2"/>
                <w:sz w:val="21"/>
                <w:szCs w:val="21"/>
                <w:lang w:val="en-US" w:eastAsia="zh-CN" w:bidi="ar-SA"/>
              </w:rPr>
            </w:pPr>
            <w:r>
              <w:rPr>
                <w:rFonts w:hint="eastAsia" w:ascii="仿宋_GB2312" w:hAnsi="黑体" w:eastAsia="仿宋_GB2312" w:cs="黑体"/>
                <w:szCs w:val="21"/>
                <w:lang w:val="en-US" w:eastAsia="zh-CN"/>
              </w:rPr>
              <w:t>对</w:t>
            </w:r>
            <w:r>
              <w:rPr>
                <w:rFonts w:hint="eastAsia" w:ascii="仿宋_GB2312" w:hAnsi="黑体" w:eastAsia="仿宋_GB2312" w:cs="黑体"/>
                <w:szCs w:val="21"/>
              </w:rPr>
              <w:t>单位的满意程度</w:t>
            </w:r>
          </w:p>
        </w:tc>
        <w:tc>
          <w:tcPr>
            <w:tcW w:w="2080" w:type="dxa"/>
            <w:gridSpan w:val="5"/>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黑体" w:eastAsia="仿宋_GB2312" w:cs="黑体"/>
                <w:kern w:val="2"/>
                <w:sz w:val="21"/>
                <w:szCs w:val="21"/>
                <w:lang w:val="en-US" w:eastAsia="zh-CN" w:bidi="ar-SA"/>
              </w:rPr>
            </w:pPr>
            <w:r>
              <w:rPr>
                <w:rFonts w:hint="eastAsia" w:ascii="仿宋_GB2312" w:hAnsi="黑体" w:eastAsia="仿宋_GB2312" w:cs="黑体"/>
                <w:szCs w:val="21"/>
                <w:lang w:val="en-US" w:eastAsia="zh-CN"/>
              </w:rPr>
              <w:t>100%</w:t>
            </w: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财政部门审核意见</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归口业务股室</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 xml:space="preserve"> 审核 意见</w:t>
            </w:r>
          </w:p>
        </w:tc>
        <w:tc>
          <w:tcPr>
            <w:tcW w:w="7630"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黑体" w:eastAsia="仿宋_GB2312" w:cs="黑体"/>
                <w:szCs w:val="21"/>
              </w:rPr>
            </w:pPr>
            <w:r>
              <w:rPr>
                <w:rFonts w:hint="eastAsia" w:ascii="仿宋_GB2312" w:hAnsi="黑体" w:eastAsia="仿宋_GB2312" w:cs="黑体"/>
                <w:szCs w:val="21"/>
              </w:rPr>
              <w:br w:type="textWrapping"/>
            </w:r>
            <w:r>
              <w:rPr>
                <w:rFonts w:hint="eastAsia" w:ascii="仿宋_GB2312" w:hAnsi="黑体" w:eastAsia="仿宋_GB2312" w:cs="黑体"/>
                <w:szCs w:val="21"/>
              </w:rPr>
              <w:br w:type="textWrapping"/>
            </w:r>
            <w:r>
              <w:rPr>
                <w:rFonts w:hint="eastAsia" w:ascii="仿宋_GB2312" w:hAnsi="黑体" w:eastAsia="仿宋_GB2312" w:cs="黑体"/>
                <w:szCs w:val="21"/>
              </w:rPr>
              <w:t xml:space="preserve">         审核人：        股室盖章：      2022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p>
        </w:tc>
        <w:tc>
          <w:tcPr>
            <w:tcW w:w="25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绩效管理股室</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黑体" w:eastAsia="仿宋_GB2312" w:cs="黑体"/>
                <w:szCs w:val="21"/>
              </w:rPr>
            </w:pPr>
            <w:r>
              <w:rPr>
                <w:rFonts w:hint="eastAsia" w:ascii="仿宋_GB2312" w:hAnsi="黑体" w:eastAsia="仿宋_GB2312" w:cs="黑体"/>
                <w:szCs w:val="21"/>
              </w:rPr>
              <w:t xml:space="preserve"> 审核  意见</w:t>
            </w:r>
          </w:p>
        </w:tc>
        <w:tc>
          <w:tcPr>
            <w:tcW w:w="7630"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黑体" w:eastAsia="仿宋_GB2312" w:cs="黑体"/>
                <w:szCs w:val="21"/>
              </w:rPr>
            </w:pPr>
            <w:r>
              <w:rPr>
                <w:rFonts w:hint="eastAsia" w:ascii="仿宋_GB2312" w:hAnsi="黑体" w:eastAsia="仿宋_GB2312" w:cs="黑体"/>
                <w:szCs w:val="21"/>
              </w:rPr>
              <w:br w:type="textWrapping"/>
            </w:r>
            <w:r>
              <w:rPr>
                <w:rFonts w:hint="eastAsia" w:ascii="仿宋_GB2312" w:hAnsi="黑体" w:eastAsia="仿宋_GB2312" w:cs="黑体"/>
                <w:szCs w:val="21"/>
              </w:rPr>
              <w:br w:type="textWrapping"/>
            </w:r>
            <w:r>
              <w:rPr>
                <w:rFonts w:hint="eastAsia" w:ascii="仿宋_GB2312" w:hAnsi="黑体" w:eastAsia="仿宋_GB2312" w:cs="黑体"/>
                <w:szCs w:val="21"/>
              </w:rPr>
              <w:br w:type="textWrapping"/>
            </w:r>
            <w:r>
              <w:rPr>
                <w:rFonts w:hint="eastAsia" w:ascii="仿宋_GB2312" w:hAnsi="黑体" w:eastAsia="仿宋_GB2312" w:cs="黑体"/>
                <w:szCs w:val="21"/>
              </w:rPr>
              <w:br w:type="textWrapping"/>
            </w:r>
            <w:bookmarkStart w:id="0" w:name="_GoBack"/>
            <w:bookmarkEnd w:id="0"/>
            <w:r>
              <w:rPr>
                <w:rFonts w:hint="eastAsia" w:ascii="仿宋_GB2312" w:hAnsi="黑体" w:eastAsia="仿宋_GB2312" w:cs="黑体"/>
                <w:szCs w:val="21"/>
              </w:rPr>
              <w:t xml:space="preserve">         审核人：        股室盖章：            年   月   日</w:t>
            </w:r>
          </w:p>
        </w:tc>
      </w:tr>
    </w:tbl>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黑体" w:eastAsia="仿宋_GB2312" w:cs="黑体"/>
          <w:sz w:val="32"/>
          <w:szCs w:val="32"/>
        </w:rPr>
      </w:pPr>
      <w:r>
        <w:rPr>
          <w:rFonts w:hint="eastAsia" w:ascii="仿宋_GB2312" w:hAnsi="黑体" w:eastAsia="仿宋_GB2312" w:cs="黑体"/>
          <w:szCs w:val="21"/>
        </w:rPr>
        <w:t>填报人：</w:t>
      </w:r>
      <w:r>
        <w:rPr>
          <w:rFonts w:hint="eastAsia" w:ascii="仿宋_GB2312" w:hAnsi="黑体" w:eastAsia="仿宋_GB2312" w:cs="黑体"/>
          <w:szCs w:val="21"/>
          <w:lang w:val="en-US" w:eastAsia="zh-CN"/>
        </w:rPr>
        <w:t>郑鸿盈</w:t>
      </w:r>
      <w:r>
        <w:rPr>
          <w:rFonts w:hint="eastAsia" w:ascii="仿宋_GB2312" w:hAnsi="黑体" w:eastAsia="仿宋_GB2312" w:cs="黑体"/>
          <w:szCs w:val="21"/>
        </w:rPr>
        <w:t xml:space="preserve">                  联系电话：</w:t>
      </w:r>
      <w:r>
        <w:rPr>
          <w:rFonts w:hint="eastAsia" w:ascii="仿宋_GB2312" w:hAnsi="黑体" w:eastAsia="仿宋_GB2312" w:cs="黑体"/>
          <w:szCs w:val="21"/>
          <w:lang w:val="en-US" w:eastAsia="zh-CN"/>
        </w:rPr>
        <w:t>17873959975</w:t>
      </w:r>
      <w:r>
        <w:rPr>
          <w:rFonts w:hint="eastAsia" w:ascii="仿宋_GB2312" w:hAnsi="黑体" w:eastAsia="仿宋_GB2312" w:cs="黑体"/>
          <w:szCs w:val="21"/>
        </w:rPr>
        <w:t xml:space="preserve">           填报时间： </w:t>
      </w:r>
      <w:r>
        <w:rPr>
          <w:rFonts w:hint="eastAsia" w:ascii="仿宋_GB2312" w:hAnsi="黑体" w:eastAsia="仿宋_GB2312" w:cs="黑体"/>
          <w:szCs w:val="21"/>
          <w:lang w:val="en-US" w:eastAsia="zh-CN"/>
        </w:rPr>
        <w:t>2022</w:t>
      </w:r>
      <w:r>
        <w:rPr>
          <w:rFonts w:hint="eastAsia" w:ascii="仿宋_GB2312" w:hAnsi="黑体" w:eastAsia="仿宋_GB2312" w:cs="黑体"/>
          <w:szCs w:val="21"/>
        </w:rPr>
        <w:t xml:space="preserve">年 </w:t>
      </w:r>
      <w:r>
        <w:rPr>
          <w:rFonts w:hint="eastAsia" w:ascii="仿宋_GB2312" w:hAnsi="黑体" w:eastAsia="仿宋_GB2312" w:cs="黑体"/>
          <w:szCs w:val="21"/>
          <w:lang w:val="en-US" w:eastAsia="zh-CN"/>
        </w:rPr>
        <w:t>6</w:t>
      </w:r>
      <w:r>
        <w:rPr>
          <w:rFonts w:hint="eastAsia" w:ascii="仿宋_GB2312" w:hAnsi="黑体" w:eastAsia="仿宋_GB2312" w:cs="黑体"/>
          <w:szCs w:val="21"/>
        </w:rPr>
        <w:t xml:space="preserve">月 </w:t>
      </w:r>
      <w:r>
        <w:rPr>
          <w:rFonts w:hint="eastAsia" w:ascii="仿宋_GB2312" w:hAnsi="黑体" w:eastAsia="仿宋_GB2312" w:cs="黑体"/>
          <w:szCs w:val="21"/>
          <w:lang w:val="en-US" w:eastAsia="zh-CN"/>
        </w:rPr>
        <w:t>14</w:t>
      </w:r>
      <w:r>
        <w:rPr>
          <w:rFonts w:hint="eastAsia" w:ascii="仿宋_GB2312" w:hAnsi="黑体" w:eastAsia="仿宋_GB2312" w:cs="黑体"/>
          <w:szCs w:val="21"/>
        </w:rPr>
        <w:t xml:space="preserve"> 日</w:t>
      </w:r>
    </w:p>
    <w:p>
      <w:pPr>
        <w:keepNext w:val="0"/>
        <w:keepLines w:val="0"/>
        <w:pageBreakBefore w:val="0"/>
        <w:widowControl w:val="0"/>
        <w:kinsoku/>
        <w:wordWrap/>
        <w:overflowPunct/>
        <w:topLinePunct w:val="0"/>
        <w:autoSpaceDE/>
        <w:autoSpaceDN/>
        <w:bidi w:val="0"/>
        <w:adjustRightInd/>
        <w:snapToGrid/>
        <w:spacing w:line="312" w:lineRule="auto"/>
        <w:textAlignment w:val="auto"/>
      </w:pPr>
    </w:p>
    <w:sectPr>
      <w:headerReference r:id="rId5" w:type="first"/>
      <w:footerReference r:id="rId7" w:type="first"/>
      <w:headerReference r:id="rId3" w:type="default"/>
      <w:headerReference r:id="rId4" w:type="even"/>
      <w:footerReference r:id="rId6" w:type="even"/>
      <w:pgSz w:w="11906" w:h="16838"/>
      <w:pgMar w:top="539" w:right="991"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Y0YjkxZDYwOTkxMmM4N2Y0ZTQ5YTNlNjhiMTM0OTUifQ=="/>
  </w:docVars>
  <w:rsids>
    <w:rsidRoot w:val="00177162"/>
    <w:rsid w:val="00177162"/>
    <w:rsid w:val="004746F5"/>
    <w:rsid w:val="00672BBE"/>
    <w:rsid w:val="00674038"/>
    <w:rsid w:val="0070201B"/>
    <w:rsid w:val="008A18E3"/>
    <w:rsid w:val="009032C8"/>
    <w:rsid w:val="009171CC"/>
    <w:rsid w:val="00A7466D"/>
    <w:rsid w:val="00B8321B"/>
    <w:rsid w:val="00BF03EE"/>
    <w:rsid w:val="00C7140D"/>
    <w:rsid w:val="00E833F8"/>
    <w:rsid w:val="00FB1412"/>
    <w:rsid w:val="01B3097E"/>
    <w:rsid w:val="064029FC"/>
    <w:rsid w:val="08BF22FE"/>
    <w:rsid w:val="0E5057A7"/>
    <w:rsid w:val="0FFE3069"/>
    <w:rsid w:val="12577104"/>
    <w:rsid w:val="14276FAA"/>
    <w:rsid w:val="18273A1C"/>
    <w:rsid w:val="19E03E83"/>
    <w:rsid w:val="1E2D1660"/>
    <w:rsid w:val="1F72557D"/>
    <w:rsid w:val="20F52909"/>
    <w:rsid w:val="22A25CBE"/>
    <w:rsid w:val="24997A50"/>
    <w:rsid w:val="279A1B15"/>
    <w:rsid w:val="28C66939"/>
    <w:rsid w:val="2AE13EFE"/>
    <w:rsid w:val="2D265BF9"/>
    <w:rsid w:val="35D24AF0"/>
    <w:rsid w:val="36897924"/>
    <w:rsid w:val="39FB22A9"/>
    <w:rsid w:val="3A920D71"/>
    <w:rsid w:val="3AA06FEA"/>
    <w:rsid w:val="3B9F54F4"/>
    <w:rsid w:val="3C092AFD"/>
    <w:rsid w:val="3C6D114E"/>
    <w:rsid w:val="3FFB255A"/>
    <w:rsid w:val="42E3216A"/>
    <w:rsid w:val="4379487C"/>
    <w:rsid w:val="45577809"/>
    <w:rsid w:val="456F1408"/>
    <w:rsid w:val="458B0897"/>
    <w:rsid w:val="47B70EAC"/>
    <w:rsid w:val="49836A42"/>
    <w:rsid w:val="503E1327"/>
    <w:rsid w:val="51E732F9"/>
    <w:rsid w:val="521E31BF"/>
    <w:rsid w:val="56B0015D"/>
    <w:rsid w:val="578E4942"/>
    <w:rsid w:val="598C29C1"/>
    <w:rsid w:val="5A1A070F"/>
    <w:rsid w:val="5B2B4256"/>
    <w:rsid w:val="5E4915C3"/>
    <w:rsid w:val="5FF7772C"/>
    <w:rsid w:val="65F46F96"/>
    <w:rsid w:val="677D408C"/>
    <w:rsid w:val="69B875FD"/>
    <w:rsid w:val="6A5C61DA"/>
    <w:rsid w:val="6AAD6A36"/>
    <w:rsid w:val="6BF30DC0"/>
    <w:rsid w:val="6F35524C"/>
    <w:rsid w:val="6FBE3493"/>
    <w:rsid w:val="77E872FF"/>
    <w:rsid w:val="7812677C"/>
    <w:rsid w:val="79366790"/>
    <w:rsid w:val="7B236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4">
    <w:name w:val="Plain Text"/>
    <w:basedOn w:val="1"/>
    <w:link w:val="13"/>
    <w:unhideWhenUsed/>
    <w:qFormat/>
    <w:uiPriority w:val="99"/>
    <w:rPr>
      <w:rFonts w:ascii="宋体" w:hAnsi="Courier New" w:cs="Courier New" w:eastAsiaTheme="minorEastAsia"/>
      <w:szCs w:val="21"/>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10">
    <w:name w:val="font21"/>
    <w:basedOn w:val="9"/>
    <w:qFormat/>
    <w:uiPriority w:val="0"/>
    <w:rPr>
      <w:rFonts w:ascii="楷体" w:hAnsi="楷体" w:eastAsia="楷体" w:cs="楷体"/>
      <w:b/>
      <w:color w:val="000000"/>
      <w:sz w:val="32"/>
      <w:szCs w:val="32"/>
      <w:u w:val="none"/>
    </w:rPr>
  </w:style>
  <w:style w:type="character" w:customStyle="1" w:styleId="11">
    <w:name w:val="页眉 Char"/>
    <w:basedOn w:val="9"/>
    <w:link w:val="6"/>
    <w:semiHidden/>
    <w:qFormat/>
    <w:uiPriority w:val="99"/>
    <w:rPr>
      <w:rFonts w:ascii="Times New Roman" w:hAnsi="Times New Roman" w:eastAsia="宋体" w:cs="Times New Roman"/>
      <w:sz w:val="18"/>
      <w:szCs w:val="18"/>
    </w:rPr>
  </w:style>
  <w:style w:type="character" w:customStyle="1" w:styleId="12">
    <w:name w:val="页脚 Char"/>
    <w:basedOn w:val="9"/>
    <w:link w:val="5"/>
    <w:semiHidden/>
    <w:qFormat/>
    <w:uiPriority w:val="99"/>
    <w:rPr>
      <w:rFonts w:ascii="Times New Roman" w:hAnsi="Times New Roman" w:eastAsia="宋体" w:cs="Times New Roman"/>
      <w:sz w:val="18"/>
      <w:szCs w:val="18"/>
    </w:rPr>
  </w:style>
  <w:style w:type="character" w:customStyle="1" w:styleId="13">
    <w:name w:val="纯文本 Char"/>
    <w:basedOn w:val="9"/>
    <w:link w:val="4"/>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2071</Words>
  <Characters>2153</Characters>
  <Lines>38</Lines>
  <Paragraphs>10</Paragraphs>
  <TotalTime>52</TotalTime>
  <ScaleCrop>false</ScaleCrop>
  <LinksUpToDate>false</LinksUpToDate>
  <CharactersWithSpaces>2352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2022-05-30T09:01:00Z</dcterms:created>
  <dc:creator>微软用户</dc:creator>
  <cp:lastModifiedBy>红豆回忆</cp:lastModifiedBy>
  <cp:lastPrinted>2022-06-02T00:10:00Z</cp:lastPrinted>
  <dcterms:modified xsi:type="dcterms:W3CDTF">2022-06-17T02:16:36Z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6A988563CF504AFE9C47FEE2A4D760AB</vt:lpwstr>
  </property>
</Properties>
</file>