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ind w:left="3960" w:hanging="3960" w:hangingChars="1100"/>
        <w:rPr>
          <w:bCs/>
          <w:sz w:val="32"/>
          <w:szCs w:val="32"/>
          <w:u w:val="single"/>
        </w:rPr>
      </w:pPr>
      <w:r>
        <w:rPr>
          <w:rFonts w:hint="eastAsia"/>
          <w:sz w:val="36"/>
        </w:rPr>
        <w:t xml:space="preserve">    </w:t>
      </w:r>
      <w:r>
        <w:rPr>
          <w:rFonts w:hint="eastAsia"/>
          <w:b/>
          <w:bCs/>
          <w:sz w:val="32"/>
          <w:szCs w:val="32"/>
        </w:rPr>
        <w:t xml:space="preserve"> 自评单位：</w:t>
      </w:r>
      <w:r>
        <w:rPr>
          <w:rFonts w:hint="eastAsia"/>
          <w:b/>
          <w:bCs/>
          <w:sz w:val="32"/>
          <w:szCs w:val="32"/>
          <w:u w:val="single"/>
          <w:lang w:val="en-US" w:eastAsia="zh-CN"/>
        </w:rPr>
        <w:t>邵阳县党史和地方志研究室</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7</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adjustRightInd w:val="0"/>
        <w:spacing w:line="600" w:lineRule="exact"/>
        <w:ind w:right="641"/>
        <w:rPr>
          <w:rFonts w:eastAsia="仿宋_GB2312"/>
          <w:sz w:val="32"/>
          <w:szCs w:val="32"/>
        </w:rPr>
      </w:pPr>
    </w:p>
    <w:p>
      <w:pPr>
        <w:widowControl/>
        <w:spacing w:line="600" w:lineRule="exact"/>
        <w:ind w:firstLine="645"/>
        <w:jc w:val="left"/>
        <w:rPr>
          <w:rFonts w:hint="eastAsia" w:eastAsia="黑体"/>
          <w:sz w:val="32"/>
          <w:szCs w:val="32"/>
        </w:rPr>
      </w:pPr>
      <w:r>
        <w:rPr>
          <w:rFonts w:hint="eastAsia" w:eastAsia="黑体"/>
          <w:sz w:val="32"/>
          <w:szCs w:val="32"/>
        </w:rPr>
        <w:t>一、部门、单位基本情况</w:t>
      </w:r>
    </w:p>
    <w:p>
      <w:pPr>
        <w:widowControl/>
        <w:spacing w:line="600" w:lineRule="exact"/>
        <w:ind w:firstLine="645"/>
        <w:jc w:val="left"/>
        <w:rPr>
          <w:rFonts w:hint="default" w:ascii="楷体" w:hAnsi="楷体" w:eastAsia="楷体" w:cs="楷体"/>
          <w:b/>
          <w:bCs/>
          <w:sz w:val="32"/>
          <w:szCs w:val="32"/>
          <w:lang w:val="en-US" w:eastAsia="zh-CN"/>
        </w:rPr>
      </w:pPr>
      <w:r>
        <w:rPr>
          <w:rFonts w:hint="eastAsia" w:ascii="楷体" w:hAnsi="楷体" w:eastAsia="楷体" w:cs="楷体"/>
          <w:b/>
          <w:bCs/>
          <w:sz w:val="32"/>
          <w:szCs w:val="32"/>
        </w:rPr>
        <w:t>（一）机构设置情况</w:t>
      </w:r>
      <w:r>
        <w:rPr>
          <w:rFonts w:hint="eastAsia" w:ascii="楷体" w:hAnsi="楷体" w:eastAsia="楷体" w:cs="楷体"/>
          <w:b/>
          <w:bCs/>
          <w:sz w:val="32"/>
          <w:szCs w:val="32"/>
          <w:lang w:eastAsia="zh-CN"/>
        </w:rPr>
        <w:t>：</w:t>
      </w:r>
      <w:r>
        <w:rPr>
          <w:rFonts w:hint="eastAsia" w:ascii="仿宋" w:hAnsi="仿宋" w:eastAsia="仿宋" w:cs="仿宋"/>
          <w:bCs/>
          <w:kern w:val="2"/>
          <w:sz w:val="32"/>
          <w:szCs w:val="32"/>
          <w:lang w:val="en-US" w:eastAsia="zh-CN" w:bidi="ar-SA"/>
        </w:rPr>
        <w:t>无二级机构。</w:t>
      </w:r>
    </w:p>
    <w:p>
      <w:pPr>
        <w:widowControl/>
        <w:spacing w:line="600" w:lineRule="exact"/>
        <w:ind w:firstLine="645"/>
        <w:jc w:val="left"/>
        <w:rPr>
          <w:rFonts w:hint="eastAsia" w:ascii="仿宋" w:hAnsi="仿宋" w:eastAsia="仿宋" w:cs="仿宋"/>
          <w:bCs/>
          <w:kern w:val="2"/>
          <w:sz w:val="32"/>
          <w:szCs w:val="32"/>
          <w:lang w:val="en-US" w:eastAsia="zh-CN" w:bidi="ar-SA"/>
        </w:rPr>
      </w:pPr>
      <w:r>
        <w:rPr>
          <w:rFonts w:hint="eastAsia" w:ascii="楷体" w:hAnsi="楷体" w:eastAsia="楷体" w:cs="楷体"/>
          <w:b/>
          <w:bCs/>
          <w:sz w:val="32"/>
          <w:szCs w:val="32"/>
        </w:rPr>
        <w:t>（二）人员编制情况</w:t>
      </w:r>
      <w:r>
        <w:rPr>
          <w:rFonts w:hint="eastAsia" w:ascii="楷体" w:hAnsi="楷体" w:eastAsia="楷体" w:cs="楷体"/>
          <w:b/>
          <w:bCs/>
          <w:sz w:val="32"/>
          <w:szCs w:val="32"/>
          <w:lang w:eastAsia="zh-CN"/>
        </w:rPr>
        <w:t>：</w:t>
      </w:r>
      <w:r>
        <w:rPr>
          <w:rFonts w:hint="eastAsia" w:ascii="仿宋" w:hAnsi="仿宋" w:eastAsia="仿宋" w:cs="仿宋"/>
          <w:bCs/>
          <w:kern w:val="2"/>
          <w:sz w:val="32"/>
          <w:szCs w:val="32"/>
          <w:lang w:val="en-US" w:eastAsia="zh-CN" w:bidi="ar-SA"/>
        </w:rPr>
        <w:t>本单位属于全额预算拨款,县委直属正科级公益一类事业单位，人员编制数15人，截至2023年12月底，在职实有人数9人，退休人员2人。执行行政会计制度,一级部门预算。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楷体" w:hAnsi="楷体" w:eastAsia="楷体" w:cs="楷体"/>
          <w:b/>
          <w:bCs/>
          <w:sz w:val="32"/>
          <w:szCs w:val="32"/>
        </w:rPr>
        <w:t>（三）主要职能职责</w:t>
      </w:r>
      <w:r>
        <w:rPr>
          <w:rFonts w:hint="eastAsia" w:ascii="楷体" w:hAnsi="楷体" w:eastAsia="楷体" w:cs="楷体"/>
          <w:b/>
          <w:bCs/>
          <w:sz w:val="32"/>
          <w:szCs w:val="32"/>
          <w:lang w:eastAsia="zh-CN"/>
        </w:rPr>
        <w:t>：</w:t>
      </w:r>
      <w:r>
        <w:rPr>
          <w:rFonts w:hint="eastAsia" w:ascii="仿宋" w:hAnsi="仿宋" w:eastAsia="仿宋" w:cs="仿宋"/>
          <w:bCs/>
          <w:kern w:val="2"/>
          <w:sz w:val="32"/>
          <w:szCs w:val="32"/>
          <w:lang w:val="en-US" w:eastAsia="zh-CN" w:bidi="ar-SA"/>
        </w:rPr>
        <w:t xml:space="preserve"> 1.研究和宣传普及马克思列宁主义、毛泽东思想、邓小平理论、“三个代表”重要思想、科学发展观、习近平新时代中国特色社会主义思想。研究总结邵阳县深入贯彻习近平新时代中国特色社会主义思想的实践和经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2.贯彻执行党中央、国务院和省、市关于党史和地方志工作有关方针、政策及规定，制定并组织实施全县党史和地方志工作的有关规划。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3.征集、整理中共邵阳县地方史资料，研究中共邵阳县地方史，总结历史经验，提供历史借鉴；收集、整理、研究邵阳县地方文献和县情资料。编写邵阳县地方党史、党史大事记、组织史、党委工作纪事，编纂出版《邵阳县志》《邵阳县年鉴》等地方志书、地方综合年鉴和乡镇志、部门志、专业志及特色志等其他相关地情文献。编纂出版党史书刊、老同志回忆录。规划和组织邵阳县籍重要党史人物生平和思想的研究，编写重要党史人物传记，建立邵阳县籍人物资料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4.运用党史、地方志资料及其研究成果，开展各种形式的党史和地方志宣传教育，努力发挥党史资政育人的社会功能，参与组织重大党史事件、重要党史人物的纪念活动。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5.审核涉及中国共产党邵阳县历史的重要文稿、书稿、照片，参与审核全县重大党史题材作品、重要展览、新建党史纪念场馆的立项和内容等。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6.组织指导全县党史联络工作，负责县党史联络组日常工作，为离退休老同志做好党史工作服务。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7.负责对各部门和各乡镇场的党史和地方志工作进行督查和业务指导，组织对地方志稿的评审、验收、出版、评奖。开展党史和地方志工作经验交流、成果评比和学术活动。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8.完成县委交办的其他工作。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434343"/>
          <w:kern w:val="0"/>
          <w:sz w:val="32"/>
          <w:szCs w:val="32"/>
          <w:vertAlign w:val="baseline"/>
          <w:lang w:val="en-US" w:eastAsia="zh-CN" w:bidi="ar"/>
        </w:rPr>
      </w:pPr>
      <w:r>
        <w:rPr>
          <w:rFonts w:hint="eastAsia" w:ascii="楷体" w:hAnsi="楷体" w:eastAsia="楷体" w:cs="楷体"/>
          <w:b/>
          <w:bCs/>
          <w:sz w:val="32"/>
          <w:szCs w:val="32"/>
        </w:rPr>
        <w:t>（四）绩效目标设定情况</w:t>
      </w:r>
      <w:r>
        <w:rPr>
          <w:rFonts w:hint="eastAsia" w:ascii="楷体" w:hAnsi="楷体" w:eastAsia="楷体" w:cs="楷体"/>
          <w:b/>
          <w:bCs/>
          <w:sz w:val="32"/>
          <w:szCs w:val="32"/>
          <w:lang w:eastAsia="zh-CN"/>
        </w:rPr>
        <w:t>：</w:t>
      </w:r>
      <w:r>
        <w:rPr>
          <w:rFonts w:hint="eastAsia" w:ascii="仿宋" w:hAnsi="仿宋" w:eastAsia="仿宋" w:cs="仿宋"/>
          <w:bCs/>
          <w:kern w:val="2"/>
          <w:sz w:val="32"/>
          <w:szCs w:val="32"/>
          <w:lang w:val="en-US" w:eastAsia="zh-CN" w:bidi="ar-SA"/>
        </w:rPr>
        <w:t>在今年的收支预算内完成党史正本第三卷、《邵阳县扶贫志》第二阶段工作、邵阳县2024年年鉴编纂工作以及配合好党史联络组完成工作。</w:t>
      </w:r>
    </w:p>
    <w:p>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楷体" w:hAnsi="楷体" w:eastAsia="楷体" w:cs="楷体"/>
          <w:b/>
          <w:bCs/>
          <w:sz w:val="32"/>
          <w:szCs w:val="32"/>
        </w:rPr>
        <w:t>（一）经批复的预、决算情况</w:t>
      </w:r>
      <w:r>
        <w:rPr>
          <w:rFonts w:hint="eastAsia" w:ascii="楷体" w:hAnsi="楷体" w:eastAsia="楷体" w:cs="楷体"/>
          <w:b/>
          <w:bCs/>
          <w:sz w:val="32"/>
          <w:szCs w:val="32"/>
          <w:lang w:eastAsia="zh-CN"/>
        </w:rPr>
        <w:t>：</w:t>
      </w:r>
      <w:r>
        <w:rPr>
          <w:rFonts w:hint="eastAsia" w:ascii="仿宋" w:hAnsi="仿宋" w:eastAsia="仿宋" w:cs="仿宋"/>
          <w:color w:val="434343"/>
          <w:sz w:val="32"/>
          <w:szCs w:val="32"/>
          <w:vertAlign w:val="baseline"/>
        </w:rPr>
        <w:t>1</w:t>
      </w:r>
      <w:r>
        <w:rPr>
          <w:rFonts w:hint="eastAsia" w:ascii="仿宋" w:hAnsi="仿宋" w:eastAsia="仿宋" w:cs="仿宋"/>
          <w:bCs/>
          <w:kern w:val="2"/>
          <w:sz w:val="32"/>
          <w:szCs w:val="32"/>
          <w:lang w:val="en-US" w:eastAsia="zh-CN" w:bidi="ar-SA"/>
        </w:rPr>
        <w:t>.本年一般公共财政预算拨款收入2220182.99元，财政拨款支出1587586.99元。结余632596元。 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2.公用经费：财政预算拨款528284.02元，实际支出528384.02元。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 3.三公经费：三公经费预算指标控制数4000元，实际支出1119元。其中：①公务接待费预算指标控制数4000元，支出922元；②无公车运行费预算收支；③无出国出境预算收支。 </w:t>
      </w:r>
    </w:p>
    <w:p>
      <w:pPr>
        <w:widowControl/>
        <w:spacing w:line="600" w:lineRule="exact"/>
        <w:ind w:firstLine="645"/>
        <w:jc w:val="left"/>
        <w:rPr>
          <w:rFonts w:hint="eastAsia" w:ascii="楷体" w:hAnsi="楷体" w:eastAsia="楷体" w:cs="楷体"/>
          <w:b/>
          <w:bCs/>
          <w:sz w:val="32"/>
          <w:szCs w:val="32"/>
          <w:lang w:eastAsia="zh-CN"/>
        </w:rPr>
      </w:pP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1.人员经费支出1001697.97元。包括在职人员工资福利支出；政策规定发放的补贴及奖金；社会保障缴费。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日常公用经费支出528384.02元。包括三公经费（公务接待、其他交通运行、出国出镜）费用；以及办公费、印刷费、邮寄网络电话费、差旅费、工会经费以及其他商品服务支出。其中：①公务接待费主要用于上级来邵阳县督察工作，兄弟县、市经验交流，本市各部门、乡镇汇报工作、递交资料等接待。②其他交通运行费主要用于业务需要租车等支出；③无出国出境预算收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3.对个人和家庭的补助支出4917.17元。主要指退休费支出，用于财政发退休人员退休金、住房公积金、购房补贴、医疗费等支出。</w:t>
      </w:r>
    </w:p>
    <w:p>
      <w:pPr>
        <w:widowControl/>
        <w:spacing w:line="600" w:lineRule="exact"/>
        <w:ind w:firstLine="645"/>
        <w:jc w:val="left"/>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2.项目支出情况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1.2023年财政预算拨款：业务工作经费收入770000元。其中：《扶贫志》200000元、党史联络170000元、党史正本第三卷编纂300000元、《年鉴》编纂100000元。</w:t>
      </w:r>
    </w:p>
    <w:p>
      <w:pPr>
        <w:widowControl/>
        <w:spacing w:line="600" w:lineRule="exact"/>
        <w:ind w:firstLine="645"/>
        <w:jc w:val="left"/>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2.2023年业务工作经费拨款支出770000元。①党史含党史联络工作、资料征集、《年鉴》编纂、《扶贫志》编纂、《党史正本第三卷》编纂支出用于日常办公费、差旅费、走访、租车费、订阅《湘潮》杂志、打字复印费、印刷费、书号费、聘请人员工资等支出；②地方志含《邵阳县年鉴》、《扶贫志志》经费支出用于文字资料收集、图片资料收集、收集资料的差旅费、租车费、打字复印办公费、聘请人员工资、公务接待、出版等。以上支出作为综合支出全部列入人员经费和公用经费支出。</w:t>
      </w:r>
    </w:p>
    <w:p>
      <w:pPr>
        <w:widowControl/>
        <w:spacing w:line="600" w:lineRule="exact"/>
        <w:ind w:firstLine="645"/>
        <w:jc w:val="left"/>
        <w:rPr>
          <w:rFonts w:hint="eastAsia" w:ascii="仿宋" w:hAnsi="仿宋" w:eastAsia="仿宋" w:cs="仿宋"/>
          <w:bCs/>
          <w:kern w:val="2"/>
          <w:sz w:val="32"/>
          <w:szCs w:val="32"/>
          <w:lang w:val="en-US" w:eastAsia="zh-CN" w:bidi="ar-SA"/>
        </w:rPr>
      </w:pPr>
      <w:r>
        <w:rPr>
          <w:rFonts w:hint="eastAsia" w:ascii="楷体" w:hAnsi="楷体" w:eastAsia="楷体" w:cs="楷体"/>
          <w:b/>
          <w:bCs/>
          <w:sz w:val="32"/>
          <w:szCs w:val="32"/>
        </w:rPr>
        <w:t>（三）"三公"经费使用和管理情况</w:t>
      </w:r>
      <w:r>
        <w:rPr>
          <w:rFonts w:hint="eastAsia" w:ascii="楷体" w:hAnsi="楷体" w:eastAsia="楷体" w:cs="楷体"/>
          <w:b/>
          <w:bCs/>
          <w:sz w:val="32"/>
          <w:szCs w:val="32"/>
          <w:lang w:eastAsia="zh-CN"/>
        </w:rPr>
        <w:t>：</w:t>
      </w:r>
      <w:r>
        <w:rPr>
          <w:rFonts w:hint="eastAsia" w:ascii="仿宋" w:hAnsi="仿宋" w:eastAsia="仿宋" w:cs="仿宋"/>
          <w:bCs/>
          <w:kern w:val="2"/>
          <w:sz w:val="32"/>
          <w:szCs w:val="32"/>
          <w:lang w:val="en-US" w:eastAsia="zh-CN" w:bidi="ar-SA"/>
        </w:rPr>
        <w:t>三公经费：三公经费预算指标控制数4000元，实际支出1119元。其中：①公务接待费预算指标控制数4000元，支出922元；②无公车运行费预算收支；③无出国出境预算收支。</w:t>
      </w:r>
    </w:p>
    <w:p>
      <w:pPr>
        <w:widowControl/>
        <w:spacing w:line="600" w:lineRule="exact"/>
        <w:ind w:firstLine="645"/>
        <w:jc w:val="left"/>
        <w:rPr>
          <w:rFonts w:hint="default" w:ascii="仿宋" w:hAnsi="仿宋" w:eastAsia="仿宋" w:cs="仿宋"/>
          <w:color w:val="434343"/>
          <w:sz w:val="32"/>
          <w:szCs w:val="32"/>
          <w:vertAlign w:val="baseline"/>
          <w:lang w:val="en-US" w:eastAsia="zh-CN"/>
        </w:rPr>
      </w:pPr>
      <w:r>
        <w:rPr>
          <w:rFonts w:hint="eastAsia" w:ascii="楷体" w:hAnsi="楷体" w:eastAsia="楷体" w:cs="楷体"/>
          <w:b/>
          <w:bCs/>
          <w:sz w:val="32"/>
          <w:szCs w:val="32"/>
        </w:rPr>
        <w:t>（四）资金结转和结余情况</w:t>
      </w:r>
      <w:r>
        <w:rPr>
          <w:rFonts w:hint="eastAsia" w:ascii="楷体" w:hAnsi="楷体" w:eastAsia="楷体" w:cs="楷体"/>
          <w:b/>
          <w:bCs/>
          <w:sz w:val="32"/>
          <w:szCs w:val="32"/>
          <w:lang w:eastAsia="zh-CN"/>
        </w:rPr>
        <w:t>：</w:t>
      </w:r>
      <w:r>
        <w:rPr>
          <w:rFonts w:hint="eastAsia" w:ascii="仿宋" w:hAnsi="仿宋" w:eastAsia="仿宋" w:cs="仿宋"/>
          <w:bCs/>
          <w:kern w:val="2"/>
          <w:sz w:val="32"/>
          <w:szCs w:val="32"/>
          <w:lang w:val="en-US" w:eastAsia="zh-CN" w:bidi="ar-SA"/>
        </w:rPr>
        <w:t>结转资金632596元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outlineLvl w:val="9"/>
        <w:rPr>
          <w:rFonts w:hint="eastAsia" w:ascii="仿宋" w:hAnsi="仿宋" w:eastAsia="仿宋" w:cs="仿宋"/>
          <w:color w:val="434343"/>
          <w:kern w:val="0"/>
          <w:sz w:val="32"/>
          <w:szCs w:val="32"/>
          <w:vertAlign w:val="baseline"/>
          <w:lang w:val="en-US" w:eastAsia="zh-CN" w:bidi="ar"/>
        </w:rPr>
      </w:pPr>
      <w:r>
        <w:rPr>
          <w:rFonts w:hint="eastAsia" w:ascii="楷体" w:hAnsi="楷体" w:eastAsia="楷体" w:cs="楷体"/>
          <w:b/>
          <w:bCs/>
          <w:sz w:val="32"/>
          <w:szCs w:val="32"/>
        </w:rPr>
        <w:t>（五）部门整体支出管理与制度建设情况</w:t>
      </w:r>
      <w:r>
        <w:rPr>
          <w:rFonts w:hint="eastAsia" w:ascii="楷体" w:hAnsi="楷体" w:eastAsia="楷体" w:cs="楷体"/>
          <w:b/>
          <w:bCs/>
          <w:sz w:val="32"/>
          <w:szCs w:val="32"/>
          <w:lang w:eastAsia="zh-CN"/>
        </w:rPr>
        <w:t>：</w:t>
      </w:r>
      <w:r>
        <w:rPr>
          <w:rFonts w:hint="eastAsia" w:ascii="仿宋" w:hAnsi="仿宋" w:eastAsia="仿宋" w:cs="仿宋"/>
          <w:bCs/>
          <w:kern w:val="2"/>
          <w:sz w:val="32"/>
          <w:szCs w:val="32"/>
          <w:lang w:val="en-US" w:eastAsia="zh-CN" w:bidi="ar-SA"/>
        </w:rPr>
        <w:t>整体支出绩效情况良好。除保正常的运转外，我室积极推动了重点工作的开展：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根据省市布局组稿编纂《邵阳县扶贫志》，5.19日召开全县第一次扶贫志编纂工作推进会，会议邀请副县长罗杰、政府办主任刘纯红上台发言。6.29日，扶贫志编撰委员会分成两组去各单位督查扶贫志编撰工作进程确保各单位扶贫志编撰工作人员、资金落实到位。目前大部分单位已完成资料收集工作、资料框架，计划在12月底初出样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2.组织编写《中国共产党邵阳县历史第三卷（1979～2012）》。收集整理100余万字的原始资料，拟写初稿40余万字，初稿完成率达80%，预计年底前形成初稿。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3.编辑出版《夫夷史苑》。重新核发准印证，向县财政争取编纂工作经费6万元。现第一辑已发行，刊载了地方资料文章20余篇10万余字，第二辑正在排版印刷中。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4.修改完善《邵阳县脱贫攻坚口述史》，向财政争取编纂经费16.8万元，目前该书正在走公开出版送审程序。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5.公开出版发行《天子湖故事》1500册。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6.持续考证红军24师政委杨英籍贯。组织人员到江西、广西、长沙等地收集红军24师政委杨英史料，并出具了《关于红军独立二十四师原政委杨英同志考究情况报告》。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7.审看电影《烽火塘田》，并提出史料修改建议9条。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8.收集整理邵阳县“10·15”疫情处置工作文稿17篇，文字30余万字。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9.组织编纂《邵阳县年鉴（2023）》，该书彩页40面，文字78万字，年底可公开出版发行。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10.成功创办塘田战时讲学院旧址全省党史教育基地，并举行了高规格的挂牌仪式。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二、完成上级布置任务情况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1.完成2023年邵阳市委工作纪事组稿任务。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2.完成《邵阳县部分红军人物资料》专题征编任务。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3.完成《从建党百年伟业中汲取前进智慧和力量》《智慧赋能防溺水，护航安全助成长》《全面落实党政同责，全力保障粮食安全》《构建全产业链，推动油茶产业高质量发展》等4篇党史专题文稿。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4.完成贺绿汀学术研讨会征文1篇（《贺绿汀早年战士风范探究》）。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5.完成《湘潮》杂志征订任务。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default" w:ascii="仿宋" w:hAnsi="仿宋" w:eastAsia="仿宋" w:cs="仿宋"/>
          <w:sz w:val="52"/>
          <w:szCs w:val="52"/>
          <w:lang w:val="en-US" w:eastAsia="zh-CN"/>
        </w:rPr>
      </w:pPr>
      <w:r>
        <w:rPr>
          <w:rFonts w:hint="eastAsia" w:ascii="仿宋" w:hAnsi="仿宋" w:eastAsia="仿宋" w:cs="仿宋"/>
          <w:sz w:val="32"/>
          <w:szCs w:val="32"/>
          <w:lang w:val="en-US" w:eastAsia="zh-CN"/>
        </w:rPr>
        <w:t>6.做好二次省市党史联络组调研接待工作，接待人次20余次。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三、党史联络工作开展情况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1.组织党史联络组成员开展了“一颗红心跟党走”考察学习活动，瞻仰了郴州沙洲村“半条被子的温暖专题陈列馆”、“茶陵县工农兵政府旧址”、攸县“谭震林生平业绩陈列室”和衡山“罗荣恒纪念馆”。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组织指导联络组成员撰写了一批党史论文，其中《吕振羽同南京“联合抗日”的第一场秘密谈判及其历史贡献》《“南方抗大”践行统一战线思想的历史启示与时代价值》《吕振羽的家国情怀与廉洁品质》入选“吕振羽与马克思主义史学”学术研讨会论文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3.启动编纂《塘田风云》，该书设史实篇、研究篇、人物篇三篇，预计30万字，拟做为《烽火塘田》的姊妹篇，于2024年公开出版，助推邵阳县文旅事业发展。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所有的固定资产由人秘股统一抄册登记，按照“谁使用、谁负责”的原则，一年一次盘点，使用人在登记卡上签字确认。如果有到期限不能使用的资产，报请室领导同意方可处置或更换，资产固定资处置费统一缴入财政专户。</w:t>
      </w:r>
    </w:p>
    <w:p>
      <w:pPr>
        <w:widowControl/>
        <w:spacing w:line="600" w:lineRule="exact"/>
        <w:ind w:firstLine="645"/>
        <w:jc w:val="left"/>
        <w:rPr>
          <w:rFonts w:hint="default" w:ascii="仿宋" w:hAnsi="仿宋" w:eastAsia="仿宋" w:cs="仿宋"/>
          <w:bCs/>
          <w:kern w:val="2"/>
          <w:sz w:val="32"/>
          <w:szCs w:val="32"/>
          <w:lang w:val="en-US" w:eastAsia="zh-CN" w:bidi="ar-SA"/>
        </w:rPr>
      </w:pPr>
      <w:r>
        <w:rPr>
          <w:rFonts w:hint="eastAsia" w:eastAsia="黑体"/>
          <w:sz w:val="32"/>
          <w:szCs w:val="32"/>
        </w:rPr>
        <w:t>三、政府性基金预算支出情况</w:t>
      </w:r>
      <w:r>
        <w:rPr>
          <w:rFonts w:hint="eastAsia" w:eastAsia="黑体"/>
          <w:sz w:val="32"/>
          <w:szCs w:val="32"/>
          <w:lang w:eastAsia="zh-CN"/>
        </w:rPr>
        <w:t>：</w:t>
      </w:r>
      <w:r>
        <w:rPr>
          <w:rFonts w:hint="eastAsia" w:ascii="仿宋" w:hAnsi="仿宋" w:eastAsia="仿宋" w:cs="仿宋"/>
          <w:bCs/>
          <w:kern w:val="2"/>
          <w:sz w:val="32"/>
          <w:szCs w:val="32"/>
          <w:lang w:val="en-US" w:eastAsia="zh-CN" w:bidi="ar-SA"/>
        </w:rPr>
        <w:t>无政府性基金预算</w:t>
      </w:r>
    </w:p>
    <w:p>
      <w:pPr>
        <w:widowControl/>
        <w:spacing w:line="600" w:lineRule="exact"/>
        <w:ind w:firstLine="645"/>
        <w:jc w:val="left"/>
        <w:rPr>
          <w:rFonts w:hint="eastAsia" w:ascii="仿宋" w:hAnsi="仿宋" w:eastAsia="仿宋" w:cs="仿宋"/>
          <w:bCs/>
          <w:kern w:val="2"/>
          <w:sz w:val="32"/>
          <w:szCs w:val="32"/>
          <w:lang w:val="en-US" w:eastAsia="zh-CN" w:bidi="ar-SA"/>
        </w:rPr>
      </w:pPr>
      <w:r>
        <w:rPr>
          <w:rFonts w:hint="eastAsia" w:eastAsia="黑体"/>
          <w:sz w:val="32"/>
          <w:szCs w:val="32"/>
        </w:rPr>
        <w:t>四、国有资本经营预算支出情况</w:t>
      </w:r>
      <w:r>
        <w:rPr>
          <w:rFonts w:hint="eastAsia" w:eastAsia="黑体"/>
          <w:sz w:val="32"/>
          <w:szCs w:val="32"/>
          <w:lang w:eastAsia="zh-CN"/>
        </w:rPr>
        <w:t>：</w:t>
      </w:r>
      <w:r>
        <w:rPr>
          <w:rFonts w:hint="eastAsia" w:ascii="仿宋" w:hAnsi="仿宋" w:eastAsia="仿宋" w:cs="仿宋"/>
          <w:bCs/>
          <w:kern w:val="2"/>
          <w:sz w:val="32"/>
          <w:szCs w:val="32"/>
          <w:lang w:val="en-US" w:eastAsia="zh-CN" w:bidi="ar-SA"/>
        </w:rPr>
        <w:t>无国有资本经营预算</w:t>
      </w:r>
    </w:p>
    <w:p>
      <w:pPr>
        <w:widowControl/>
        <w:spacing w:line="600" w:lineRule="exact"/>
        <w:ind w:firstLine="645"/>
        <w:jc w:val="left"/>
        <w:rPr>
          <w:rFonts w:hint="eastAsia" w:ascii="仿宋" w:hAnsi="仿宋" w:eastAsia="仿宋" w:cs="仿宋"/>
          <w:bCs/>
          <w:kern w:val="2"/>
          <w:sz w:val="32"/>
          <w:szCs w:val="32"/>
          <w:lang w:val="en-US" w:eastAsia="zh-CN" w:bidi="ar-SA"/>
        </w:rPr>
      </w:pPr>
      <w:r>
        <w:rPr>
          <w:rFonts w:hint="eastAsia" w:eastAsia="黑体"/>
          <w:sz w:val="32"/>
          <w:szCs w:val="32"/>
        </w:rPr>
        <w:t>五、社会保险基金预算支出情况</w:t>
      </w:r>
      <w:r>
        <w:rPr>
          <w:rFonts w:hint="eastAsia" w:eastAsia="黑体"/>
          <w:sz w:val="32"/>
          <w:szCs w:val="32"/>
          <w:lang w:eastAsia="zh-CN"/>
        </w:rPr>
        <w:t>：</w:t>
      </w:r>
      <w:r>
        <w:rPr>
          <w:rFonts w:hint="eastAsia" w:ascii="仿宋" w:hAnsi="仿宋" w:eastAsia="仿宋" w:cs="仿宋"/>
          <w:bCs/>
          <w:kern w:val="2"/>
          <w:sz w:val="32"/>
          <w:szCs w:val="32"/>
          <w:lang w:val="en-US" w:eastAsia="zh-CN" w:bidi="ar-SA"/>
        </w:rPr>
        <w:t>无社会保险基金预算</w:t>
      </w:r>
    </w:p>
    <w:p>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（一）综合评价结论。</w:t>
      </w:r>
      <w:r>
        <w:rPr>
          <w:rFonts w:hint="eastAsia" w:eastAsia="仿宋_GB2312"/>
          <w:sz w:val="32"/>
          <w:szCs w:val="32"/>
        </w:rPr>
        <w:t>反映自评得分及评价等级。</w:t>
      </w:r>
    </w:p>
    <w:p>
      <w:pPr>
        <w:widowControl/>
        <w:spacing w:line="600" w:lineRule="exact"/>
        <w:ind w:firstLine="645"/>
        <w:jc w:val="left"/>
        <w:rPr>
          <w:rFonts w:hint="eastAsia" w:eastAsia="黑体"/>
          <w:sz w:val="32"/>
          <w:szCs w:val="32"/>
        </w:rPr>
      </w:pPr>
      <w:r>
        <w:rPr>
          <w:rFonts w:hint="eastAsia" w:ascii="楷体" w:hAnsi="楷体" w:eastAsia="楷体" w:cs="楷体"/>
          <w:b/>
          <w:bCs/>
          <w:sz w:val="32"/>
          <w:szCs w:val="32"/>
        </w:rPr>
        <w:t>（二）评价指标分析（或综合评价情况）。</w:t>
      </w:r>
      <w:r>
        <w:rPr>
          <w:rFonts w:hint="eastAsia" w:eastAsia="仿宋_GB2312"/>
          <w:sz w:val="32"/>
          <w:szCs w:val="32"/>
        </w:rPr>
        <w:t>围绕部门职责、行业发展规划，以预算资金管理为主线，从整体绩效目标设定、预算配置、预算执行、预算管理、资产管理、职责履行、履职效益等方面综合分析。总结归纳本部门</w:t>
      </w:r>
      <w:r>
        <w:rPr>
          <w:rFonts w:hint="eastAsia" w:eastAsia="仿宋_GB2312"/>
          <w:sz w:val="32"/>
          <w:szCs w:val="32"/>
          <w:lang w:eastAsia="zh-CN"/>
        </w:rPr>
        <w:t>“</w:t>
      </w:r>
      <w:r>
        <w:rPr>
          <w:rFonts w:hint="eastAsia" w:eastAsia="仿宋_GB2312"/>
          <w:sz w:val="32"/>
          <w:szCs w:val="32"/>
        </w:rPr>
        <w:t>四本预算</w:t>
      </w:r>
      <w:r>
        <w:rPr>
          <w:rFonts w:hint="eastAsia" w:eastAsia="仿宋_GB2312"/>
          <w:sz w:val="32"/>
          <w:szCs w:val="32"/>
          <w:lang w:eastAsia="zh-CN"/>
        </w:rPr>
        <w:t>”</w:t>
      </w:r>
      <w:r>
        <w:rPr>
          <w:rFonts w:hint="eastAsia" w:eastAsia="仿宋_GB2312"/>
          <w:sz w:val="32"/>
          <w:szCs w:val="32"/>
        </w:rPr>
        <w:t>支出的绩效目标完成情况，实现产出和取得效益的情况。</w:t>
      </w:r>
    </w:p>
    <w:p>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pPr>
        <w:widowControl/>
        <w:spacing w:line="600" w:lineRule="exact"/>
        <w:ind w:firstLine="645"/>
        <w:jc w:val="left"/>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由于财政预算拨款不能弥补实际支出，特别是联村帮扶乡村振兴以及参与“三城”同创、疫情防控和扫黑除恶等等中心工作、绩效奖等，县财政没有预算工作经费，而这些工作经费只能从其他经费中挤占，因此造成专项业务费支出账务处理时相互调配使用，没有体现各项业务支出明细，只是作为综合支出核算。</w:t>
      </w:r>
    </w:p>
    <w:p>
      <w:pPr>
        <w:widowControl/>
        <w:numPr>
          <w:ilvl w:val="0"/>
          <w:numId w:val="1"/>
        </w:numPr>
        <w:spacing w:line="600" w:lineRule="exact"/>
        <w:ind w:firstLine="645"/>
        <w:jc w:val="left"/>
        <w:rPr>
          <w:rFonts w:hint="eastAsia" w:eastAsia="黑体"/>
          <w:sz w:val="32"/>
          <w:szCs w:val="32"/>
        </w:rPr>
      </w:pPr>
      <w:r>
        <w:rPr>
          <w:rFonts w:hint="eastAsia" w:eastAsia="黑体"/>
          <w:sz w:val="32"/>
          <w:szCs w:val="32"/>
        </w:rPr>
        <w:t>下一步改进措施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2.在日常预算管理过程中，进一步加强预算支出的审核跟踪及预算执行情况分析。 </w:t>
      </w:r>
    </w:p>
    <w:p>
      <w:pPr>
        <w:pStyle w:val="2"/>
        <w:numPr>
          <w:ilvl w:val="0"/>
          <w:numId w:val="0"/>
        </w:numPr>
        <w:rPr>
          <w:rFonts w:hint="eastAsia"/>
        </w:rPr>
      </w:pPr>
    </w:p>
    <w:p>
      <w:pPr>
        <w:widowControl/>
        <w:spacing w:line="560" w:lineRule="exact"/>
        <w:ind w:firstLine="640" w:firstLineChars="200"/>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投入</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14</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目标</w:t>
            </w:r>
            <w:r>
              <w:rPr>
                <w:rStyle w:val="14"/>
                <w:rFonts w:eastAsia="宋体"/>
                <w:lang w:val="en-US" w:eastAsia="zh-CN" w:bidi="ar"/>
              </w:rPr>
              <w:br w:type="textWrapping"/>
            </w:r>
            <w:r>
              <w:rPr>
                <w:rStyle w:val="13"/>
                <w:lang w:val="en-US" w:eastAsia="zh-CN" w:bidi="ar"/>
              </w:rPr>
              <w:t>设定</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w:t>
            </w:r>
            <w:r>
              <w:rPr>
                <w:rStyle w:val="14"/>
                <w:rFonts w:eastAsia="宋体"/>
                <w:lang w:val="en-US" w:eastAsia="zh-CN" w:bidi="ar"/>
              </w:rPr>
              <w:br w:type="textWrapping"/>
            </w:r>
            <w:r>
              <w:rPr>
                <w:rStyle w:val="13"/>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①是否符合国家法律法规、国民经济和社会发展总体规划；</w:t>
            </w:r>
            <w:r>
              <w:rPr>
                <w:rStyle w:val="14"/>
                <w:rFonts w:eastAsia="宋体"/>
                <w:lang w:val="en-US" w:eastAsia="zh-CN" w:bidi="ar"/>
              </w:rPr>
              <w:br w:type="textWrapping"/>
            </w:r>
            <w:r>
              <w:rPr>
                <w:rStyle w:val="13"/>
                <w:lang w:val="en-US" w:eastAsia="zh-CN" w:bidi="ar"/>
              </w:rPr>
              <w:t>②是否符合部门</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方案确定的职责；</w:t>
            </w:r>
            <w:r>
              <w:rPr>
                <w:rStyle w:val="14"/>
                <w:rFonts w:eastAsia="宋体"/>
                <w:lang w:val="en-US" w:eastAsia="zh-CN" w:bidi="ar"/>
              </w:rPr>
              <w:br w:type="textWrapping"/>
            </w:r>
            <w:r>
              <w:rPr>
                <w:rStyle w:val="13"/>
                <w:lang w:val="en-US" w:eastAsia="zh-CN" w:bidi="ar"/>
              </w:rPr>
              <w:t>③是否符合部门制定的中长期实施规划。</w:t>
            </w:r>
            <w:r>
              <w:rPr>
                <w:rStyle w:val="14"/>
                <w:rFonts w:eastAsia="宋体"/>
                <w:lang w:val="en-US" w:eastAsia="zh-CN" w:bidi="ar"/>
              </w:rPr>
              <w:br w:type="textWrapping"/>
            </w:r>
            <w:r>
              <w:rPr>
                <w:rStyle w:val="13"/>
                <w:lang w:val="en-US" w:eastAsia="zh-CN" w:bidi="ar"/>
              </w:rPr>
              <w:t>以上各项每发现一起不符合要求扣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方案；部门职责；部门制定的中长期实施规划等。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绩效指标</w:t>
            </w:r>
            <w:r>
              <w:rPr>
                <w:rStyle w:val="14"/>
                <w:rFonts w:eastAsia="宋体"/>
                <w:lang w:val="en-US" w:eastAsia="zh-CN" w:bidi="ar"/>
              </w:rPr>
              <w:br w:type="textWrapping"/>
            </w:r>
            <w:r>
              <w:rPr>
                <w:rStyle w:val="13"/>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①有目标，计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②目标明确，细化量化良好，个性指标中量化指标超过</w:t>
            </w:r>
            <w:r>
              <w:rPr>
                <w:rStyle w:val="14"/>
                <w:rFonts w:eastAsia="宋体"/>
                <w:lang w:val="en-US" w:eastAsia="zh-CN" w:bidi="ar"/>
              </w:rPr>
              <w:t>3</w:t>
            </w:r>
            <w:r>
              <w:rPr>
                <w:rStyle w:val="13"/>
                <w:lang w:val="en-US" w:eastAsia="zh-CN" w:bidi="ar"/>
              </w:rPr>
              <w:t>个，计</w:t>
            </w:r>
            <w:r>
              <w:rPr>
                <w:rStyle w:val="14"/>
                <w:rFonts w:eastAsia="宋体"/>
                <w:lang w:val="en-US" w:eastAsia="zh-CN" w:bidi="ar"/>
              </w:rPr>
              <w:t>1</w:t>
            </w:r>
            <w:r>
              <w:rPr>
                <w:rStyle w:val="13"/>
                <w:lang w:val="en-US" w:eastAsia="zh-CN" w:bidi="ar"/>
              </w:rPr>
              <w:t>分，量化指标为</w:t>
            </w:r>
            <w:r>
              <w:rPr>
                <w:rStyle w:val="14"/>
                <w:rFonts w:eastAsia="宋体"/>
                <w:lang w:val="en-US" w:eastAsia="zh-CN" w:bidi="ar"/>
              </w:rPr>
              <w:t>2</w:t>
            </w:r>
            <w:r>
              <w:rPr>
                <w:rStyle w:val="13"/>
                <w:lang w:val="en-US" w:eastAsia="zh-CN" w:bidi="ar"/>
              </w:rPr>
              <w:t>个，计</w:t>
            </w:r>
            <w:r>
              <w:rPr>
                <w:rStyle w:val="14"/>
                <w:rFonts w:eastAsia="宋体"/>
                <w:lang w:val="en-US" w:eastAsia="zh-CN" w:bidi="ar"/>
              </w:rPr>
              <w:t>0.5</w:t>
            </w:r>
            <w:r>
              <w:rPr>
                <w:rStyle w:val="13"/>
                <w:lang w:val="en-US" w:eastAsia="zh-CN" w:bidi="ar"/>
              </w:rPr>
              <w:t>分，</w:t>
            </w:r>
            <w:r>
              <w:rPr>
                <w:rStyle w:val="14"/>
                <w:rFonts w:eastAsia="宋体"/>
                <w:lang w:val="en-US" w:eastAsia="zh-CN" w:bidi="ar"/>
              </w:rPr>
              <w:t>2</w:t>
            </w:r>
            <w:r>
              <w:rPr>
                <w:rStyle w:val="13"/>
                <w:lang w:val="en-US" w:eastAsia="zh-CN" w:bidi="ar"/>
              </w:rPr>
              <w:t>个以下不得分；</w:t>
            </w:r>
            <w:r>
              <w:rPr>
                <w:rStyle w:val="14"/>
                <w:rFonts w:eastAsia="宋体"/>
                <w:lang w:val="en-US" w:eastAsia="zh-CN" w:bidi="ar"/>
              </w:rPr>
              <w:br w:type="textWrapping"/>
            </w:r>
            <w:r>
              <w:rPr>
                <w:rStyle w:val="13"/>
                <w:lang w:val="en-US" w:eastAsia="zh-CN" w:bidi="ar"/>
              </w:rPr>
              <w:t>③与年度任务数或计划数相对应，计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50%</w:t>
            </w:r>
            <w:r>
              <w:rPr>
                <w:rStyle w:val="13"/>
                <w:lang w:val="en-US" w:eastAsia="zh-CN" w:bidi="ar"/>
              </w:rPr>
              <w:t>计</w:t>
            </w:r>
            <w:r>
              <w:rPr>
                <w:rStyle w:val="14"/>
                <w:rFonts w:eastAsia="宋体"/>
                <w:lang w:val="en-US" w:eastAsia="zh-CN" w:bidi="ar"/>
              </w:rPr>
              <w:t>0.5</w:t>
            </w:r>
            <w:r>
              <w:rPr>
                <w:rStyle w:val="13"/>
                <w:lang w:val="en-US" w:eastAsia="zh-CN" w:bidi="ar"/>
              </w:rPr>
              <w:t>分，对应低于</w:t>
            </w:r>
            <w:r>
              <w:rPr>
                <w:rStyle w:val="14"/>
                <w:rFonts w:eastAsia="宋体"/>
                <w:lang w:val="en-US" w:eastAsia="zh-CN" w:bidi="ar"/>
              </w:rPr>
              <w:t>50%</w:t>
            </w:r>
            <w:r>
              <w:rPr>
                <w:rStyle w:val="13"/>
                <w:lang w:val="en-US" w:eastAsia="zh-CN" w:bidi="ar"/>
              </w:rPr>
              <w:t>不计分；</w:t>
            </w:r>
            <w:r>
              <w:rPr>
                <w:rStyle w:val="14"/>
                <w:rFonts w:eastAsia="宋体"/>
                <w:lang w:val="en-US" w:eastAsia="zh-CN" w:bidi="ar"/>
              </w:rPr>
              <w:br w:type="textWrapping"/>
            </w:r>
            <w:r>
              <w:rPr>
                <w:rStyle w:val="13"/>
                <w:lang w:val="en-US" w:eastAsia="zh-CN" w:bidi="ar"/>
              </w:rPr>
              <w:t>④目标与资金匹配良好，逻辑关系明确，计</w:t>
            </w:r>
            <w:r>
              <w:rPr>
                <w:rStyle w:val="14"/>
                <w:rFonts w:eastAsia="宋体"/>
                <w:lang w:val="en-US" w:eastAsia="zh-CN" w:bidi="ar"/>
              </w:rPr>
              <w:t>1</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配置</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人员</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w:t>
            </w:r>
            <w:r>
              <w:rPr>
                <w:rStyle w:val="13"/>
                <w:lang w:val="en-US" w:eastAsia="zh-CN" w:bidi="ar"/>
              </w:rPr>
              <w:t>（在职人员数</w:t>
            </w:r>
            <w:r>
              <w:rPr>
                <w:rStyle w:val="14"/>
                <w:rFonts w:eastAsia="宋体"/>
                <w:lang w:val="en-US" w:eastAsia="zh-CN" w:bidi="ar"/>
              </w:rPr>
              <w:t>/</w:t>
            </w:r>
            <w:r>
              <w:rPr>
                <w:rStyle w:val="13"/>
                <w:lang w:val="en-US" w:eastAsia="zh-CN" w:bidi="ar"/>
              </w:rPr>
              <w:t>编制数）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在职人员数：部门（单位）实际在职人数</w:t>
            </w:r>
            <w:r>
              <w:rPr>
                <w:rStyle w:val="14"/>
                <w:rFonts w:eastAsia="宋体"/>
                <w:lang w:val="en-US" w:eastAsia="zh-CN" w:bidi="ar"/>
              </w:rPr>
              <w:t>,</w:t>
            </w:r>
            <w:r>
              <w:rPr>
                <w:rStyle w:val="13"/>
                <w:lang w:val="en-US" w:eastAsia="zh-CN" w:bidi="ar"/>
              </w:rPr>
              <w:t>以财政部门确定的部门决算编制口径为准。</w:t>
            </w:r>
            <w:r>
              <w:rPr>
                <w:rStyle w:val="14"/>
                <w:rFonts w:eastAsia="宋体"/>
                <w:lang w:val="en-US" w:eastAsia="zh-CN" w:bidi="ar"/>
              </w:rPr>
              <w:br w:type="textWrapping"/>
            </w:r>
            <w:r>
              <w:rPr>
                <w:rStyle w:val="13"/>
                <w:lang w:val="en-US" w:eastAsia="zh-CN" w:bidi="ar"/>
              </w:rPr>
              <w:t>编制数：机构编制部门核定批复的部门（单位）人员编制数。</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1%</w:t>
            </w:r>
            <w:r>
              <w:rPr>
                <w:rStyle w:val="13"/>
                <w:lang w:val="en-US" w:eastAsia="zh-CN" w:bidi="ar"/>
              </w:rPr>
              <w:t>扣</w:t>
            </w:r>
            <w:r>
              <w:rPr>
                <w:rStyle w:val="14"/>
                <w:rFonts w:eastAsia="宋体"/>
                <w:lang w:val="en-US" w:eastAsia="zh-CN" w:bidi="ar"/>
              </w:rPr>
              <w:t>0.2</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预算数与上年度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变动率</w:t>
            </w:r>
            <w:r>
              <w:rPr>
                <w:rStyle w:val="14"/>
                <w:rFonts w:eastAsia="宋体"/>
                <w:lang w:val="en-US" w:eastAsia="zh-CN" w:bidi="ar"/>
              </w:rPr>
              <w:t>=[</w:t>
            </w:r>
            <w:r>
              <w:rPr>
                <w:rStyle w:val="13"/>
                <w:lang w:val="en-US" w:eastAsia="zh-CN" w:bidi="ar"/>
              </w:rPr>
              <w:t>（本年度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]×100%</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：年度预算安排的因公出国（境）费、公务车辆购置及运行费和公务招待费。</w:t>
            </w:r>
            <w:r>
              <w:rPr>
                <w:rStyle w:val="14"/>
                <w:rFonts w:eastAsia="宋体"/>
                <w:lang w:val="en-US" w:eastAsia="zh-CN" w:bidi="ar"/>
              </w:rPr>
              <w:br w:type="textWrapping"/>
            </w:r>
            <w:r>
              <w:rPr>
                <w:rStyle w:val="13"/>
                <w:lang w:val="en-US" w:eastAsia="zh-CN" w:bidi="ar"/>
              </w:rPr>
              <w:t>该项得分，变动率为负数，计</w:t>
            </w:r>
            <w:r>
              <w:rPr>
                <w:rStyle w:val="14"/>
                <w:rFonts w:eastAsia="宋体"/>
                <w:lang w:val="en-US" w:eastAsia="zh-CN" w:bidi="ar"/>
              </w:rPr>
              <w:t>2</w:t>
            </w:r>
            <w:r>
              <w:rPr>
                <w:rStyle w:val="13"/>
                <w:lang w:val="en-US" w:eastAsia="zh-CN" w:bidi="ar"/>
              </w:rPr>
              <w:t>分，变动率为正数，计</w:t>
            </w:r>
            <w:r>
              <w:rPr>
                <w:rStyle w:val="14"/>
                <w:rFonts w:eastAsia="宋体"/>
                <w:lang w:val="en-US" w:eastAsia="zh-CN" w:bidi="ar"/>
              </w:rPr>
              <w:t>0</w:t>
            </w:r>
            <w:r>
              <w:rPr>
                <w:rStyle w:val="13"/>
                <w:lang w:val="en-US" w:eastAsia="zh-CN" w:bidi="ar"/>
              </w:rPr>
              <w:t>分。年度内</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完成数超过预算数，则该项计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本年度和上年度部门（单位）预算</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w:t>
            </w:r>
            <w:r>
              <w:rPr>
                <w:rStyle w:val="14"/>
                <w:rFonts w:eastAsia="宋体"/>
                <w:lang w:val="en-US" w:eastAsia="zh-CN" w:bidi="ar"/>
              </w:rPr>
              <w:br w:type="textWrapping"/>
            </w:r>
            <w:r>
              <w:rPr>
                <w:rStyle w:val="13"/>
                <w:lang w:val="en-US" w:eastAsia="zh-CN" w:bidi="ar"/>
              </w:rPr>
              <w:t>支出</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重点支出安排率</w:t>
            </w:r>
            <w:r>
              <w:rPr>
                <w:rStyle w:val="14"/>
                <w:rFonts w:eastAsia="宋体"/>
                <w:lang w:val="en-US" w:eastAsia="zh-CN" w:bidi="ar"/>
              </w:rPr>
              <w:t>=</w:t>
            </w:r>
            <w:r>
              <w:rPr>
                <w:rStyle w:val="13"/>
                <w:lang w:val="en-US" w:eastAsia="zh-CN" w:bidi="ar"/>
              </w:rPr>
              <w:t>（重点实际支出</w:t>
            </w:r>
            <w:r>
              <w:rPr>
                <w:rStyle w:val="14"/>
                <w:rFonts w:eastAsia="宋体"/>
                <w:lang w:val="en-US" w:eastAsia="zh-CN" w:bidi="ar"/>
              </w:rPr>
              <w:t>/</w:t>
            </w:r>
            <w:r>
              <w:rPr>
                <w:rStyle w:val="13"/>
                <w:lang w:val="en-US" w:eastAsia="zh-CN" w:bidi="ar"/>
              </w:rPr>
              <w:t>重点预算支出）</w:t>
            </w:r>
            <w:r>
              <w:rPr>
                <w:rStyle w:val="14"/>
                <w:rFonts w:eastAsia="宋体"/>
                <w:lang w:val="en-US" w:eastAsia="zh-CN" w:bidi="ar"/>
              </w:rPr>
              <w:t>×100%</w:t>
            </w:r>
            <w:r>
              <w:rPr>
                <w:rStyle w:val="13"/>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安排率</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5</w:t>
            </w:r>
            <w:r>
              <w:rPr>
                <w:rStyle w:val="13"/>
                <w:lang w:val="en-US" w:eastAsia="zh-CN" w:bidi="ar"/>
              </w:rPr>
              <w:t>%扣</w:t>
            </w:r>
            <w:r>
              <w:rPr>
                <w:rStyle w:val="14"/>
                <w:rFonts w:eastAsia="宋体"/>
                <w:lang w:val="en-US" w:eastAsia="zh-CN" w:bidi="ar"/>
              </w:rPr>
              <w:t>0.5</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w:t>
            </w:r>
            <w:r>
              <w:rPr>
                <w:rStyle w:val="14"/>
                <w:rFonts w:eastAsia="宋体"/>
                <w:lang w:val="en-US" w:eastAsia="zh-CN" w:bidi="ar"/>
              </w:rPr>
              <w:br w:type="textWrapping"/>
            </w:r>
            <w:r>
              <w:rPr>
                <w:rStyle w:val="13"/>
                <w:lang w:val="en-US" w:eastAsia="zh-CN" w:bidi="ar"/>
              </w:rPr>
              <w:t>收入</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非税收入完成率</w:t>
            </w:r>
            <w:r>
              <w:rPr>
                <w:rStyle w:val="14"/>
                <w:rFonts w:eastAsia="宋体"/>
                <w:lang w:val="en-US" w:eastAsia="zh-CN" w:bidi="ar"/>
              </w:rPr>
              <w:t>=</w:t>
            </w:r>
            <w:r>
              <w:rPr>
                <w:rStyle w:val="13"/>
                <w:lang w:val="en-US" w:eastAsia="zh-CN" w:bidi="ar"/>
              </w:rPr>
              <w:t>（非税实际收入完成数</w:t>
            </w:r>
            <w:r>
              <w:rPr>
                <w:rStyle w:val="14"/>
                <w:rFonts w:eastAsia="宋体"/>
                <w:lang w:val="en-US" w:eastAsia="zh-CN" w:bidi="ar"/>
              </w:rPr>
              <w:t>/</w:t>
            </w:r>
            <w:r>
              <w:rPr>
                <w:rStyle w:val="13"/>
                <w:lang w:val="en-US" w:eastAsia="zh-CN" w:bidi="ar"/>
              </w:rPr>
              <w:t>非税收入预算数）</w:t>
            </w:r>
            <w:r>
              <w:rPr>
                <w:rStyle w:val="14"/>
                <w:rFonts w:eastAsia="宋体"/>
                <w:lang w:val="en-US" w:eastAsia="zh-CN" w:bidi="ar"/>
              </w:rPr>
              <w:t>×100%</w:t>
            </w:r>
            <w:r>
              <w:rPr>
                <w:rStyle w:val="13"/>
                <w:lang w:val="en-US" w:eastAsia="zh-CN" w:bidi="ar"/>
              </w:rPr>
              <w:t>，有减免因素的，以财政事务中心确定的为准。</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过程</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47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w:t>
            </w:r>
            <w:r>
              <w:rPr>
                <w:rStyle w:val="14"/>
                <w:rFonts w:eastAsia="宋体"/>
                <w:lang w:val="en-US" w:eastAsia="zh-CN" w:bidi="ar"/>
              </w:rPr>
              <w:br w:type="textWrapping"/>
            </w:r>
            <w:r>
              <w:rPr>
                <w:rStyle w:val="14"/>
                <w:rFonts w:eastAsia="宋体"/>
                <w:lang w:val="en-US" w:eastAsia="zh-CN" w:bidi="ar"/>
              </w:rPr>
              <w:t>(13</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①预算执行率</w:t>
            </w:r>
            <w:r>
              <w:rPr>
                <w:rStyle w:val="14"/>
                <w:rFonts w:eastAsia="宋体"/>
                <w:lang w:val="en-US" w:eastAsia="zh-CN" w:bidi="ar"/>
              </w:rPr>
              <w:t>=</w:t>
            </w:r>
            <w:r>
              <w:rPr>
                <w:rStyle w:val="13"/>
                <w:lang w:val="en-US" w:eastAsia="zh-CN" w:bidi="ar"/>
              </w:rPr>
              <w:t>（预算完成数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预算执行数：部门（单位）本年度实际完成的预算数。</w:t>
            </w:r>
            <w:r>
              <w:rPr>
                <w:rStyle w:val="14"/>
                <w:rFonts w:eastAsia="宋体"/>
                <w:lang w:val="en-US" w:eastAsia="zh-CN" w:bidi="ar"/>
              </w:rPr>
              <w:br w:type="textWrapping"/>
            </w:r>
            <w:r>
              <w:rPr>
                <w:rStyle w:val="13"/>
                <w:lang w:val="en-US" w:eastAsia="zh-CN" w:bidi="ar"/>
              </w:rPr>
              <w:t>预算数：财政部门批复的本年度部门（单位）预算数及追加的预算数。</w:t>
            </w:r>
            <w:r>
              <w:rPr>
                <w:rStyle w:val="14"/>
                <w:rFonts w:eastAsia="宋体"/>
                <w:lang w:val="en-US" w:eastAsia="zh-CN" w:bidi="ar"/>
              </w:rPr>
              <w:br w:type="textWrapping"/>
            </w:r>
            <w:r>
              <w:rPr>
                <w:rStyle w:val="13"/>
                <w:lang w:val="en-US" w:eastAsia="zh-CN" w:bidi="ar"/>
              </w:rPr>
              <w:t>该项得分，全年预算执行率</w:t>
            </w:r>
            <w:r>
              <w:rPr>
                <w:rStyle w:val="14"/>
                <w:rFonts w:eastAsia="宋体"/>
                <w:lang w:val="en-US" w:eastAsia="zh-CN" w:bidi="ar"/>
              </w:rPr>
              <w:t>95%</w:t>
            </w:r>
            <w:r>
              <w:rPr>
                <w:rStyle w:val="13"/>
                <w:lang w:val="en-US" w:eastAsia="zh-CN" w:bidi="ar"/>
              </w:rPr>
              <w:t>以上计</w:t>
            </w:r>
            <w:r>
              <w:rPr>
                <w:rStyle w:val="14"/>
                <w:rFonts w:eastAsia="宋体"/>
                <w:lang w:val="en-US" w:eastAsia="zh-CN" w:bidi="ar"/>
              </w:rPr>
              <w:t>2</w:t>
            </w:r>
            <w:r>
              <w:rPr>
                <w:rStyle w:val="13"/>
                <w:lang w:val="en-US" w:eastAsia="zh-CN" w:bidi="ar"/>
              </w:rPr>
              <w:t>分，</w:t>
            </w:r>
            <w:r>
              <w:rPr>
                <w:rStyle w:val="14"/>
                <w:rFonts w:eastAsia="宋体"/>
                <w:lang w:val="en-US" w:eastAsia="zh-CN" w:bidi="ar"/>
              </w:rPr>
              <w:t>95-90%</w:t>
            </w:r>
            <w:r>
              <w:rPr>
                <w:rStyle w:val="13"/>
                <w:lang w:val="en-US" w:eastAsia="zh-CN" w:bidi="ar"/>
              </w:rPr>
              <w:t>（含），计</w:t>
            </w:r>
            <w:r>
              <w:rPr>
                <w:rStyle w:val="14"/>
                <w:rFonts w:eastAsia="宋体"/>
                <w:lang w:val="en-US" w:eastAsia="zh-CN" w:bidi="ar"/>
              </w:rPr>
              <w:t>1</w:t>
            </w:r>
            <w:r>
              <w:rPr>
                <w:rStyle w:val="13"/>
                <w:lang w:val="en-US" w:eastAsia="zh-CN" w:bidi="ar"/>
              </w:rPr>
              <w:t>分，</w:t>
            </w:r>
            <w:r>
              <w:rPr>
                <w:rStyle w:val="14"/>
                <w:rFonts w:eastAsia="宋体"/>
                <w:lang w:val="en-US" w:eastAsia="zh-CN" w:bidi="ar"/>
              </w:rPr>
              <w:t>90-80%</w:t>
            </w:r>
            <w:r>
              <w:rPr>
                <w:rStyle w:val="13"/>
                <w:lang w:val="en-US" w:eastAsia="zh-CN" w:bidi="ar"/>
              </w:rPr>
              <w:t>（含），计</w:t>
            </w:r>
            <w:r>
              <w:rPr>
                <w:rStyle w:val="14"/>
                <w:rFonts w:eastAsia="宋体"/>
                <w:lang w:val="en-US" w:eastAsia="zh-CN" w:bidi="ar"/>
              </w:rPr>
              <w:t>0.5</w:t>
            </w:r>
            <w:r>
              <w:rPr>
                <w:rStyle w:val="13"/>
                <w:lang w:val="en-US" w:eastAsia="zh-CN" w:bidi="ar"/>
              </w:rPr>
              <w:t>分，小于</w:t>
            </w:r>
            <w:r>
              <w:rPr>
                <w:rStyle w:val="14"/>
                <w:rFonts w:eastAsia="宋体"/>
                <w:lang w:val="en-US" w:eastAsia="zh-CN" w:bidi="ar"/>
              </w:rPr>
              <w:t>80%</w:t>
            </w:r>
            <w:r>
              <w:rPr>
                <w:rStyle w:val="13"/>
                <w:lang w:val="en-US" w:eastAsia="zh-CN" w:bidi="ar"/>
              </w:rPr>
              <w:t>不得分；</w:t>
            </w:r>
            <w:r>
              <w:rPr>
                <w:rStyle w:val="14"/>
                <w:rFonts w:eastAsia="宋体"/>
                <w:lang w:val="en-US" w:eastAsia="zh-CN" w:bidi="ar"/>
              </w:rPr>
              <w:br w:type="textWrapping"/>
            </w:r>
            <w:r>
              <w:rPr>
                <w:rStyle w:val="13"/>
                <w:lang w:val="en-US" w:eastAsia="zh-CN" w:bidi="ar"/>
              </w:rPr>
              <w:t>②绩效目标执行监控是否按要求完成。</w:t>
            </w:r>
            <w:r>
              <w:rPr>
                <w:rStyle w:val="14"/>
                <w:rFonts w:eastAsia="宋体"/>
                <w:lang w:val="en-US" w:eastAsia="zh-CN" w:bidi="ar"/>
              </w:rPr>
              <w:br w:type="textWrapping"/>
            </w:r>
            <w:r>
              <w:rPr>
                <w:rStyle w:val="13"/>
                <w:lang w:val="en-US" w:eastAsia="zh-CN" w:bidi="ar"/>
              </w:rPr>
              <w:t>该项得分，实施项目资金运行监控的得</w:t>
            </w:r>
            <w:r>
              <w:rPr>
                <w:rStyle w:val="14"/>
                <w:rFonts w:eastAsia="宋体"/>
                <w:lang w:val="en-US" w:eastAsia="zh-CN" w:bidi="ar"/>
              </w:rPr>
              <w:t>2</w:t>
            </w:r>
            <w:r>
              <w:rPr>
                <w:rStyle w:val="13"/>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预算调整率</w:t>
            </w:r>
            <w:r>
              <w:rPr>
                <w:rStyle w:val="14"/>
                <w:rFonts w:eastAsia="宋体"/>
                <w:lang w:val="en-US" w:eastAsia="zh-CN" w:bidi="ar"/>
              </w:rPr>
              <w:t>=</w:t>
            </w:r>
            <w:r>
              <w:rPr>
                <w:rStyle w:val="13"/>
                <w:lang w:val="en-US" w:eastAsia="zh-CN" w:bidi="ar"/>
              </w:rPr>
              <w:t>（预算调整数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4"/>
                <w:rFonts w:eastAsia="宋体"/>
                <w:lang w:val="en-US" w:eastAsia="zh-CN" w:bidi="ar"/>
              </w:rPr>
              <w:br w:type="textWrapping"/>
            </w:r>
            <w:r>
              <w:rPr>
                <w:rStyle w:val="13"/>
                <w:lang w:val="en-US" w:eastAsia="zh-CN" w:bidi="ar"/>
              </w:rPr>
              <w:t>该项得分，预算调整率</w:t>
            </w:r>
            <w:r>
              <w:rPr>
                <w:rStyle w:val="14"/>
                <w:rFonts w:eastAsia="宋体"/>
                <w:lang w:val="en-US" w:eastAsia="zh-CN" w:bidi="ar"/>
              </w:rPr>
              <w:t>&lt;5%</w:t>
            </w:r>
            <w:r>
              <w:rPr>
                <w:rStyle w:val="13"/>
                <w:lang w:val="en-US" w:eastAsia="zh-CN" w:bidi="ar"/>
              </w:rPr>
              <w:t>，计</w:t>
            </w:r>
            <w:r>
              <w:rPr>
                <w:rStyle w:val="14"/>
                <w:rFonts w:eastAsia="宋体"/>
                <w:lang w:val="en-US" w:eastAsia="zh-CN" w:bidi="ar"/>
              </w:rPr>
              <w:t>2</w:t>
            </w:r>
            <w:r>
              <w:rPr>
                <w:rStyle w:val="13"/>
                <w:lang w:val="en-US" w:eastAsia="zh-CN" w:bidi="ar"/>
              </w:rPr>
              <w:t>分；</w:t>
            </w:r>
            <w:r>
              <w:rPr>
                <w:rStyle w:val="14"/>
                <w:rFonts w:eastAsia="宋体"/>
                <w:lang w:val="en-US" w:eastAsia="zh-CN" w:bidi="ar"/>
              </w:rPr>
              <w:t>5-10%</w:t>
            </w:r>
            <w:r>
              <w:rPr>
                <w:rStyle w:val="13"/>
                <w:lang w:val="en-US" w:eastAsia="zh-CN" w:bidi="ar"/>
              </w:rPr>
              <w:t>（含），计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10%</w:t>
            </w:r>
            <w:r>
              <w:rPr>
                <w:rStyle w:val="13"/>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结转</w:t>
            </w:r>
            <w:r>
              <w:rPr>
                <w:rStyle w:val="14"/>
                <w:rFonts w:eastAsia="宋体"/>
                <w:lang w:val="en-US" w:eastAsia="zh-CN" w:bidi="ar"/>
              </w:rPr>
              <w:br w:type="textWrapping"/>
            </w:r>
            <w:r>
              <w:rPr>
                <w:rStyle w:val="13"/>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结转结余率</w:t>
            </w:r>
            <w:r>
              <w:rPr>
                <w:rStyle w:val="14"/>
                <w:rFonts w:eastAsia="宋体"/>
                <w:lang w:val="en-US" w:eastAsia="zh-CN" w:bidi="ar"/>
              </w:rPr>
              <w:t>=</w:t>
            </w:r>
            <w:r>
              <w:rPr>
                <w:rStyle w:val="13"/>
                <w:lang w:val="en-US" w:eastAsia="zh-CN" w:bidi="ar"/>
              </w:rPr>
              <w:t>结转结余总额</w:t>
            </w:r>
            <w:r>
              <w:rPr>
                <w:rStyle w:val="14"/>
                <w:rFonts w:eastAsia="宋体"/>
                <w:lang w:val="en-US" w:eastAsia="zh-CN" w:bidi="ar"/>
              </w:rPr>
              <w:t>/</w:t>
            </w:r>
            <w:r>
              <w:rPr>
                <w:rStyle w:val="13"/>
                <w:lang w:val="en-US" w:eastAsia="zh-CN" w:bidi="ar"/>
              </w:rPr>
              <w:t>支出预算数</w:t>
            </w:r>
            <w:r>
              <w:rPr>
                <w:rStyle w:val="14"/>
                <w:rFonts w:eastAsia="宋体"/>
                <w:lang w:val="en-US" w:eastAsia="zh-CN" w:bidi="ar"/>
              </w:rPr>
              <w:t>×100%</w:t>
            </w:r>
            <w:r>
              <w:rPr>
                <w:rStyle w:val="13"/>
                <w:lang w:val="en-US" w:eastAsia="zh-CN" w:bidi="ar"/>
              </w:rPr>
              <w:t>。结转结余总额：部门本年度的结转资金与结余资金之和（以决算数为准）。</w:t>
            </w:r>
            <w:r>
              <w:rPr>
                <w:rStyle w:val="14"/>
                <w:rFonts w:eastAsia="宋体"/>
                <w:lang w:val="en-US" w:eastAsia="zh-CN" w:bidi="ar"/>
              </w:rPr>
              <w:br w:type="textWrapping"/>
            </w:r>
            <w:r>
              <w:rPr>
                <w:rStyle w:val="13"/>
                <w:lang w:val="en-US" w:eastAsia="zh-CN" w:bidi="ar"/>
              </w:rPr>
              <w:t>该项得分，结余率</w:t>
            </w:r>
            <w:r>
              <w:rPr>
                <w:rStyle w:val="14"/>
                <w:rFonts w:eastAsia="宋体"/>
                <w:lang w:val="en-US" w:eastAsia="zh-CN" w:bidi="ar"/>
              </w:rPr>
              <w:t>≤10%</w:t>
            </w:r>
            <w:r>
              <w:rPr>
                <w:rStyle w:val="13"/>
                <w:lang w:val="en-US" w:eastAsia="zh-CN" w:bidi="ar"/>
              </w:rPr>
              <w:t>的，计</w:t>
            </w:r>
            <w:r>
              <w:rPr>
                <w:rStyle w:val="14"/>
                <w:rFonts w:eastAsia="宋体"/>
                <w:lang w:val="en-US" w:eastAsia="zh-CN" w:bidi="ar"/>
              </w:rPr>
              <w:t>1</w:t>
            </w:r>
            <w:r>
              <w:rPr>
                <w:rStyle w:val="13"/>
                <w:lang w:val="en-US" w:eastAsia="zh-CN" w:bidi="ar"/>
              </w:rPr>
              <w:t>分；结余率</w:t>
            </w:r>
            <w:r>
              <w:rPr>
                <w:rStyle w:val="14"/>
                <w:rFonts w:eastAsia="宋体"/>
                <w:lang w:val="en-US" w:eastAsia="zh-CN" w:bidi="ar"/>
              </w:rPr>
              <w:t>&gt;10%</w:t>
            </w:r>
            <w:r>
              <w:rPr>
                <w:rStyle w:val="13"/>
                <w:lang w:val="en-US" w:eastAsia="zh-CN" w:bidi="ar"/>
              </w:rPr>
              <w:t>（不含），</w:t>
            </w:r>
            <w:r>
              <w:rPr>
                <w:rStyle w:val="14"/>
                <w:rFonts w:eastAsia="宋体"/>
                <w:lang w:val="en-US" w:eastAsia="zh-CN" w:bidi="ar"/>
              </w:rPr>
              <w:t>0.5</w:t>
            </w:r>
            <w:r>
              <w:rPr>
                <w:rStyle w:val="13"/>
                <w:lang w:val="en-US" w:eastAsia="zh-CN" w:bidi="ar"/>
              </w:rPr>
              <w:t>分；本年超支的，计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公用经费</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公用经费控制率</w:t>
            </w:r>
            <w:r>
              <w:rPr>
                <w:rStyle w:val="14"/>
                <w:rFonts w:eastAsia="宋体"/>
                <w:lang w:val="en-US" w:eastAsia="zh-CN" w:bidi="ar"/>
              </w:rPr>
              <w:t>=</w:t>
            </w:r>
            <w:r>
              <w:rPr>
                <w:rStyle w:val="13"/>
                <w:lang w:val="en-US" w:eastAsia="zh-CN" w:bidi="ar"/>
              </w:rPr>
              <w:t>（实际支出公用经费总额</w:t>
            </w:r>
            <w:r>
              <w:rPr>
                <w:rStyle w:val="14"/>
                <w:rFonts w:eastAsia="宋体"/>
                <w:lang w:val="en-US" w:eastAsia="zh-CN" w:bidi="ar"/>
              </w:rPr>
              <w:t>/</w:t>
            </w:r>
            <w:r>
              <w:rPr>
                <w:rStyle w:val="13"/>
                <w:lang w:val="en-US" w:eastAsia="zh-CN" w:bidi="ar"/>
              </w:rPr>
              <w:t>预算安排公用经费总额）</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实际支出数与预算安排数的比率，用以反映和考核部门（单位）对</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控制率</w:t>
            </w:r>
            <w:r>
              <w:rPr>
                <w:rStyle w:val="14"/>
                <w:rFonts w:eastAsia="宋体"/>
                <w:lang w:val="en-US" w:eastAsia="zh-CN" w:bidi="ar"/>
              </w:rPr>
              <w:t>=</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预算安排数）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政府采购</w:t>
            </w:r>
            <w:r>
              <w:rPr>
                <w:rStyle w:val="14"/>
                <w:rFonts w:eastAsia="宋体"/>
                <w:lang w:val="en-US" w:eastAsia="zh-CN" w:bidi="ar"/>
              </w:rPr>
              <w:br w:type="textWrapping"/>
            </w:r>
            <w:r>
              <w:rPr>
                <w:rStyle w:val="13"/>
                <w:lang w:val="en-US" w:eastAsia="zh-CN" w:bidi="ar"/>
              </w:rPr>
              <w:t>执行率和</w:t>
            </w:r>
            <w:r>
              <w:rPr>
                <w:rStyle w:val="14"/>
                <w:rFonts w:eastAsia="宋体"/>
                <w:lang w:val="en-US" w:eastAsia="zh-CN" w:bidi="ar"/>
              </w:rPr>
              <w:br w:type="textWrapping"/>
            </w:r>
            <w:r>
              <w:rPr>
                <w:rStyle w:val="13"/>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①政府采购预算执行率</w:t>
            </w:r>
            <w:r>
              <w:rPr>
                <w:rStyle w:val="14"/>
                <w:rFonts w:eastAsia="宋体"/>
                <w:lang w:val="en-US" w:eastAsia="zh-CN" w:bidi="ar"/>
              </w:rPr>
              <w:t>=</w:t>
            </w:r>
            <w:r>
              <w:rPr>
                <w:rStyle w:val="13"/>
                <w:lang w:val="en-US" w:eastAsia="zh-CN" w:bidi="ar"/>
              </w:rPr>
              <w:t>（实际政府采购金额</w:t>
            </w:r>
            <w:r>
              <w:rPr>
                <w:rStyle w:val="14"/>
                <w:rFonts w:eastAsia="宋体"/>
                <w:lang w:val="en-US" w:eastAsia="zh-CN" w:bidi="ar"/>
              </w:rPr>
              <w:t>/</w:t>
            </w:r>
            <w:r>
              <w:rPr>
                <w:rStyle w:val="13"/>
                <w:lang w:val="en-US" w:eastAsia="zh-CN" w:bidi="ar"/>
              </w:rPr>
              <w:t>政府采购预算数）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政府采购预算：采购机关根据事业发展计划和行政任务编制的、并经过规定程序批准的年度政府采购计划。</w:t>
            </w:r>
            <w:r>
              <w:rPr>
                <w:rStyle w:val="14"/>
                <w:rFonts w:eastAsia="宋体"/>
                <w:lang w:val="en-US" w:eastAsia="zh-CN" w:bidi="ar"/>
              </w:rPr>
              <w:br w:type="textWrapping"/>
            </w:r>
            <w:r>
              <w:rPr>
                <w:rStyle w:val="13"/>
                <w:lang w:val="en-US" w:eastAsia="zh-CN" w:bidi="ar"/>
              </w:rPr>
              <w:t>该项得分，完成本年度采购计划的，政府采购执行率≤</w:t>
            </w:r>
            <w:r>
              <w:rPr>
                <w:rStyle w:val="14"/>
                <w:rFonts w:eastAsia="宋体"/>
                <w:lang w:val="en-US" w:eastAsia="zh-CN" w:bidi="ar"/>
              </w:rPr>
              <w:t>100%</w:t>
            </w:r>
            <w:r>
              <w:rPr>
                <w:rStyle w:val="13"/>
                <w:lang w:val="en-US" w:eastAsia="zh-CN" w:bidi="ar"/>
              </w:rPr>
              <w:t>，计</w:t>
            </w:r>
            <w:r>
              <w:rPr>
                <w:rStyle w:val="14"/>
                <w:rFonts w:eastAsia="宋体"/>
                <w:lang w:val="en-US" w:eastAsia="zh-CN" w:bidi="ar"/>
              </w:rPr>
              <w:t>1</w:t>
            </w:r>
            <w:r>
              <w:rPr>
                <w:rStyle w:val="13"/>
                <w:lang w:val="en-US" w:eastAsia="zh-CN" w:bidi="ar"/>
              </w:rPr>
              <w:t>分，每超过</w:t>
            </w:r>
            <w:r>
              <w:rPr>
                <w:rStyle w:val="14"/>
                <w:rFonts w:eastAsia="宋体"/>
                <w:lang w:val="en-US" w:eastAsia="zh-CN" w:bidi="ar"/>
              </w:rPr>
              <w:t>1%</w:t>
            </w:r>
            <w:r>
              <w:rPr>
                <w:rStyle w:val="13"/>
                <w:lang w:val="en-US" w:eastAsia="zh-CN" w:bidi="ar"/>
              </w:rPr>
              <w:t>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②所有项目依法采购，无规避政府采购或化整为零进行政府采购的行为，并履行验收手续，计0.5分，否则不得分；</w:t>
            </w:r>
            <w:r>
              <w:rPr>
                <w:rStyle w:val="14"/>
                <w:rFonts w:eastAsia="宋体"/>
                <w:lang w:val="en-US" w:eastAsia="zh-CN" w:bidi="ar"/>
              </w:rPr>
              <w:br w:type="textWrapping"/>
            </w:r>
            <w:r>
              <w:rPr>
                <w:rStyle w:val="13"/>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29</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管理制度</w:t>
            </w:r>
            <w:r>
              <w:rPr>
                <w:rStyle w:val="14"/>
                <w:rFonts w:eastAsia="宋体"/>
                <w:lang w:val="en-US" w:eastAsia="zh-CN" w:bidi="ar"/>
              </w:rPr>
              <w:br w:type="textWrapping"/>
            </w:r>
            <w:r>
              <w:rPr>
                <w:rStyle w:val="13"/>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①是否已制定或具有预算资金管理办法、内部财务管理制度、会计核算制度等管理制度；</w:t>
            </w:r>
            <w:r>
              <w:rPr>
                <w:rStyle w:val="14"/>
                <w:rFonts w:eastAsia="宋体"/>
                <w:lang w:val="en-US" w:eastAsia="zh-CN" w:bidi="ar"/>
              </w:rPr>
              <w:br w:type="textWrapping"/>
            </w:r>
            <w:r>
              <w:rPr>
                <w:rStyle w:val="13"/>
                <w:lang w:val="en-US" w:eastAsia="zh-CN" w:bidi="ar"/>
              </w:rPr>
              <w:t>②相关管理制度是否合法、合规、完整；</w:t>
            </w:r>
            <w:r>
              <w:rPr>
                <w:rStyle w:val="14"/>
                <w:rFonts w:eastAsia="宋体"/>
                <w:lang w:val="en-US" w:eastAsia="zh-CN" w:bidi="ar"/>
              </w:rPr>
              <w:br w:type="textWrapping"/>
            </w:r>
            <w:r>
              <w:rPr>
                <w:rStyle w:val="13"/>
                <w:lang w:val="en-US" w:eastAsia="zh-CN" w:bidi="ar"/>
              </w:rPr>
              <w:t>③相关管理制度是否得到有效执行。</w:t>
            </w:r>
            <w:r>
              <w:rPr>
                <w:rStyle w:val="14"/>
                <w:rFonts w:eastAsia="宋体"/>
                <w:lang w:val="en-US" w:eastAsia="zh-CN" w:bidi="ar"/>
              </w:rPr>
              <w:br w:type="textWrapping"/>
            </w:r>
            <w:r>
              <w:rPr>
                <w:rStyle w:val="13"/>
                <w:lang w:val="en-US" w:eastAsia="zh-CN" w:bidi="ar"/>
              </w:rPr>
              <w:t>④会计人员、机构是否按规定设置；</w:t>
            </w:r>
            <w:r>
              <w:rPr>
                <w:rStyle w:val="14"/>
                <w:rFonts w:eastAsia="宋体"/>
                <w:lang w:val="en-US" w:eastAsia="zh-CN" w:bidi="ar"/>
              </w:rPr>
              <w:br w:type="textWrapping"/>
            </w:r>
            <w:r>
              <w:rPr>
                <w:rStyle w:val="13"/>
                <w:lang w:val="en-US" w:eastAsia="zh-CN" w:bidi="ar"/>
              </w:rPr>
              <w:t>⑤会计基础工作是否健全；</w:t>
            </w:r>
            <w:r>
              <w:rPr>
                <w:rStyle w:val="14"/>
                <w:rFonts w:eastAsia="宋体"/>
                <w:lang w:val="en-US" w:eastAsia="zh-CN" w:bidi="ar"/>
              </w:rPr>
              <w:br w:type="textWrapping"/>
            </w:r>
            <w:r>
              <w:rPr>
                <w:rStyle w:val="13"/>
                <w:lang w:val="en-US" w:eastAsia="zh-CN" w:bidi="ar"/>
              </w:rPr>
              <w:t>⑥会计档案是否符合规定要求；</w:t>
            </w:r>
            <w:r>
              <w:rPr>
                <w:rStyle w:val="14"/>
                <w:rFonts w:eastAsia="宋体"/>
                <w:lang w:val="en-US" w:eastAsia="zh-CN" w:bidi="ar"/>
              </w:rPr>
              <w:br w:type="textWrapping"/>
            </w:r>
            <w:r>
              <w:rPr>
                <w:rStyle w:val="13"/>
                <w:lang w:val="en-US" w:eastAsia="zh-CN" w:bidi="ar"/>
              </w:rPr>
              <w:t>⑦项目管理是否规范（包括项目立项、申报、招投标、合同或协议要素、制度建立、按时完工等）。</w:t>
            </w:r>
            <w:r>
              <w:rPr>
                <w:rStyle w:val="14"/>
                <w:rFonts w:eastAsia="宋体"/>
                <w:lang w:val="en-US" w:eastAsia="zh-CN" w:bidi="ar"/>
              </w:rPr>
              <w:br w:type="textWrapping"/>
            </w:r>
            <w:r>
              <w:rPr>
                <w:rStyle w:val="13"/>
                <w:lang w:val="en-US" w:eastAsia="zh-CN" w:bidi="ar"/>
              </w:rPr>
              <w:t>以上情况每发现一例不符合要求的扣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部门（单位）管理制度。</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w:t>
            </w:r>
            <w:r>
              <w:rPr>
                <w:rStyle w:val="14"/>
                <w:rFonts w:eastAsia="宋体"/>
                <w:lang w:val="en-US" w:eastAsia="zh-CN" w:bidi="ar"/>
              </w:rPr>
              <w:br w:type="textWrapping"/>
            </w:r>
            <w:r>
              <w:rPr>
                <w:rStyle w:val="13"/>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①符合国家财经法规和财务管理制度以及有关专项资金管理办法的规定，计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②资金的支付有完整的审批程序和手续，计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③重大项目开支和大额资金使用经过单位党组集体研究决策，计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④符合项目预算批复或合同规定的用途，计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⑤没有截留、挤占、挪用、虚列支出等情况，计</w:t>
            </w:r>
            <w:r>
              <w:rPr>
                <w:rStyle w:val="14"/>
                <w:rFonts w:eastAsia="宋体"/>
                <w:lang w:val="en-US" w:eastAsia="zh-CN" w:bidi="ar"/>
              </w:rPr>
              <w:t>1</w:t>
            </w:r>
            <w:r>
              <w:rPr>
                <w:rStyle w:val="13"/>
                <w:lang w:val="en-US" w:eastAsia="zh-CN" w:bidi="ar"/>
              </w:rPr>
              <w:t>分，发生</w:t>
            </w:r>
            <w:r>
              <w:rPr>
                <w:rStyle w:val="14"/>
                <w:rFonts w:eastAsia="宋体"/>
                <w:lang w:val="en-US" w:eastAsia="zh-CN" w:bidi="ar"/>
              </w:rPr>
              <w:t>1</w:t>
            </w:r>
            <w:r>
              <w:rPr>
                <w:rStyle w:val="13"/>
                <w:lang w:val="en-US" w:eastAsia="zh-CN" w:bidi="ar"/>
              </w:rPr>
              <w:t>例不符合本指标的现象</w:t>
            </w:r>
            <w:r>
              <w:rPr>
                <w:rStyle w:val="14"/>
                <w:rFonts w:eastAsia="宋体"/>
                <w:lang w:val="en-US" w:eastAsia="zh-CN" w:bidi="ar"/>
              </w:rPr>
              <w:t>7</w:t>
            </w:r>
            <w:r>
              <w:rPr>
                <w:rStyle w:val="13"/>
                <w:lang w:val="en-US" w:eastAsia="zh-CN" w:bidi="ar"/>
              </w:rPr>
              <w:t>分全扣；</w:t>
            </w:r>
            <w:r>
              <w:rPr>
                <w:rStyle w:val="14"/>
                <w:rFonts w:eastAsia="宋体"/>
                <w:lang w:val="en-US" w:eastAsia="zh-CN" w:bidi="ar"/>
              </w:rPr>
              <w:br w:type="textWrapping"/>
            </w:r>
            <w:r>
              <w:rPr>
                <w:rStyle w:val="13"/>
                <w:lang w:val="en-US" w:eastAsia="zh-CN" w:bidi="ar"/>
              </w:rPr>
              <w:t>⑥原始凭证的取得真实有效，计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⑦无超标准发放津补贴、奖金、无用公款支付应个人支付的款项，计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3"/>
                <w:lang w:val="en-US" w:eastAsia="zh-CN" w:bidi="ar"/>
              </w:rPr>
              <w:br w:type="textWrapping"/>
            </w:r>
            <w:r>
              <w:rPr>
                <w:rStyle w:val="13"/>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信息</w:t>
            </w:r>
            <w:r>
              <w:rPr>
                <w:rStyle w:val="14"/>
                <w:rFonts w:eastAsia="宋体"/>
                <w:lang w:val="en-US" w:eastAsia="zh-CN" w:bidi="ar"/>
              </w:rPr>
              <w:br w:type="textWrapping"/>
            </w:r>
            <w:r>
              <w:rPr>
                <w:rStyle w:val="13"/>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①无涉密情况的预算单位按规定及时、准确、完整的公开预决算和绩效管理信息，计</w:t>
            </w:r>
            <w:r>
              <w:rPr>
                <w:rStyle w:val="14"/>
                <w:rFonts w:eastAsia="宋体"/>
                <w:lang w:val="en-US" w:eastAsia="zh-CN" w:bidi="ar"/>
              </w:rPr>
              <w:t>1</w:t>
            </w:r>
            <w:r>
              <w:rPr>
                <w:rStyle w:val="13"/>
                <w:lang w:val="en-US" w:eastAsia="zh-CN" w:bidi="ar"/>
              </w:rPr>
              <w:t>分，否则，酌情扣分；</w:t>
            </w:r>
            <w:r>
              <w:rPr>
                <w:rStyle w:val="14"/>
                <w:rFonts w:eastAsia="宋体"/>
                <w:lang w:val="en-US" w:eastAsia="zh-CN" w:bidi="ar"/>
              </w:rPr>
              <w:br w:type="textWrapping"/>
            </w:r>
            <w:r>
              <w:rPr>
                <w:rStyle w:val="13"/>
                <w:lang w:val="en-US" w:eastAsia="zh-CN" w:bidi="ar"/>
              </w:rPr>
              <w:t>②基础数据信息和会计信息资料真实、准确、完整，计</w:t>
            </w:r>
            <w:r>
              <w:rPr>
                <w:rStyle w:val="14"/>
                <w:rFonts w:eastAsia="宋体"/>
                <w:lang w:val="en-US" w:eastAsia="zh-CN" w:bidi="ar"/>
              </w:rPr>
              <w:t>1</w:t>
            </w:r>
            <w:r>
              <w:rPr>
                <w:rStyle w:val="13"/>
                <w:lang w:val="en-US" w:eastAsia="zh-CN" w:bidi="ar"/>
              </w:rPr>
              <w:t>分，否则，酌情扣分。</w:t>
            </w:r>
            <w:r>
              <w:rPr>
                <w:rStyle w:val="13"/>
                <w:lang w:val="en-US" w:eastAsia="zh-CN" w:bidi="ar"/>
              </w:rPr>
              <w:br w:type="textWrapping"/>
            </w:r>
            <w:r>
              <w:rPr>
                <w:rStyle w:val="13"/>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非税收入</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①实行收支两条线，计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r>
              <w:rPr>
                <w:rStyle w:val="14"/>
                <w:rFonts w:eastAsia="宋体"/>
                <w:lang w:val="en-US" w:eastAsia="zh-CN" w:bidi="ar"/>
              </w:rPr>
              <w:br w:type="textWrapping"/>
            </w:r>
            <w:r>
              <w:rPr>
                <w:rStyle w:val="13"/>
                <w:lang w:val="en-US" w:eastAsia="zh-CN" w:bidi="ar"/>
              </w:rPr>
              <w:t>②未发生截留、坐支或转移，计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绩效自评</w:t>
            </w:r>
            <w:r>
              <w:rPr>
                <w:rStyle w:val="14"/>
                <w:rFonts w:eastAsia="宋体"/>
                <w:lang w:val="en-US" w:eastAsia="zh-CN" w:bidi="ar"/>
              </w:rPr>
              <w:br w:type="textWrapping"/>
            </w:r>
            <w:r>
              <w:rPr>
                <w:rStyle w:val="13"/>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①是否按要求开展部门（单位）整体支出绩效自评和专项资金支出自评工作。</w:t>
            </w:r>
            <w:r>
              <w:rPr>
                <w:rStyle w:val="14"/>
                <w:rFonts w:eastAsia="宋体"/>
                <w:lang w:val="en-US" w:eastAsia="zh-CN" w:bidi="ar"/>
              </w:rPr>
              <w:br w:type="textWrapping"/>
            </w:r>
            <w:r>
              <w:rPr>
                <w:rStyle w:val="13"/>
                <w:lang w:val="en-US" w:eastAsia="zh-CN" w:bidi="ar"/>
              </w:rPr>
              <w:t>②是否及时报送绩效自评报告；</w:t>
            </w:r>
            <w:r>
              <w:rPr>
                <w:rStyle w:val="14"/>
                <w:rFonts w:eastAsia="宋体"/>
                <w:lang w:val="en-US" w:eastAsia="zh-CN" w:bidi="ar"/>
              </w:rPr>
              <w:br w:type="textWrapping"/>
            </w:r>
            <w:r>
              <w:rPr>
                <w:rStyle w:val="13"/>
                <w:lang w:val="en-US" w:eastAsia="zh-CN" w:bidi="ar"/>
              </w:rPr>
              <w:t>③绩效自评报告是否完整，数据是否全面、真实、准确，绩效指标是否细化量化和科学合理；</w:t>
            </w:r>
            <w:r>
              <w:rPr>
                <w:rStyle w:val="14"/>
                <w:rFonts w:eastAsia="宋体"/>
                <w:lang w:val="en-US" w:eastAsia="zh-CN" w:bidi="ar"/>
              </w:rPr>
              <w:br w:type="textWrapping"/>
            </w:r>
            <w:r>
              <w:rPr>
                <w:rStyle w:val="13"/>
                <w:lang w:val="en-US" w:eastAsia="zh-CN" w:bidi="ar"/>
              </w:rPr>
              <w:t>④绩效自评反映的问题是否具体，意见是否可行，自评发现的问题是否整改；</w:t>
            </w:r>
            <w:r>
              <w:rPr>
                <w:rStyle w:val="14"/>
                <w:rFonts w:eastAsia="宋体"/>
                <w:lang w:val="en-US" w:eastAsia="zh-CN" w:bidi="ar"/>
              </w:rPr>
              <w:br w:type="textWrapping"/>
            </w:r>
            <w:r>
              <w:rPr>
                <w:rStyle w:val="13"/>
                <w:lang w:val="en-US" w:eastAsia="zh-CN" w:bidi="ar"/>
              </w:rPr>
              <w:t>该项得分，①、②、③、④各计</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重点绩效</w:t>
            </w:r>
            <w:r>
              <w:rPr>
                <w:rStyle w:val="14"/>
                <w:rFonts w:eastAsia="宋体"/>
                <w:lang w:val="en-US" w:eastAsia="zh-CN" w:bidi="ar"/>
              </w:rPr>
              <w:br w:type="textWrapping"/>
            </w:r>
            <w:r>
              <w:rPr>
                <w:rStyle w:val="13"/>
                <w:lang w:val="en-US" w:eastAsia="zh-CN" w:bidi="ar"/>
              </w:rPr>
              <w:t>评价整改</w:t>
            </w:r>
            <w:r>
              <w:rPr>
                <w:rStyle w:val="14"/>
                <w:rFonts w:eastAsia="宋体"/>
                <w:lang w:val="en-US" w:eastAsia="zh-CN" w:bidi="ar"/>
              </w:rPr>
              <w:br w:type="textWrapping"/>
            </w:r>
            <w:r>
              <w:rPr>
                <w:rStyle w:val="13"/>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上轮重点评价问题全部整改，计3分；上轮重点评价问题部分整改，计</w:t>
            </w:r>
            <w:r>
              <w:rPr>
                <w:rStyle w:val="14"/>
                <w:rFonts w:eastAsia="宋体"/>
                <w:lang w:val="en-US" w:eastAsia="zh-CN" w:bidi="ar"/>
              </w:rPr>
              <w:t>1</w:t>
            </w:r>
            <w:r>
              <w:rPr>
                <w:rStyle w:val="13"/>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资产</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①已制定合法、合规、完整的资产管理制度，计</w:t>
            </w:r>
            <w:r>
              <w:rPr>
                <w:rStyle w:val="14"/>
                <w:rFonts w:eastAsia="宋体"/>
                <w:lang w:val="en-US" w:eastAsia="zh-CN" w:bidi="ar"/>
              </w:rPr>
              <w:t>0.5</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②相关资产管理制度得到有效执行，计</w:t>
            </w:r>
            <w:r>
              <w:rPr>
                <w:rStyle w:val="14"/>
                <w:rFonts w:eastAsia="宋体"/>
                <w:lang w:val="en-US" w:eastAsia="zh-CN" w:bidi="ar"/>
              </w:rPr>
              <w:t>0.5</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部门（单位）资产管理制度；采购资产相关资料。</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①资产配置合理符合标准、保管完整，账务管理规范，定期盘点并有台账，账实相符的，计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②资产处置规范，计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③资产有偿使用或处置收入及时足额上缴，计</w:t>
            </w:r>
            <w:r>
              <w:rPr>
                <w:rStyle w:val="14"/>
                <w:rFonts w:eastAsia="宋体"/>
                <w:lang w:val="en-US" w:eastAsia="zh-CN" w:bidi="ar"/>
              </w:rPr>
              <w:t>0.5</w:t>
            </w:r>
            <w:r>
              <w:rPr>
                <w:rStyle w:val="13"/>
                <w:lang w:val="en-US" w:eastAsia="zh-CN" w:bidi="ar"/>
              </w:rPr>
              <w:t>分，发现未上缴，本项不得分；</w:t>
            </w:r>
            <w:r>
              <w:rPr>
                <w:rStyle w:val="14"/>
                <w:rFonts w:eastAsia="宋体"/>
                <w:lang w:val="en-US" w:eastAsia="zh-CN" w:bidi="ar"/>
              </w:rPr>
              <w:br w:type="textWrapping"/>
            </w:r>
            <w:r>
              <w:rPr>
                <w:rStyle w:val="13"/>
                <w:lang w:val="en-US" w:eastAsia="zh-CN" w:bidi="ar"/>
              </w:rPr>
              <w:t>④资产购置履行政府采购手续，计</w:t>
            </w:r>
            <w:r>
              <w:rPr>
                <w:rStyle w:val="14"/>
                <w:rFonts w:eastAsia="宋体"/>
                <w:lang w:val="en-US" w:eastAsia="zh-CN" w:bidi="ar"/>
              </w:rPr>
              <w:t>0.3</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分，扣完为止；外租资产全部走合规程序，计</w:t>
            </w:r>
            <w:r>
              <w:rPr>
                <w:rStyle w:val="14"/>
                <w:rFonts w:eastAsia="宋体"/>
                <w:lang w:val="en-US" w:eastAsia="zh-CN" w:bidi="ar"/>
              </w:rPr>
              <w:t>0.2</w:t>
            </w:r>
            <w:r>
              <w:rPr>
                <w:rStyle w:val="13"/>
                <w:lang w:val="en-US" w:eastAsia="zh-CN" w:bidi="ar"/>
              </w:rPr>
              <w:t>分，发现一例不合规，扣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固定资产</w:t>
            </w:r>
            <w:r>
              <w:rPr>
                <w:rStyle w:val="14"/>
                <w:rFonts w:eastAsia="宋体"/>
                <w:lang w:val="en-US" w:eastAsia="zh-CN" w:bidi="ar"/>
              </w:rPr>
              <w:br w:type="textWrapping"/>
            </w:r>
            <w:r>
              <w:rPr>
                <w:rStyle w:val="13"/>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①建了固定资产台账实行编码管理，且编码与实物完全匹配计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②建立了固定资产增减变化审批程序的计0.5分，否则不得分；</w:t>
            </w:r>
            <w:r>
              <w:rPr>
                <w:rStyle w:val="14"/>
                <w:rFonts w:eastAsia="宋体"/>
                <w:lang w:val="en-US" w:eastAsia="zh-CN" w:bidi="ar"/>
              </w:rPr>
              <w:br w:type="textWrapping"/>
            </w:r>
            <w:r>
              <w:rPr>
                <w:rStyle w:val="13"/>
                <w:lang w:val="en-US" w:eastAsia="zh-CN" w:bidi="ar"/>
              </w:rPr>
              <w:t>③固定资产无闲置浪费现象计0.5分，发现一处扣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部门（单位）固定资产实际使用情况；固定资产账。</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产出</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22</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职责履行（</w:t>
            </w:r>
            <w:r>
              <w:rPr>
                <w:rStyle w:val="14"/>
                <w:rFonts w:eastAsia="宋体"/>
                <w:lang w:val="en-US" w:eastAsia="zh-CN" w:bidi="ar"/>
              </w:rPr>
              <w:t>22</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部门整体</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以市委、市政府绩效效考核评估结果为依据：优秀，计</w:t>
            </w:r>
            <w:r>
              <w:rPr>
                <w:rStyle w:val="14"/>
                <w:rFonts w:eastAsia="宋体"/>
                <w:lang w:val="en-US" w:eastAsia="zh-CN" w:bidi="ar"/>
              </w:rPr>
              <w:t>6</w:t>
            </w:r>
            <w:r>
              <w:rPr>
                <w:rStyle w:val="13"/>
                <w:lang w:val="en-US" w:eastAsia="zh-CN" w:bidi="ar"/>
              </w:rPr>
              <w:t>分；良好，</w:t>
            </w:r>
            <w:r>
              <w:rPr>
                <w:rStyle w:val="14"/>
                <w:rFonts w:eastAsia="宋体"/>
                <w:lang w:val="en-US" w:eastAsia="zh-CN" w:bidi="ar"/>
              </w:rPr>
              <w:t>4</w:t>
            </w:r>
            <w:r>
              <w:rPr>
                <w:rStyle w:val="13"/>
                <w:lang w:val="en-US" w:eastAsia="zh-CN" w:bidi="ar"/>
              </w:rPr>
              <w:t>分；合格，</w:t>
            </w:r>
            <w:r>
              <w:rPr>
                <w:rStyle w:val="14"/>
                <w:rFonts w:eastAsia="宋体"/>
                <w:lang w:val="en-US" w:eastAsia="zh-CN" w:bidi="ar"/>
              </w:rPr>
              <w:t>2</w:t>
            </w:r>
            <w:r>
              <w:rPr>
                <w:rStyle w:val="13"/>
                <w:lang w:val="en-US" w:eastAsia="zh-CN" w:bidi="ar"/>
              </w:rPr>
              <w:t>分；不合格，</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实际</w:t>
            </w:r>
            <w:r>
              <w:rPr>
                <w:rStyle w:val="16"/>
                <w:rFonts w:eastAsia="宋体"/>
                <w:lang w:val="en-US" w:eastAsia="zh-CN" w:bidi="ar"/>
              </w:rPr>
              <w:br w:type="textWrapping"/>
            </w:r>
            <w:r>
              <w:rPr>
                <w:rStyle w:val="15"/>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实际完成率</w:t>
            </w:r>
            <w:r>
              <w:rPr>
                <w:rStyle w:val="16"/>
                <w:rFonts w:eastAsia="宋体"/>
                <w:lang w:val="en-US" w:eastAsia="zh-CN" w:bidi="ar"/>
              </w:rPr>
              <w:t>=</w:t>
            </w:r>
            <w:r>
              <w:rPr>
                <w:rStyle w:val="15"/>
                <w:lang w:val="en-US" w:eastAsia="zh-CN" w:bidi="ar"/>
              </w:rPr>
              <w:t>（实际完成工作数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。实际完成工作数：一定时期（年度或规划期）内部门实际完成工作任务的数量。计划工作数：部门整体绩效目标确定的一定时期（年度或规划期）内预计完成工作任务的数量。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完成</w:t>
            </w:r>
            <w:r>
              <w:rPr>
                <w:rStyle w:val="16"/>
                <w:rFonts w:eastAsia="宋体"/>
                <w:lang w:val="en-US" w:eastAsia="zh-CN" w:bidi="ar"/>
              </w:rPr>
              <w:br w:type="textWrapping"/>
            </w:r>
            <w:r>
              <w:rPr>
                <w:rStyle w:val="15"/>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完成及时率</w:t>
            </w:r>
            <w:r>
              <w:rPr>
                <w:rStyle w:val="16"/>
                <w:rFonts w:eastAsia="宋体"/>
                <w:lang w:val="en-US" w:eastAsia="zh-CN" w:bidi="ar"/>
              </w:rPr>
              <w:t>=</w:t>
            </w:r>
            <w:r>
              <w:rPr>
                <w:rStyle w:val="15"/>
                <w:lang w:val="en-US" w:eastAsia="zh-CN" w:bidi="ar"/>
              </w:rPr>
              <w:t>（及时完成实际工作数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。及时完成实际工作数：部门按照整体绩效目标确定的时限实际完成的工作任务数量。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完成及时率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质量</w:t>
            </w:r>
            <w:r>
              <w:rPr>
                <w:rStyle w:val="16"/>
                <w:rFonts w:eastAsia="宋体"/>
                <w:lang w:val="en-US" w:eastAsia="zh-CN" w:bidi="ar"/>
              </w:rPr>
              <w:br w:type="textWrapping"/>
            </w:r>
            <w:r>
              <w:rPr>
                <w:rStyle w:val="15"/>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达到质量标准（绩效标准值）的实际工作数与计划工作数的比率</w:t>
            </w:r>
            <w:r>
              <w:rPr>
                <w:rStyle w:val="16"/>
                <w:rFonts w:eastAsia="宋体"/>
                <w:lang w:val="en-US" w:eastAsia="zh-CN" w:bidi="ar"/>
              </w:rPr>
              <w:t>,</w:t>
            </w:r>
            <w:r>
              <w:rPr>
                <w:rStyle w:val="15"/>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质量达标率</w:t>
            </w:r>
            <w:r>
              <w:rPr>
                <w:rStyle w:val="16"/>
                <w:rFonts w:eastAsia="宋体"/>
                <w:lang w:val="en-US" w:eastAsia="zh-CN" w:bidi="ar"/>
              </w:rPr>
              <w:t>=</w:t>
            </w:r>
            <w:r>
              <w:rPr>
                <w:rStyle w:val="15"/>
                <w:lang w:val="en-US" w:eastAsia="zh-CN" w:bidi="ar"/>
              </w:rPr>
              <w:t>（质量达标实际工作数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。质量达标实际工作数：一定时期（年度或规划期）内部门实际完成工作数中达到部门绩效目标要求（绩效标准值）的工作任务数量。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达标率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w:t>
            </w:r>
            <w:r>
              <w:rPr>
                <w:rStyle w:val="16"/>
                <w:rFonts w:eastAsia="宋体"/>
                <w:lang w:val="en-US" w:eastAsia="zh-CN" w:bidi="ar"/>
              </w:rPr>
              <w:br w:type="textWrapping"/>
            </w:r>
            <w:r>
              <w:rPr>
                <w:rStyle w:val="15"/>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重点工作办结率</w:t>
            </w:r>
            <w:r>
              <w:rPr>
                <w:rStyle w:val="16"/>
                <w:rFonts w:eastAsia="宋体"/>
                <w:lang w:val="en-US" w:eastAsia="zh-CN" w:bidi="ar"/>
              </w:rPr>
              <w:t>=</w:t>
            </w:r>
            <w:r>
              <w:rPr>
                <w:rStyle w:val="15"/>
                <w:lang w:val="en-US" w:eastAsia="zh-CN" w:bidi="ar"/>
              </w:rPr>
              <w:t>（重点工作实际完成数</w:t>
            </w:r>
            <w:r>
              <w:rPr>
                <w:rStyle w:val="16"/>
                <w:rFonts w:eastAsia="宋体"/>
                <w:lang w:val="en-US" w:eastAsia="zh-CN" w:bidi="ar"/>
              </w:rPr>
              <w:t>/</w:t>
            </w:r>
            <w:r>
              <w:rPr>
                <w:rStyle w:val="15"/>
                <w:lang w:val="en-US" w:eastAsia="zh-CN" w:bidi="ar"/>
              </w:rPr>
              <w:t>交办或下达数）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重点工作是指党委、政府、人大、相关部门交办或下达的工作任务。</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办结率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效果</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履职效益（</w:t>
            </w:r>
            <w:r>
              <w:rPr>
                <w:rStyle w:val="16"/>
                <w:rFonts w:eastAsia="宋体"/>
                <w:lang w:val="en-US" w:eastAsia="zh-CN" w:bidi="ar"/>
              </w:rPr>
              <w:t>17</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经济</w:t>
            </w:r>
            <w:r>
              <w:rPr>
                <w:rStyle w:val="16"/>
                <w:rFonts w:eastAsia="宋体"/>
                <w:lang w:val="en-US" w:eastAsia="zh-CN" w:bidi="ar"/>
              </w:rPr>
              <w:br w:type="textWrapping"/>
            </w:r>
            <w:r>
              <w:rPr>
                <w:rStyle w:val="15"/>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此三项指标可根据部门实际并结合部门整体支出绩效目标设立情况有选择的进行评价。</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生态</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社会公众或服务对象是指部门履行职责而影响到的部门、群体或个人。一般采取社会调查的方式</w:t>
            </w:r>
            <w:r>
              <w:rPr>
                <w:rStyle w:val="16"/>
                <w:rFonts w:eastAsia="宋体"/>
                <w:lang w:val="en-US" w:eastAsia="zh-CN" w:bidi="ar"/>
              </w:rPr>
              <w:t>(</w:t>
            </w:r>
            <w:r>
              <w:rPr>
                <w:rStyle w:val="15"/>
                <w:lang w:val="en-US" w:eastAsia="zh-CN" w:bidi="ar"/>
              </w:rPr>
              <w:t>不少于</w:t>
            </w:r>
            <w:r>
              <w:rPr>
                <w:rStyle w:val="16"/>
                <w:rFonts w:eastAsia="宋体"/>
                <w:lang w:val="en-US" w:eastAsia="zh-CN" w:bidi="ar"/>
              </w:rPr>
              <w:t>30</w:t>
            </w:r>
            <w:r>
              <w:rPr>
                <w:rStyle w:val="15"/>
                <w:lang w:val="en-US" w:eastAsia="zh-CN" w:bidi="ar"/>
              </w:rPr>
              <w:t>份</w:t>
            </w:r>
            <w:r>
              <w:rPr>
                <w:rStyle w:val="16"/>
                <w:rFonts w:eastAsia="宋体"/>
                <w:lang w:val="en-US" w:eastAsia="zh-CN" w:bidi="ar"/>
              </w:rPr>
              <w:t>)</w:t>
            </w:r>
            <w:r>
              <w:rPr>
                <w:rStyle w:val="15"/>
                <w:lang w:val="en-US" w:eastAsia="zh-CN" w:bidi="ar"/>
              </w:rPr>
              <w:t>。</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满意率</w:t>
            </w:r>
            <w:r>
              <w:rPr>
                <w:rStyle w:val="16"/>
                <w:rFonts w:eastAsia="宋体"/>
                <w:lang w:val="en-US" w:eastAsia="zh-CN" w:bidi="ar"/>
              </w:rPr>
              <w:t>×8</w:t>
            </w:r>
            <w:r>
              <w:rPr>
                <w:rStyle w:val="15"/>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合</w:t>
            </w:r>
            <w:r>
              <w:rPr>
                <w:rStyle w:val="18"/>
                <w:rFonts w:eastAsia="宋体"/>
                <w:lang w:val="en-US" w:eastAsia="zh-CN" w:bidi="ar"/>
              </w:rPr>
              <w:t xml:space="preserve">  </w:t>
            </w:r>
            <w:r>
              <w:rPr>
                <w:rStyle w:val="17"/>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7"/>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1335"/>
        <w:gridCol w:w="1080"/>
        <w:gridCol w:w="21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 xml:space="preserve">        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1120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 xml:space="preserve">    4000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1120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党史联络</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170000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扶贫志</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200000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党史正本三卷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300000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年鉴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100000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528384.02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297740.55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37465.8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bookmarkStart w:id="0" w:name="_GoBack"/>
            <w:bookmarkEnd w:id="0"/>
            <w:r>
              <w:rPr>
                <w:rFonts w:hint="eastAsia" w:ascii="仿宋" w:hAnsi="仿宋" w:eastAsia="仿宋" w:cs="仿宋"/>
                <w:i w:val="0"/>
                <w:iCs w:val="0"/>
                <w:color w:val="000000"/>
                <w:sz w:val="21"/>
                <w:szCs w:val="21"/>
                <w:u w:val="none"/>
                <w:lang w:val="en-US" w:eastAsia="zh-CN"/>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r>
              <w:rPr>
                <w:rFonts w:hint="eastAsia" w:ascii="仿宋" w:hAnsi="仿宋" w:eastAsia="仿宋" w:cs="仿宋"/>
                <w:i w:val="0"/>
                <w:iCs w:val="0"/>
                <w:color w:val="000000"/>
                <w:sz w:val="21"/>
                <w:szCs w:val="21"/>
                <w:u w:val="none"/>
                <w:lang w:val="en-US" w:eastAsia="zh-CN"/>
              </w:rPr>
              <w:t>节约用电用水，减少办公经费。强化采购流程，采购审批制度。</w:t>
            </w:r>
          </w:p>
        </w:tc>
      </w:tr>
    </w:tbl>
    <w:p>
      <w:pPr>
        <w:pStyle w:val="2"/>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2"/>
        <w:ind w:left="0" w:leftChars="0" w:firstLine="0" w:firstLineChars="0"/>
        <w:rPr>
          <w:rFonts w:hint="eastAsia" w:ascii="仿宋" w:hAnsi="仿宋" w:eastAsia="仿宋" w:cs="仿宋"/>
          <w:sz w:val="24"/>
          <w:szCs w:val="24"/>
          <w:lang w:val="en-US" w:eastAsia="zh-CN"/>
        </w:rPr>
      </w:pPr>
    </w:p>
    <w:p>
      <w:pPr>
        <w:pStyle w:val="2"/>
        <w:ind w:left="0" w:leftChars="0"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填表人：郑鸿盈 填报日期：2024.03.07 联系电话：6823118 单位负责人签字：王中辉</w:t>
      </w: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spacing w:line="0" w:lineRule="atLeast"/>
        <w:jc w:val="both"/>
        <w:rPr>
          <w:rFonts w:hint="eastAsia" w:eastAsia="方正小标宋_GBK"/>
          <w:kern w:val="0"/>
          <w:sz w:val="36"/>
          <w:szCs w:val="36"/>
          <w:lang w:val="en-US" w:eastAsia="zh-CN"/>
        </w:rPr>
      </w:pPr>
      <w:r>
        <w:rPr>
          <w:rFonts w:hint="eastAsia" w:eastAsia="方正小标宋_GBK"/>
          <w:kern w:val="0"/>
          <w:sz w:val="36"/>
          <w:szCs w:val="36"/>
          <w:lang w:eastAsia="zh-CN"/>
        </w:rPr>
        <w:t>附件</w:t>
      </w:r>
      <w:r>
        <w:rPr>
          <w:rFonts w:hint="eastAsia" w:eastAsia="方正小标宋_GBK"/>
          <w:kern w:val="0"/>
          <w:sz w:val="36"/>
          <w:szCs w:val="36"/>
          <w:lang w:val="en-US" w:eastAsia="zh-CN"/>
        </w:rPr>
        <w:t>5</w:t>
      </w:r>
    </w:p>
    <w:p>
      <w:pPr>
        <w:pStyle w:val="2"/>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项目支出绩效自评报告</w:t>
      </w:r>
    </w:p>
    <w:p>
      <w:pPr>
        <w:pStyle w:val="2"/>
        <w:ind w:left="0" w:leftChars="0" w:firstLine="0" w:firstLineChars="0"/>
        <w:jc w:val="center"/>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一、项目支出概况</w:t>
      </w:r>
    </w:p>
    <w:p>
      <w:pPr>
        <w:widowControl/>
        <w:spacing w:line="600" w:lineRule="exact"/>
        <w:ind w:firstLine="645"/>
        <w:jc w:val="left"/>
        <w:rPr>
          <w:rFonts w:hint="eastAsia" w:ascii="仿宋" w:hAnsi="仿宋" w:eastAsia="仿宋" w:cs="仿宋"/>
          <w:bCs/>
          <w:kern w:val="2"/>
          <w:sz w:val="32"/>
          <w:szCs w:val="32"/>
          <w:lang w:val="en-US" w:eastAsia="zh-CN" w:bidi="ar-SA"/>
        </w:rPr>
      </w:pPr>
      <w:r>
        <w:rPr>
          <w:rFonts w:hint="eastAsia" w:ascii="楷体" w:hAnsi="楷体" w:eastAsia="楷体" w:cs="楷体"/>
          <w:b/>
          <w:bCs w:val="0"/>
          <w:sz w:val="32"/>
          <w:szCs w:val="32"/>
          <w:lang w:val="en-US" w:eastAsia="zh-CN"/>
        </w:rPr>
        <w:t>（一）项目实施单位基本情况。</w:t>
      </w:r>
      <w:r>
        <w:rPr>
          <w:rFonts w:hint="eastAsia" w:ascii="仿宋" w:hAnsi="仿宋" w:eastAsia="仿宋" w:cs="仿宋"/>
          <w:bCs/>
          <w:kern w:val="2"/>
          <w:sz w:val="32"/>
          <w:szCs w:val="32"/>
          <w:lang w:val="en-US" w:eastAsia="zh-CN" w:bidi="ar-SA"/>
        </w:rPr>
        <w:t>本单位属于全额预算拨款,县委直属正科级公益一类事业单位，人员编制数15人，截至2023年12月底，在职实有人数9人，退休人员2人。执行行政会计制度,一级部门预算。</w:t>
      </w:r>
    </w:p>
    <w:p>
      <w:pPr>
        <w:pStyle w:val="2"/>
        <w:keepNext w:val="0"/>
        <w:keepLines w:val="0"/>
        <w:pageBreakBefore w:val="0"/>
        <w:widowControl w:val="0"/>
        <w:kinsoku/>
        <w:wordWrap/>
        <w:overflowPunct/>
        <w:topLinePunct w:val="0"/>
        <w:autoSpaceDE/>
        <w:autoSpaceDN/>
        <w:bidi w:val="0"/>
        <w:adjustRightInd/>
        <w:snapToGrid/>
        <w:ind w:left="0" w:leftChars="0" w:firstLine="321" w:firstLineChars="1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（二）项目资金基本情况</w:t>
      </w:r>
    </w:p>
    <w:p>
      <w:pPr>
        <w:widowControl/>
        <w:spacing w:line="600" w:lineRule="exact"/>
        <w:ind w:firstLine="645"/>
        <w:jc w:val="left"/>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2023年业务工作经费拨款支出770000元。①党史含党史联络工作、资料征集、《年鉴》编纂、《扶贫志》编纂、《党史正本第三卷》编纂支出用于日常办公费、差旅费、走访、租车费、订阅《湘潮》杂志、打字复印费、印刷费、书号费、聘请人员工资等支出；②地方志含《邵阳县年鉴》、《扶贫志志》经费支出用于文字资料收集、图片资料收集、收集资料的差旅费、租车费、打字复印办公费、聘请人员工资、公务接待、出版等。以上支出作为综合支出全部列入人员经费和公用经费支出。</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项目资金绩效目标</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总体目标，党史三卷合计100万，年度目标30万。扶贫志暂定2023年20万。年鉴2023年拨款10万</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二、项目资金使用及管理情况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2.在日常预算管理过程中，进一步加强预算支出的审核跟踪及预算执行情况分析。 </w:t>
      </w:r>
    </w:p>
    <w:p>
      <w:pPr>
        <w:widowControl/>
        <w:spacing w:line="600" w:lineRule="exact"/>
        <w:ind w:firstLine="645"/>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五、主要经验做法、存在的问题及原因分析</w:t>
      </w:r>
    </w:p>
    <w:p>
      <w:pPr>
        <w:widowControl/>
        <w:spacing w:line="600" w:lineRule="exact"/>
        <w:ind w:firstLine="645"/>
        <w:jc w:val="left"/>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由于财政预算拨款不能弥补实际支出，特别是联村帮扶乡村振兴以及参与“三城”同创、疫情防控和扫黑除恶等等中心工作、绩效奖等，县财政没有预算工作经费，而这些工作经费只能从其他经费中挤占，因此造成专项业务费支出账务处理时相互调配使用，没有体现各项业务支出明细，只是作为综合支出核算。</w:t>
      </w: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hint="eastAsia" w:eastAsia="方正小标宋_GBK"/>
          <w:kern w:val="0"/>
          <w:sz w:val="36"/>
          <w:szCs w:val="36"/>
          <w:lang w:eastAsia="zh-CN"/>
        </w:rPr>
      </w:pP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40"/>
        <w:gridCol w:w="774"/>
        <w:gridCol w:w="1138"/>
        <w:gridCol w:w="1602"/>
        <w:gridCol w:w="1236"/>
        <w:gridCol w:w="1026"/>
        <w:gridCol w:w="536"/>
        <w:gridCol w:w="589"/>
        <w:gridCol w:w="252"/>
        <w:gridCol w:w="1129"/>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党史正本第三卷</w:t>
            </w:r>
          </w:p>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ascii="仿宋_GB2312" w:eastAsia="仿宋_GB2312"/>
                <w:kern w:val="0"/>
                <w:szCs w:val="21"/>
                <w:lang w:val="en-US" w:eastAsia="zh-CN"/>
              </w:rPr>
              <w:t>邵阳县党史和地方志研究室</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ascii="仿宋_GB2312" w:eastAsia="仿宋_GB2312"/>
                <w:kern w:val="0"/>
                <w:szCs w:val="21"/>
                <w:lang w:val="en-US" w:eastAsia="zh-CN"/>
              </w:rPr>
              <w:t>30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ascii="仿宋_GB2312" w:eastAsia="仿宋_GB2312"/>
                <w:kern w:val="0"/>
                <w:szCs w:val="21"/>
                <w:lang w:val="en-US" w:eastAsia="zh-CN"/>
              </w:rPr>
              <w:t>30</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30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ascii="仿宋_GB2312" w:eastAsia="仿宋_GB2312"/>
                <w:kern w:val="0"/>
                <w:szCs w:val="21"/>
                <w:lang w:val="en-US" w:eastAsia="zh-CN"/>
              </w:rPr>
              <w:t>30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党史正本第三卷第一阶段的资料收集</w:t>
            </w: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资料收集已完成</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资料收集完成度</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cs="Times New Roman"/>
                <w:kern w:val="0"/>
                <w:szCs w:val="21"/>
                <w:lang w:val="en-US" w:eastAsia="zh-CN"/>
              </w:rPr>
            </w:pPr>
            <w:r>
              <w:rPr>
                <w:rFonts w:hint="eastAsia" w:eastAsia="仿宋_GB2312" w:cs="Times New Roman"/>
                <w:kern w:val="0"/>
                <w:szCs w:val="21"/>
                <w:lang w:val="en-US" w:eastAsia="zh-CN"/>
              </w:rPr>
              <w:t>15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cs="Times New Roman"/>
                <w:kern w:val="0"/>
                <w:szCs w:val="21"/>
                <w:lang w:val="en-US" w:eastAsia="zh-CN"/>
              </w:rPr>
            </w:pPr>
            <w:r>
              <w:rPr>
                <w:rFonts w:hint="eastAsia" w:eastAsia="仿宋_GB2312" w:cs="Times New Roman"/>
                <w:kern w:val="0"/>
                <w:szCs w:val="21"/>
                <w:lang w:val="en-US" w:eastAsia="zh-CN"/>
              </w:rPr>
              <w:t>15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15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能用程度</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11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4"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按期完成</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cs="Times New Roman"/>
                <w:kern w:val="0"/>
                <w:szCs w:val="21"/>
                <w:lang w:val="en-US" w:eastAsia="zh-CN"/>
              </w:rPr>
            </w:pPr>
            <w:r>
              <w:rPr>
                <w:rFonts w:hint="eastAsia" w:eastAsia="仿宋_GB2312" w:cs="Times New Roman"/>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cs="Times New Roman"/>
                <w:kern w:val="0"/>
                <w:szCs w:val="21"/>
                <w:lang w:val="en-US" w:eastAsia="zh-CN"/>
              </w:rPr>
            </w:pPr>
            <w:r>
              <w:rPr>
                <w:rFonts w:hint="eastAsia" w:eastAsia="仿宋_GB2312" w:cs="Times New Roman"/>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预算内</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社会知晓度</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30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29</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95</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9.5</w:t>
            </w: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98.5</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hint="eastAsia" w:ascii="Times New Roman" w:hAnsi="Times New Roman" w:eastAsia="仿宋_GB2312"/>
          <w:sz w:val="24"/>
          <w:lang w:val="en-US" w:eastAsia="zh-CN"/>
        </w:rPr>
      </w:pPr>
      <w:r>
        <w:rPr>
          <w:rFonts w:hint="eastAsia" w:eastAsia="仿宋_GB2312"/>
          <w:sz w:val="24"/>
        </w:rPr>
        <w:t>填表人：</w:t>
      </w:r>
      <w:r>
        <w:rPr>
          <w:rFonts w:hint="eastAsia" w:eastAsia="仿宋_GB2312"/>
          <w:sz w:val="24"/>
          <w:lang w:val="en-US" w:eastAsia="zh-CN"/>
        </w:rPr>
        <w:t>郑鸿盈</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2024.3.7</w:t>
      </w:r>
      <w:r>
        <w:rPr>
          <w:rFonts w:eastAsia="仿宋_GB2312"/>
          <w:sz w:val="24"/>
        </w:rPr>
        <w:t xml:space="preserve"> </w:t>
      </w:r>
      <w:r>
        <w:rPr>
          <w:rFonts w:hint="eastAsia" w:eastAsia="仿宋_GB2312"/>
          <w:sz w:val="24"/>
        </w:rPr>
        <w:t>联系电话：</w:t>
      </w:r>
      <w:r>
        <w:rPr>
          <w:rFonts w:hint="eastAsia" w:eastAsia="仿宋_GB2312"/>
          <w:sz w:val="24"/>
          <w:lang w:val="en-US" w:eastAsia="zh-CN"/>
        </w:rPr>
        <w:t>6823118</w:t>
      </w:r>
      <w:r>
        <w:rPr>
          <w:rFonts w:eastAsia="仿宋_GB2312"/>
          <w:sz w:val="24"/>
        </w:rPr>
        <w:t xml:space="preserve"> </w:t>
      </w:r>
      <w:r>
        <w:rPr>
          <w:rFonts w:hint="eastAsia" w:eastAsia="仿宋_GB2312"/>
          <w:sz w:val="24"/>
        </w:rPr>
        <w:t>单位负责人签字：</w:t>
      </w:r>
      <w:r>
        <w:rPr>
          <w:rFonts w:hint="eastAsia" w:eastAsia="仿宋_GB2312"/>
          <w:sz w:val="24"/>
          <w:lang w:val="en-US" w:eastAsia="zh-CN"/>
        </w:rPr>
        <w:t>王中辉</w:t>
      </w:r>
    </w:p>
    <w:p>
      <w:pPr>
        <w:ind w:left="10" w:leftChars="5" w:firstLine="406" w:firstLineChars="127"/>
        <w:jc w:val="lef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keepNext w:val="0"/>
        <w:keepLines w:val="0"/>
        <w:pageBreakBefore w:val="0"/>
        <w:widowControl w:val="0"/>
        <w:numPr>
          <w:ilvl w:val="0"/>
          <w:numId w:val="3"/>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keepNext w:val="0"/>
        <w:keepLines w:val="0"/>
        <w:pageBreakBefore w:val="0"/>
        <w:widowControl w:val="0"/>
        <w:numPr>
          <w:ilvl w:val="0"/>
          <w:numId w:val="3"/>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keepNext w:val="0"/>
        <w:keepLines w:val="0"/>
        <w:pageBreakBefore w:val="0"/>
        <w:widowControl w:val="0"/>
        <w:numPr>
          <w:ilvl w:val="0"/>
          <w:numId w:val="3"/>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keepNext w:val="0"/>
        <w:keepLines w:val="0"/>
        <w:pageBreakBefore w:val="0"/>
        <w:widowControl w:val="0"/>
        <w:kinsoku/>
        <w:wordWrap/>
        <w:overflowPunct/>
        <w:topLinePunct w:val="0"/>
        <w:autoSpaceDE/>
        <w:autoSpaceDN/>
        <w:bidi w:val="0"/>
        <w:snapToGrid/>
        <w:spacing w:line="600" w:lineRule="exact"/>
        <w:ind w:left="277" w:leftChars="132"/>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641"/>
        <w:textAlignment w:val="auto"/>
        <w:rPr>
          <w:rFonts w:hint="eastAsia" w:ascii="黑体" w:eastAsia="黑体"/>
          <w:sz w:val="32"/>
          <w:szCs w:val="32"/>
        </w:rPr>
      </w:pPr>
    </w:p>
    <w:p>
      <w:pPr>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38"/>
        <w:gridCol w:w="773"/>
        <w:gridCol w:w="1137"/>
        <w:gridCol w:w="1600"/>
        <w:gridCol w:w="1244"/>
        <w:gridCol w:w="1023"/>
        <w:gridCol w:w="536"/>
        <w:gridCol w:w="589"/>
        <w:gridCol w:w="254"/>
        <w:gridCol w:w="1128"/>
      </w:tblGrid>
      <w:tr>
        <w:tblPrEx>
          <w:tblCellMar>
            <w:top w:w="0" w:type="dxa"/>
            <w:left w:w="108" w:type="dxa"/>
            <w:bottom w:w="0" w:type="dxa"/>
            <w:right w:w="108" w:type="dxa"/>
          </w:tblCellMar>
        </w:tblPrEx>
        <w:trPr>
          <w:trHeight w:val="393"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73" w:type="dxa"/>
            <w:gridSpan w:val="9"/>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邵阳县扶贫志</w:t>
            </w:r>
            <w:r>
              <w:rPr>
                <w:rFonts w:hint="eastAsia" w:ascii="仿宋_GB2312" w:eastAsia="仿宋_GB2312"/>
                <w:kern w:val="0"/>
                <w:szCs w:val="21"/>
                <w:lang w:eastAsia="zh-CN"/>
              </w:rPr>
              <w:t>》</w:t>
            </w:r>
          </w:p>
          <w:p>
            <w:pPr>
              <w:widowControl/>
              <w:spacing w:line="0" w:lineRule="atLeast"/>
              <w:jc w:val="center"/>
              <w:rPr>
                <w:rFonts w:eastAsia="仿宋_GB2312"/>
                <w:kern w:val="0"/>
                <w:szCs w:val="21"/>
              </w:rPr>
            </w:pPr>
            <w:r>
              <w:rPr>
                <w:rFonts w:hint="eastAsia" w:ascii="仿宋_GB2312"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1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6"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2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ascii="仿宋_GB2312" w:eastAsia="仿宋_GB2312"/>
                <w:kern w:val="0"/>
                <w:szCs w:val="21"/>
                <w:lang w:val="en-US" w:eastAsia="zh-CN"/>
              </w:rPr>
              <w:t>邵阳县党史和地方志研究室</w:t>
            </w:r>
          </w:p>
        </w:tc>
      </w:tr>
      <w:tr>
        <w:tblPrEx>
          <w:tblCellMar>
            <w:top w:w="0" w:type="dxa"/>
            <w:left w:w="108" w:type="dxa"/>
            <w:bottom w:w="0" w:type="dxa"/>
            <w:right w:w="108" w:type="dxa"/>
          </w:tblCellMar>
        </w:tblPrEx>
        <w:trPr>
          <w:trHeight w:val="373" w:hRule="atLeast"/>
          <w:jc w:val="center"/>
        </w:trPr>
        <w:tc>
          <w:tcPr>
            <w:tcW w:w="1049"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3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6"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42"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46"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3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ascii="仿宋_GB2312" w:eastAsia="仿宋_GB2312"/>
                <w:kern w:val="0"/>
                <w:szCs w:val="21"/>
                <w:lang w:val="en-US" w:eastAsia="zh-CN"/>
              </w:rPr>
              <w:t>20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20</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10</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3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ascii="仿宋_GB2312" w:eastAsia="仿宋_GB2312"/>
                <w:kern w:val="0"/>
                <w:szCs w:val="21"/>
                <w:lang w:val="en-US" w:eastAsia="zh-CN"/>
              </w:rPr>
              <w:t>20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3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33"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4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1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4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1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完成第一阶段资料收集形成初稿</w:t>
            </w:r>
            <w:r>
              <w:rPr>
                <w:rFonts w:hint="eastAsia" w:eastAsia="仿宋_GB2312"/>
                <w:kern w:val="0"/>
                <w:szCs w:val="21"/>
              </w:rPr>
              <w:t>　　</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已完成</w:t>
            </w:r>
          </w:p>
        </w:tc>
      </w:tr>
      <w:tr>
        <w:tblPrEx>
          <w:tblCellMar>
            <w:top w:w="0" w:type="dxa"/>
            <w:left w:w="108" w:type="dxa"/>
            <w:bottom w:w="0" w:type="dxa"/>
            <w:right w:w="108" w:type="dxa"/>
          </w:tblCellMar>
        </w:tblPrEx>
        <w:trPr>
          <w:trHeight w:val="377" w:hRule="atLeast"/>
          <w:jc w:val="center"/>
        </w:trPr>
        <w:tc>
          <w:tcPr>
            <w:tcW w:w="10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7"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5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资料收集完成度</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cs="Times New Roman"/>
                <w:kern w:val="0"/>
                <w:szCs w:val="21"/>
                <w:lang w:val="en-US" w:eastAsia="zh-CN"/>
              </w:rPr>
              <w:t>15</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cs="Times New Roman"/>
                <w:kern w:val="0"/>
                <w:szCs w:val="21"/>
                <w:lang w:val="en-US" w:eastAsia="zh-CN"/>
              </w:rPr>
              <w:t>15</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能用程度</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15</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15</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按期完成</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cs="Times New Roman"/>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cs="Times New Roman"/>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预算内</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30</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社会知晓度</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95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30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29</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56"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95</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9.5</w:t>
            </w:r>
            <w:r>
              <w:rPr>
                <w:rFonts w:hint="eastAsia" w:eastAsia="仿宋_GB2312"/>
                <w:kern w:val="0"/>
                <w:szCs w:val="21"/>
              </w:rPr>
              <w:t>　</w:t>
            </w:r>
          </w:p>
        </w:tc>
        <w:tc>
          <w:tcPr>
            <w:tcW w:w="1404" w:type="dxa"/>
            <w:gridSpan w:val="2"/>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89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98.5</w:t>
            </w:r>
          </w:p>
        </w:tc>
        <w:tc>
          <w:tcPr>
            <w:tcW w:w="140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line="0" w:lineRule="atLeast"/>
        <w:jc w:val="center"/>
        <w:rPr>
          <w:rFonts w:hint="eastAsia" w:eastAsia="方正小标宋_GBK"/>
          <w:kern w:val="0"/>
          <w:sz w:val="36"/>
          <w:szCs w:val="36"/>
          <w:lang w:eastAsia="zh-CN"/>
        </w:rPr>
      </w:pPr>
      <w:r>
        <w:rPr>
          <w:rFonts w:hint="eastAsia" w:eastAsia="仿宋_GB2312"/>
          <w:sz w:val="24"/>
        </w:rPr>
        <w:t>填表人：</w:t>
      </w:r>
      <w:r>
        <w:rPr>
          <w:rFonts w:hint="eastAsia" w:eastAsia="仿宋_GB2312"/>
          <w:sz w:val="24"/>
          <w:lang w:val="en-US" w:eastAsia="zh-CN"/>
        </w:rPr>
        <w:t>郑鸿盈</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2024.3.7</w:t>
      </w:r>
      <w:r>
        <w:rPr>
          <w:rFonts w:eastAsia="仿宋_GB2312"/>
          <w:sz w:val="24"/>
        </w:rPr>
        <w:t xml:space="preserve"> </w:t>
      </w:r>
      <w:r>
        <w:rPr>
          <w:rFonts w:hint="eastAsia" w:eastAsia="仿宋_GB2312"/>
          <w:sz w:val="24"/>
        </w:rPr>
        <w:t>联系电话：</w:t>
      </w:r>
      <w:r>
        <w:rPr>
          <w:rFonts w:hint="eastAsia" w:eastAsia="仿宋_GB2312"/>
          <w:sz w:val="24"/>
          <w:lang w:val="en-US" w:eastAsia="zh-CN"/>
        </w:rPr>
        <w:t>6823118</w:t>
      </w:r>
      <w:r>
        <w:rPr>
          <w:rFonts w:eastAsia="仿宋_GB2312"/>
          <w:sz w:val="24"/>
        </w:rPr>
        <w:t xml:space="preserve"> </w:t>
      </w:r>
      <w:r>
        <w:rPr>
          <w:rFonts w:hint="eastAsia" w:eastAsia="仿宋_GB2312"/>
          <w:sz w:val="24"/>
        </w:rPr>
        <w:t>单位负责人签字：</w:t>
      </w:r>
      <w:r>
        <w:rPr>
          <w:rFonts w:hint="eastAsia" w:eastAsia="仿宋_GB2312"/>
          <w:sz w:val="24"/>
          <w:lang w:val="en-US" w:eastAsia="zh-CN"/>
        </w:rPr>
        <w:t>王中辉</w:t>
      </w:r>
    </w:p>
    <w:p>
      <w:pPr>
        <w:spacing w:line="0" w:lineRule="atLeast"/>
        <w:jc w:val="center"/>
        <w:rPr>
          <w:rFonts w:hint="eastAsia" w:eastAsia="方正小标宋_GBK"/>
          <w:kern w:val="0"/>
          <w:sz w:val="36"/>
          <w:szCs w:val="36"/>
          <w:lang w:eastAsia="zh-CN"/>
        </w:rPr>
      </w:pP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38"/>
        <w:gridCol w:w="773"/>
        <w:gridCol w:w="1137"/>
        <w:gridCol w:w="1600"/>
        <w:gridCol w:w="1244"/>
        <w:gridCol w:w="1023"/>
        <w:gridCol w:w="536"/>
        <w:gridCol w:w="589"/>
        <w:gridCol w:w="254"/>
        <w:gridCol w:w="1128"/>
      </w:tblGrid>
      <w:tr>
        <w:tblPrEx>
          <w:tblCellMar>
            <w:top w:w="0" w:type="dxa"/>
            <w:left w:w="108" w:type="dxa"/>
            <w:bottom w:w="0" w:type="dxa"/>
            <w:right w:w="108" w:type="dxa"/>
          </w:tblCellMar>
        </w:tblPrEx>
        <w:trPr>
          <w:trHeight w:val="393"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73"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_GB2312" w:eastAsia="仿宋_GB2312"/>
                <w:kern w:val="0"/>
                <w:szCs w:val="21"/>
                <w:lang w:val="en-US" w:eastAsia="zh-CN"/>
              </w:rPr>
              <w:t>邵阳县年鉴</w:t>
            </w:r>
            <w:r>
              <w:rPr>
                <w:rFonts w:hint="eastAsia" w:ascii="仿宋_GB2312"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1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6"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2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ascii="仿宋_GB2312" w:eastAsia="仿宋_GB2312"/>
                <w:kern w:val="0"/>
                <w:szCs w:val="21"/>
                <w:lang w:val="en-US" w:eastAsia="zh-CN"/>
              </w:rPr>
              <w:t>邵阳县党史和地方志研究室</w:t>
            </w:r>
          </w:p>
        </w:tc>
      </w:tr>
      <w:tr>
        <w:tblPrEx>
          <w:tblCellMar>
            <w:top w:w="0" w:type="dxa"/>
            <w:left w:w="108" w:type="dxa"/>
            <w:bottom w:w="0" w:type="dxa"/>
            <w:right w:w="108" w:type="dxa"/>
          </w:tblCellMar>
        </w:tblPrEx>
        <w:trPr>
          <w:trHeight w:val="373" w:hRule="atLeast"/>
          <w:jc w:val="center"/>
        </w:trPr>
        <w:tc>
          <w:tcPr>
            <w:tcW w:w="1049"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3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6"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742"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46"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3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10</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3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ascii="仿宋_GB2312" w:eastAsia="仿宋_GB2312"/>
                <w:kern w:val="0"/>
                <w:szCs w:val="21"/>
                <w:lang w:val="en-US" w:eastAsia="zh-CN"/>
              </w:rPr>
              <w:t>10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3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33"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4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1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4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13"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2023年鉴编纂工作完成</w:t>
            </w:r>
            <w:r>
              <w:rPr>
                <w:rFonts w:hint="eastAsia" w:eastAsia="仿宋_GB2312"/>
                <w:kern w:val="0"/>
                <w:szCs w:val="21"/>
              </w:rPr>
              <w:t>　　</w:t>
            </w:r>
          </w:p>
        </w:tc>
        <w:tc>
          <w:tcPr>
            <w:tcW w:w="3460"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已出版2023年鉴</w:t>
            </w:r>
          </w:p>
        </w:tc>
      </w:tr>
      <w:tr>
        <w:tblPrEx>
          <w:tblCellMar>
            <w:top w:w="0" w:type="dxa"/>
            <w:left w:w="108" w:type="dxa"/>
            <w:bottom w:w="0" w:type="dxa"/>
            <w:right w:w="108" w:type="dxa"/>
          </w:tblCellMar>
        </w:tblPrEx>
        <w:trPr>
          <w:trHeight w:val="377" w:hRule="atLeast"/>
          <w:jc w:val="center"/>
        </w:trPr>
        <w:tc>
          <w:tcPr>
            <w:tcW w:w="10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7"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5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资料收集完成度</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cs="Times New Roman"/>
                <w:kern w:val="0"/>
                <w:szCs w:val="21"/>
                <w:lang w:val="en-US" w:eastAsia="zh-CN"/>
              </w:rPr>
              <w:t>15</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cs="Times New Roman"/>
                <w:kern w:val="0"/>
                <w:szCs w:val="21"/>
                <w:lang w:val="en-US" w:eastAsia="zh-CN"/>
              </w:rPr>
              <w:t>15</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能用程度</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15</w:t>
            </w: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15</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完成时间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按期完成</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cs="Times New Roman"/>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cs="Times New Roman"/>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预算内</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30</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社会知晓度</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95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30</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29</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56"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100</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95</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9.5</w:t>
            </w:r>
            <w:r>
              <w:rPr>
                <w:rFonts w:hint="eastAsia" w:eastAsia="仿宋_GB2312"/>
                <w:kern w:val="0"/>
                <w:szCs w:val="21"/>
              </w:rPr>
              <w:t>　</w:t>
            </w:r>
          </w:p>
        </w:tc>
        <w:tc>
          <w:tcPr>
            <w:tcW w:w="1404" w:type="dxa"/>
            <w:gridSpan w:val="2"/>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7"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56"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29"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036"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c>
          <w:tcPr>
            <w:tcW w:w="1404" w:type="dxa"/>
            <w:gridSpan w:val="2"/>
            <w:tcBorders>
              <w:top w:val="nil"/>
              <w:left w:val="nil"/>
              <w:bottom w:val="single" w:color="auto" w:sz="4" w:space="0"/>
              <w:right w:val="single" w:color="auto" w:sz="4" w:space="0"/>
            </w:tcBorders>
            <w:vAlign w:val="center"/>
          </w:tcPr>
          <w:p>
            <w:pPr>
              <w:widowControl/>
              <w:spacing w:line="0" w:lineRule="atLeast"/>
              <w:jc w:val="left"/>
              <w:rPr>
                <w:rFonts w:ascii="Calibri" w:hAnsi="Calibri" w:eastAsia="仿宋_GB2312" w:cs="Times New Roman"/>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89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8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98.5</w:t>
            </w:r>
            <w:r>
              <w:rPr>
                <w:rFonts w:hint="eastAsia" w:eastAsia="仿宋_GB2312"/>
                <w:kern w:val="0"/>
                <w:szCs w:val="21"/>
              </w:rPr>
              <w:t>　</w:t>
            </w:r>
          </w:p>
        </w:tc>
        <w:tc>
          <w:tcPr>
            <w:tcW w:w="140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pStyle w:val="2"/>
        <w:ind w:left="0" w:leftChars="0" w:firstLine="0" w:firstLineChars="0"/>
        <w:rPr>
          <w:rFonts w:ascii="仿宋" w:hAnsi="仿宋" w:eastAsia="仿宋" w:cs="仿宋"/>
          <w:sz w:val="32"/>
          <w:szCs w:val="32"/>
        </w:rPr>
      </w:pPr>
      <w:r>
        <w:rPr>
          <w:rFonts w:hint="eastAsia" w:eastAsia="仿宋_GB2312"/>
          <w:sz w:val="24"/>
        </w:rPr>
        <w:t>填表人：</w:t>
      </w:r>
      <w:r>
        <w:rPr>
          <w:rFonts w:hint="eastAsia" w:eastAsia="仿宋_GB2312"/>
          <w:sz w:val="24"/>
          <w:lang w:val="en-US" w:eastAsia="zh-CN"/>
        </w:rPr>
        <w:t>郑鸿盈</w:t>
      </w:r>
      <w:r>
        <w:rPr>
          <w:rFonts w:eastAsia="仿宋_GB2312"/>
          <w:sz w:val="24"/>
        </w:rPr>
        <w:t xml:space="preserve"> </w:t>
      </w:r>
      <w:r>
        <w:rPr>
          <w:rFonts w:hint="eastAsia" w:eastAsia="仿宋_GB2312"/>
          <w:sz w:val="24"/>
        </w:rPr>
        <w:t>填报日期：</w:t>
      </w:r>
      <w:r>
        <w:rPr>
          <w:rFonts w:hint="eastAsia" w:eastAsia="仿宋_GB2312"/>
          <w:sz w:val="24"/>
          <w:lang w:val="en-US" w:eastAsia="zh-CN"/>
        </w:rPr>
        <w:t>2024.3.7</w:t>
      </w:r>
      <w:r>
        <w:rPr>
          <w:rFonts w:eastAsia="仿宋_GB2312"/>
          <w:sz w:val="24"/>
        </w:rPr>
        <w:t xml:space="preserve"> </w:t>
      </w:r>
      <w:r>
        <w:rPr>
          <w:rFonts w:hint="eastAsia" w:eastAsia="仿宋_GB2312"/>
          <w:sz w:val="24"/>
        </w:rPr>
        <w:t>联系电话：</w:t>
      </w:r>
      <w:r>
        <w:rPr>
          <w:rFonts w:hint="eastAsia" w:eastAsia="仿宋_GB2312"/>
          <w:sz w:val="24"/>
          <w:lang w:val="en-US" w:eastAsia="zh-CN"/>
        </w:rPr>
        <w:t>6823118</w:t>
      </w:r>
      <w:r>
        <w:rPr>
          <w:rFonts w:eastAsia="仿宋_GB2312"/>
          <w:sz w:val="24"/>
        </w:rPr>
        <w:t xml:space="preserve"> </w:t>
      </w:r>
      <w:r>
        <w:rPr>
          <w:rFonts w:hint="eastAsia" w:eastAsia="仿宋_GB2312"/>
          <w:sz w:val="24"/>
        </w:rPr>
        <w:t>单位负责人签字：</w:t>
      </w:r>
      <w:r>
        <w:rPr>
          <w:rFonts w:hint="eastAsia" w:eastAsia="仿宋_GB2312"/>
          <w:sz w:val="24"/>
          <w:lang w:val="en-US" w:eastAsia="zh-CN"/>
        </w:rPr>
        <w:t>王中辉</w:t>
      </w:r>
    </w:p>
    <w:p>
      <w:pPr>
        <w:pStyle w:val="2"/>
        <w:ind w:left="0" w:leftChars="0" w:firstLine="0" w:firstLineChars="0"/>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5CCA1"/>
    <w:multiLevelType w:val="singleLevel"/>
    <w:tmpl w:val="D005CCA1"/>
    <w:lvl w:ilvl="0" w:tentative="0">
      <w:start w:val="3"/>
      <w:numFmt w:val="chineseCounting"/>
      <w:suff w:val="nothing"/>
      <w:lvlText w:val="（%1）"/>
      <w:lvlJc w:val="left"/>
      <w:rPr>
        <w:rFonts w:hint="eastAsia"/>
      </w:rPr>
    </w:lvl>
  </w:abstractNum>
  <w:abstractNum w:abstractNumId="1">
    <w:nsid w:val="6588993E"/>
    <w:multiLevelType w:val="singleLevel"/>
    <w:tmpl w:val="6588993E"/>
    <w:lvl w:ilvl="0" w:tentative="0">
      <w:start w:val="1"/>
      <w:numFmt w:val="decimal"/>
      <w:suff w:val="nothing"/>
      <w:lvlText w:val="（%1）"/>
      <w:lvlJc w:val="left"/>
    </w:lvl>
  </w:abstractNum>
  <w:abstractNum w:abstractNumId="2">
    <w:nsid w:val="65E23B9B"/>
    <w:multiLevelType w:val="singleLevel"/>
    <w:tmpl w:val="65E23B9B"/>
    <w:lvl w:ilvl="0" w:tentative="0">
      <w:start w:val="8"/>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YjkxZDYwOTkxMmM4N2Y0ZTQ5YTNlNjhiMTM0OTU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2A14C7A"/>
    <w:rsid w:val="03BA01AE"/>
    <w:rsid w:val="055F72FC"/>
    <w:rsid w:val="05C63780"/>
    <w:rsid w:val="05E05ABA"/>
    <w:rsid w:val="0619721E"/>
    <w:rsid w:val="061F7757"/>
    <w:rsid w:val="062736E9"/>
    <w:rsid w:val="063B53E6"/>
    <w:rsid w:val="06B14C94"/>
    <w:rsid w:val="07061C60"/>
    <w:rsid w:val="07601F6F"/>
    <w:rsid w:val="07ED2710"/>
    <w:rsid w:val="0859360A"/>
    <w:rsid w:val="087251E8"/>
    <w:rsid w:val="090C0797"/>
    <w:rsid w:val="092550F0"/>
    <w:rsid w:val="09636F12"/>
    <w:rsid w:val="0AC0235E"/>
    <w:rsid w:val="0B085BAA"/>
    <w:rsid w:val="0B402ED3"/>
    <w:rsid w:val="0B5575DE"/>
    <w:rsid w:val="0B595BEC"/>
    <w:rsid w:val="0D013842"/>
    <w:rsid w:val="0D605FA4"/>
    <w:rsid w:val="0DAC1131"/>
    <w:rsid w:val="0DCD1FE2"/>
    <w:rsid w:val="0E2A021A"/>
    <w:rsid w:val="0F0351A9"/>
    <w:rsid w:val="0F072309"/>
    <w:rsid w:val="0F470958"/>
    <w:rsid w:val="0F6040CA"/>
    <w:rsid w:val="0F686EA2"/>
    <w:rsid w:val="0FA4224E"/>
    <w:rsid w:val="10125033"/>
    <w:rsid w:val="117D2D56"/>
    <w:rsid w:val="12380A2C"/>
    <w:rsid w:val="13063EC3"/>
    <w:rsid w:val="15CB6A9A"/>
    <w:rsid w:val="17DC64AC"/>
    <w:rsid w:val="194621AC"/>
    <w:rsid w:val="1C96001A"/>
    <w:rsid w:val="1D8857EE"/>
    <w:rsid w:val="1DA67C4F"/>
    <w:rsid w:val="1E4A056C"/>
    <w:rsid w:val="1F5D7D23"/>
    <w:rsid w:val="1FC30C3F"/>
    <w:rsid w:val="2051109F"/>
    <w:rsid w:val="20DC27D1"/>
    <w:rsid w:val="213F01B2"/>
    <w:rsid w:val="21486D67"/>
    <w:rsid w:val="217355DC"/>
    <w:rsid w:val="219043E0"/>
    <w:rsid w:val="25875AFA"/>
    <w:rsid w:val="259049AF"/>
    <w:rsid w:val="26A1499A"/>
    <w:rsid w:val="26CA0729"/>
    <w:rsid w:val="26EC76C6"/>
    <w:rsid w:val="26F435DA"/>
    <w:rsid w:val="27084A19"/>
    <w:rsid w:val="273137CC"/>
    <w:rsid w:val="27654B82"/>
    <w:rsid w:val="27897907"/>
    <w:rsid w:val="279C010A"/>
    <w:rsid w:val="28090A48"/>
    <w:rsid w:val="28212236"/>
    <w:rsid w:val="296F6263"/>
    <w:rsid w:val="297E7214"/>
    <w:rsid w:val="2ACD4C49"/>
    <w:rsid w:val="2B762899"/>
    <w:rsid w:val="2B9C3577"/>
    <w:rsid w:val="2BBA09D7"/>
    <w:rsid w:val="2BD440AE"/>
    <w:rsid w:val="2BD575BF"/>
    <w:rsid w:val="2C6944DC"/>
    <w:rsid w:val="2CEB4BC0"/>
    <w:rsid w:val="2DB2495A"/>
    <w:rsid w:val="2EF0518E"/>
    <w:rsid w:val="2F373F0A"/>
    <w:rsid w:val="2F465CE9"/>
    <w:rsid w:val="2FB76FDC"/>
    <w:rsid w:val="30133FEC"/>
    <w:rsid w:val="301467A7"/>
    <w:rsid w:val="319E58AE"/>
    <w:rsid w:val="31B25CAD"/>
    <w:rsid w:val="3236068C"/>
    <w:rsid w:val="32E672DE"/>
    <w:rsid w:val="33173320"/>
    <w:rsid w:val="33F47CCB"/>
    <w:rsid w:val="367E6347"/>
    <w:rsid w:val="36B74B2C"/>
    <w:rsid w:val="36E27034"/>
    <w:rsid w:val="370A20E7"/>
    <w:rsid w:val="376A7251"/>
    <w:rsid w:val="38C5276A"/>
    <w:rsid w:val="38FF20BA"/>
    <w:rsid w:val="399860D0"/>
    <w:rsid w:val="3B4A4976"/>
    <w:rsid w:val="3CE415AB"/>
    <w:rsid w:val="3D4F3E78"/>
    <w:rsid w:val="3D6A788A"/>
    <w:rsid w:val="3E1C6CCE"/>
    <w:rsid w:val="3E630A5B"/>
    <w:rsid w:val="3EB94B1E"/>
    <w:rsid w:val="3F07230B"/>
    <w:rsid w:val="3F6A5E19"/>
    <w:rsid w:val="3FCB2D5B"/>
    <w:rsid w:val="401A4DB7"/>
    <w:rsid w:val="40551718"/>
    <w:rsid w:val="412A5093"/>
    <w:rsid w:val="41D96CAB"/>
    <w:rsid w:val="42BF022A"/>
    <w:rsid w:val="438C45B0"/>
    <w:rsid w:val="43C95804"/>
    <w:rsid w:val="43CA6E24"/>
    <w:rsid w:val="448C37A5"/>
    <w:rsid w:val="44AE371A"/>
    <w:rsid w:val="4750610E"/>
    <w:rsid w:val="476A2E5A"/>
    <w:rsid w:val="478C1684"/>
    <w:rsid w:val="48D77849"/>
    <w:rsid w:val="492E6CEA"/>
    <w:rsid w:val="499C5626"/>
    <w:rsid w:val="49D62A28"/>
    <w:rsid w:val="4A6A422A"/>
    <w:rsid w:val="4C3126A7"/>
    <w:rsid w:val="4C985623"/>
    <w:rsid w:val="4CD44C91"/>
    <w:rsid w:val="4CE13531"/>
    <w:rsid w:val="4D1D75B1"/>
    <w:rsid w:val="4DC14C54"/>
    <w:rsid w:val="4DC64D69"/>
    <w:rsid w:val="4E7C16C5"/>
    <w:rsid w:val="5025403F"/>
    <w:rsid w:val="512D283B"/>
    <w:rsid w:val="51706157"/>
    <w:rsid w:val="51A64FE7"/>
    <w:rsid w:val="52245ABB"/>
    <w:rsid w:val="544E62B5"/>
    <w:rsid w:val="54D83964"/>
    <w:rsid w:val="551E5284"/>
    <w:rsid w:val="55971D20"/>
    <w:rsid w:val="569958AC"/>
    <w:rsid w:val="578515EA"/>
    <w:rsid w:val="57965D12"/>
    <w:rsid w:val="587F7BAB"/>
    <w:rsid w:val="590B7824"/>
    <w:rsid w:val="598A0134"/>
    <w:rsid w:val="59BA41A7"/>
    <w:rsid w:val="5A542191"/>
    <w:rsid w:val="5B0867BA"/>
    <w:rsid w:val="5B215ACE"/>
    <w:rsid w:val="5B9242D5"/>
    <w:rsid w:val="5CE4729D"/>
    <w:rsid w:val="5E2D0ECA"/>
    <w:rsid w:val="5E6261E1"/>
    <w:rsid w:val="5E7E2E48"/>
    <w:rsid w:val="5EB920A6"/>
    <w:rsid w:val="5EE15247"/>
    <w:rsid w:val="5FCA04E2"/>
    <w:rsid w:val="5FEB66AA"/>
    <w:rsid w:val="60E90E3C"/>
    <w:rsid w:val="611C2A4E"/>
    <w:rsid w:val="61ED0983"/>
    <w:rsid w:val="621A2785"/>
    <w:rsid w:val="62380621"/>
    <w:rsid w:val="62882906"/>
    <w:rsid w:val="6296592A"/>
    <w:rsid w:val="62AA63A9"/>
    <w:rsid w:val="6457430E"/>
    <w:rsid w:val="64653D4C"/>
    <w:rsid w:val="64821F10"/>
    <w:rsid w:val="64BB7C34"/>
    <w:rsid w:val="657A4758"/>
    <w:rsid w:val="68907DEF"/>
    <w:rsid w:val="693B1A2C"/>
    <w:rsid w:val="6BDD159D"/>
    <w:rsid w:val="6CB247D7"/>
    <w:rsid w:val="6D107750"/>
    <w:rsid w:val="70561C9A"/>
    <w:rsid w:val="71AF52DC"/>
    <w:rsid w:val="71C15269"/>
    <w:rsid w:val="71D074AE"/>
    <w:rsid w:val="73F90F3E"/>
    <w:rsid w:val="7440091B"/>
    <w:rsid w:val="752D41F9"/>
    <w:rsid w:val="77F770D8"/>
    <w:rsid w:val="783F1A66"/>
    <w:rsid w:val="786A32D4"/>
    <w:rsid w:val="788155F2"/>
    <w:rsid w:val="78EF290F"/>
    <w:rsid w:val="7A794B87"/>
    <w:rsid w:val="7ACB2BF8"/>
    <w:rsid w:val="7D2E7EAA"/>
    <w:rsid w:val="7E0E41C6"/>
    <w:rsid w:val="7E2968C4"/>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ind w:firstLine="640"/>
    </w:pPr>
    <w:rPr>
      <w:rFonts w:ascii="仿宋_GB2312" w:eastAsia="仿宋_GB2312"/>
      <w:bCs/>
      <w:sz w:val="32"/>
      <w:szCs w:val="32"/>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paragraph" w:styleId="11">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9"/>
    <w:link w:val="4"/>
    <w:autoRedefine/>
    <w:qFormat/>
    <w:uiPriority w:val="99"/>
    <w:rPr>
      <w:kern w:val="2"/>
      <w:sz w:val="18"/>
      <w:szCs w:val="18"/>
    </w:rPr>
  </w:style>
  <w:style w:type="character" w:customStyle="1" w:styleId="13">
    <w:name w:val="font41"/>
    <w:basedOn w:val="9"/>
    <w:autoRedefine/>
    <w:qFormat/>
    <w:uiPriority w:val="0"/>
    <w:rPr>
      <w:rFonts w:hint="eastAsia" w:ascii="宋体" w:hAnsi="宋体" w:eastAsia="宋体" w:cs="宋体"/>
      <w:color w:val="000000"/>
      <w:sz w:val="18"/>
      <w:szCs w:val="18"/>
      <w:u w:val="none"/>
    </w:rPr>
  </w:style>
  <w:style w:type="character" w:customStyle="1" w:styleId="14">
    <w:name w:val="font51"/>
    <w:basedOn w:val="9"/>
    <w:autoRedefine/>
    <w:qFormat/>
    <w:uiPriority w:val="0"/>
    <w:rPr>
      <w:rFonts w:hint="default" w:ascii="Times New Roman" w:hAnsi="Times New Roman" w:cs="Times New Roman"/>
      <w:color w:val="000000"/>
      <w:sz w:val="18"/>
      <w:szCs w:val="18"/>
      <w:u w:val="none"/>
    </w:rPr>
  </w:style>
  <w:style w:type="character" w:customStyle="1" w:styleId="15">
    <w:name w:val="font71"/>
    <w:basedOn w:val="9"/>
    <w:autoRedefine/>
    <w:qFormat/>
    <w:uiPriority w:val="0"/>
    <w:rPr>
      <w:rFonts w:hint="eastAsia" w:ascii="宋体" w:hAnsi="宋体" w:eastAsia="宋体" w:cs="宋体"/>
      <w:color w:val="000000"/>
      <w:sz w:val="18"/>
      <w:szCs w:val="18"/>
      <w:u w:val="none"/>
    </w:rPr>
  </w:style>
  <w:style w:type="character" w:customStyle="1" w:styleId="16">
    <w:name w:val="font61"/>
    <w:basedOn w:val="9"/>
    <w:autoRedefine/>
    <w:qFormat/>
    <w:uiPriority w:val="0"/>
    <w:rPr>
      <w:rFonts w:hint="default" w:ascii="Times New Roman" w:hAnsi="Times New Roman" w:cs="Times New Roman"/>
      <w:color w:val="000000"/>
      <w:sz w:val="18"/>
      <w:szCs w:val="18"/>
      <w:u w:val="none"/>
    </w:rPr>
  </w:style>
  <w:style w:type="character" w:customStyle="1" w:styleId="17">
    <w:name w:val="font11"/>
    <w:basedOn w:val="9"/>
    <w:autoRedefine/>
    <w:qFormat/>
    <w:uiPriority w:val="0"/>
    <w:rPr>
      <w:rFonts w:hint="eastAsia" w:ascii="宋体" w:hAnsi="宋体" w:eastAsia="宋体" w:cs="宋体"/>
      <w:color w:val="000000"/>
      <w:sz w:val="18"/>
      <w:szCs w:val="18"/>
      <w:u w:val="none"/>
    </w:rPr>
  </w:style>
  <w:style w:type="character" w:customStyle="1" w:styleId="18">
    <w:name w:val="font81"/>
    <w:basedOn w:val="9"/>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1194</Words>
  <Characters>6806</Characters>
  <Lines>56</Lines>
  <Paragraphs>15</Paragraphs>
  <TotalTime>15</TotalTime>
  <ScaleCrop>false</ScaleCrop>
  <LinksUpToDate>false</LinksUpToDate>
  <CharactersWithSpaces>7985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宛如惊鸿_</cp:lastModifiedBy>
  <cp:lastPrinted>2024-02-29T01:34:00Z</cp:lastPrinted>
  <dcterms:modified xsi:type="dcterms:W3CDTF">2024-03-07T07:02:42Z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994DE1D655D34255BE7E7B4EB0F2A2A0_13</vt:lpwstr>
  </property>
</Properties>
</file>