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9EDB6">
      <w:pPr>
        <w:adjustRightInd w:val="0"/>
        <w:spacing w:line="600" w:lineRule="exact"/>
        <w:ind w:right="641"/>
        <w:rPr>
          <w:rFonts w:hint="eastAsia" w:ascii="黑体" w:eastAsia="黑体"/>
          <w:color w:val="auto"/>
          <w:sz w:val="32"/>
          <w:szCs w:val="32"/>
          <w:lang w:val="en-US" w:eastAsia="zh-CN"/>
        </w:rPr>
      </w:pPr>
      <w:r>
        <w:rPr>
          <w:rFonts w:hint="eastAsia" w:ascii="黑体" w:eastAsia="黑体"/>
          <w:color w:val="auto"/>
          <w:sz w:val="32"/>
          <w:szCs w:val="32"/>
        </w:rPr>
        <w:t>附件</w:t>
      </w:r>
      <w:r>
        <w:rPr>
          <w:rFonts w:hint="eastAsia" w:ascii="黑体" w:eastAsia="黑体"/>
          <w:color w:val="auto"/>
          <w:sz w:val="32"/>
          <w:szCs w:val="32"/>
          <w:lang w:val="en-US" w:eastAsia="zh-CN"/>
        </w:rPr>
        <w:t>1</w:t>
      </w:r>
    </w:p>
    <w:p w14:paraId="793F2B6D">
      <w:pPr>
        <w:rPr>
          <w:rFonts w:eastAsia="黑体"/>
          <w:color w:val="auto"/>
          <w:sz w:val="44"/>
        </w:rPr>
      </w:pPr>
    </w:p>
    <w:p w14:paraId="098E0EC0">
      <w:pPr>
        <w:rPr>
          <w:rFonts w:eastAsia="黑体"/>
          <w:color w:val="auto"/>
          <w:sz w:val="44"/>
        </w:rPr>
      </w:pPr>
    </w:p>
    <w:p w14:paraId="58058FA9">
      <w:pPr>
        <w:rPr>
          <w:rFonts w:eastAsia="黑体"/>
          <w:color w:val="auto"/>
          <w:sz w:val="44"/>
        </w:rPr>
      </w:pPr>
    </w:p>
    <w:p w14:paraId="27540519">
      <w:pPr>
        <w:jc w:val="center"/>
        <w:rPr>
          <w:rFonts w:ascii="宋体" w:hAnsi="宋体"/>
          <w:color w:val="auto"/>
          <w:sz w:val="44"/>
          <w:szCs w:val="44"/>
        </w:rPr>
      </w:pPr>
    </w:p>
    <w:p w14:paraId="01B95852">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邵阳县20</w:t>
      </w:r>
      <w:r>
        <w:rPr>
          <w:rFonts w:hint="eastAsia" w:ascii="方正小标宋简体" w:hAnsi="方正小标宋简体" w:eastAsia="方正小标宋简体" w:cs="方正小标宋简体"/>
          <w:color w:val="auto"/>
          <w:sz w:val="44"/>
          <w:szCs w:val="44"/>
          <w:lang w:val="en-US" w:eastAsia="zh-CN"/>
        </w:rPr>
        <w:t>23</w:t>
      </w:r>
      <w:r>
        <w:rPr>
          <w:rFonts w:hint="eastAsia" w:ascii="方正小标宋简体" w:hAnsi="方正小标宋简体" w:eastAsia="方正小标宋简体" w:cs="方正小标宋简体"/>
          <w:color w:val="auto"/>
          <w:sz w:val="44"/>
          <w:szCs w:val="44"/>
        </w:rPr>
        <w:t xml:space="preserve">年度部门整体支出绩效自评报告   </w:t>
      </w:r>
    </w:p>
    <w:p w14:paraId="4C3B9422">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（封面）</w:t>
      </w:r>
    </w:p>
    <w:p w14:paraId="1FD89EBD">
      <w:pPr>
        <w:jc w:val="center"/>
        <w:rPr>
          <w:rFonts w:ascii="宋体" w:hAnsi="宋体"/>
          <w:color w:val="auto"/>
          <w:sz w:val="44"/>
          <w:szCs w:val="44"/>
        </w:rPr>
      </w:pPr>
    </w:p>
    <w:p w14:paraId="69284CF0">
      <w:pPr>
        <w:spacing w:line="600" w:lineRule="exact"/>
        <w:rPr>
          <w:color w:val="auto"/>
          <w:sz w:val="36"/>
        </w:rPr>
      </w:pPr>
    </w:p>
    <w:p w14:paraId="1819A113">
      <w:pPr>
        <w:spacing w:line="600" w:lineRule="exact"/>
        <w:rPr>
          <w:color w:val="auto"/>
          <w:sz w:val="36"/>
        </w:rPr>
      </w:pPr>
    </w:p>
    <w:p w14:paraId="0767E975">
      <w:pPr>
        <w:spacing w:line="600" w:lineRule="exact"/>
        <w:rPr>
          <w:color w:val="auto"/>
          <w:sz w:val="36"/>
        </w:rPr>
      </w:pPr>
    </w:p>
    <w:p w14:paraId="26E265C7">
      <w:pPr>
        <w:spacing w:line="600" w:lineRule="exact"/>
        <w:rPr>
          <w:color w:val="auto"/>
          <w:sz w:val="36"/>
        </w:rPr>
      </w:pPr>
    </w:p>
    <w:p w14:paraId="779FB12C">
      <w:pPr>
        <w:spacing w:line="600" w:lineRule="exact"/>
        <w:rPr>
          <w:color w:val="auto"/>
          <w:sz w:val="36"/>
        </w:rPr>
      </w:pPr>
    </w:p>
    <w:p w14:paraId="52B49FAE">
      <w:pPr>
        <w:spacing w:line="600" w:lineRule="exact"/>
        <w:rPr>
          <w:color w:val="auto"/>
          <w:sz w:val="36"/>
        </w:rPr>
      </w:pPr>
    </w:p>
    <w:p w14:paraId="597C0FC7">
      <w:pPr>
        <w:spacing w:line="1000" w:lineRule="exact"/>
        <w:rPr>
          <w:bCs/>
          <w:color w:val="auto"/>
          <w:sz w:val="32"/>
          <w:szCs w:val="32"/>
          <w:u w:val="single"/>
        </w:rPr>
      </w:pPr>
      <w:r>
        <w:rPr>
          <w:rFonts w:hint="eastAsia"/>
          <w:color w:val="auto"/>
          <w:sz w:val="36"/>
        </w:rPr>
        <w:t xml:space="preserve">    </w:t>
      </w:r>
      <w:r>
        <w:rPr>
          <w:rFonts w:hint="eastAsia"/>
          <w:b/>
          <w:bCs/>
          <w:color w:val="auto"/>
          <w:sz w:val="32"/>
          <w:szCs w:val="32"/>
        </w:rPr>
        <w:t xml:space="preserve"> 自评单位：  </w:t>
      </w:r>
      <w:r>
        <w:rPr>
          <w:rFonts w:hint="eastAsia"/>
          <w:b/>
          <w:bCs/>
          <w:color w:val="auto"/>
          <w:sz w:val="32"/>
          <w:szCs w:val="32"/>
          <w:u w:val="single"/>
        </w:rPr>
        <w:t>　</w:t>
      </w:r>
      <w:r>
        <w:rPr>
          <w:rFonts w:hint="eastAsia"/>
          <w:b/>
          <w:bCs/>
          <w:color w:val="auto"/>
          <w:sz w:val="32"/>
          <w:szCs w:val="32"/>
          <w:u w:val="single"/>
          <w:lang w:val="en-US" w:eastAsia="zh-CN"/>
        </w:rPr>
        <w:t>邵阳县乡村振兴局</w:t>
      </w:r>
      <w:r>
        <w:rPr>
          <w:rFonts w:hint="eastAsia"/>
          <w:b/>
          <w:bCs/>
          <w:color w:val="auto"/>
          <w:sz w:val="32"/>
          <w:szCs w:val="32"/>
          <w:u w:val="single"/>
        </w:rPr>
        <w:t>　</w:t>
      </w:r>
      <w:r>
        <w:rPr>
          <w:rFonts w:hint="eastAsia"/>
          <w:bCs/>
          <w:color w:val="auto"/>
          <w:sz w:val="32"/>
          <w:szCs w:val="32"/>
        </w:rPr>
        <w:t>（单位公章）</w:t>
      </w:r>
    </w:p>
    <w:p w14:paraId="1EE2AB20">
      <w:pPr>
        <w:spacing w:line="600" w:lineRule="exact"/>
        <w:rPr>
          <w:color w:val="auto"/>
        </w:rPr>
      </w:pPr>
    </w:p>
    <w:p w14:paraId="1A3C09DF">
      <w:pPr>
        <w:spacing w:line="600" w:lineRule="exact"/>
        <w:rPr>
          <w:color w:val="auto"/>
        </w:rPr>
      </w:pPr>
    </w:p>
    <w:p w14:paraId="512D4CFB">
      <w:pPr>
        <w:spacing w:line="600" w:lineRule="exact"/>
        <w:rPr>
          <w:color w:val="auto"/>
        </w:rPr>
      </w:pPr>
    </w:p>
    <w:p w14:paraId="481C26AA">
      <w:pPr>
        <w:spacing w:line="600" w:lineRule="exact"/>
        <w:rPr>
          <w:color w:val="auto"/>
        </w:rPr>
      </w:pPr>
    </w:p>
    <w:p w14:paraId="33E0B555">
      <w:pPr>
        <w:spacing w:line="600" w:lineRule="exact"/>
        <w:rPr>
          <w:color w:val="auto"/>
        </w:rPr>
      </w:pPr>
    </w:p>
    <w:p w14:paraId="1E99D37E">
      <w:pPr>
        <w:spacing w:line="600" w:lineRule="exact"/>
        <w:jc w:val="center"/>
        <w:rPr>
          <w:rFonts w:ascii="楷体" w:hAnsi="楷体" w:eastAsia="楷体" w:cs="楷体"/>
          <w:color w:val="auto"/>
          <w:sz w:val="36"/>
        </w:rPr>
      </w:pPr>
      <w:r>
        <w:rPr>
          <w:rFonts w:hint="eastAsia" w:ascii="楷体" w:hAnsi="楷体" w:eastAsia="楷体" w:cs="楷体"/>
          <w:color w:val="auto"/>
          <w:sz w:val="36"/>
        </w:rPr>
        <w:t>日期：　　</w:t>
      </w:r>
      <w:r>
        <w:rPr>
          <w:rFonts w:hint="eastAsia" w:ascii="楷体" w:hAnsi="楷体" w:eastAsia="楷体" w:cs="楷体"/>
          <w:color w:val="auto"/>
          <w:sz w:val="36"/>
          <w:lang w:val="en-US" w:eastAsia="zh-CN"/>
        </w:rPr>
        <w:t>2024</w:t>
      </w:r>
      <w:r>
        <w:rPr>
          <w:rFonts w:hint="eastAsia" w:ascii="楷体" w:hAnsi="楷体" w:eastAsia="楷体" w:cs="楷体"/>
          <w:color w:val="auto"/>
          <w:sz w:val="36"/>
        </w:rPr>
        <w:t>年</w:t>
      </w:r>
      <w:r>
        <w:rPr>
          <w:rFonts w:hint="eastAsia" w:ascii="楷体" w:hAnsi="楷体" w:eastAsia="楷体" w:cs="楷体"/>
          <w:color w:val="auto"/>
          <w:sz w:val="36"/>
          <w:lang w:val="en-US" w:eastAsia="zh-CN"/>
        </w:rPr>
        <w:t>2</w:t>
      </w:r>
      <w:r>
        <w:rPr>
          <w:rFonts w:hint="eastAsia" w:ascii="楷体" w:hAnsi="楷体" w:eastAsia="楷体" w:cs="楷体"/>
          <w:color w:val="auto"/>
          <w:sz w:val="36"/>
        </w:rPr>
        <w:t>月</w:t>
      </w:r>
      <w:r>
        <w:rPr>
          <w:rFonts w:hint="eastAsia" w:ascii="楷体" w:hAnsi="楷体" w:eastAsia="楷体" w:cs="楷体"/>
          <w:color w:val="auto"/>
          <w:sz w:val="36"/>
          <w:lang w:val="en-US" w:eastAsia="zh-CN"/>
        </w:rPr>
        <w:t>29</w:t>
      </w:r>
      <w:r>
        <w:rPr>
          <w:rFonts w:hint="eastAsia" w:ascii="楷体" w:hAnsi="楷体" w:eastAsia="楷体" w:cs="楷体"/>
          <w:color w:val="auto"/>
          <w:sz w:val="36"/>
        </w:rPr>
        <w:t>日</w:t>
      </w:r>
    </w:p>
    <w:p w14:paraId="4F58F7B4">
      <w:pPr>
        <w:spacing w:line="600" w:lineRule="exact"/>
        <w:rPr>
          <w:rFonts w:eastAsia="仿宋_GB2312"/>
          <w:color w:val="auto"/>
          <w:sz w:val="28"/>
          <w:szCs w:val="28"/>
        </w:rPr>
      </w:pPr>
    </w:p>
    <w:p w14:paraId="70DC2409">
      <w:pPr>
        <w:adjustRightInd w:val="0"/>
        <w:spacing w:line="600" w:lineRule="exact"/>
        <w:ind w:right="641"/>
        <w:rPr>
          <w:rFonts w:hint="default" w:ascii="黑体" w:eastAsia="黑体"/>
          <w:color w:val="auto"/>
          <w:sz w:val="32"/>
          <w:szCs w:val="32"/>
          <w:lang w:val="en-US" w:eastAsia="zh-CN"/>
        </w:rPr>
      </w:pPr>
      <w:r>
        <w:rPr>
          <w:rFonts w:hint="eastAsia" w:ascii="黑体" w:eastAsia="黑体"/>
          <w:color w:val="auto"/>
          <w:sz w:val="32"/>
          <w:szCs w:val="32"/>
          <w:lang w:val="en-US" w:eastAsia="zh-CN"/>
        </w:rPr>
        <w:t>附件2</w:t>
      </w:r>
    </w:p>
    <w:p w14:paraId="050760D2">
      <w:pPr>
        <w:adjustRightInd w:val="0"/>
        <w:spacing w:line="600" w:lineRule="exact"/>
        <w:ind w:right="641"/>
        <w:jc w:val="center"/>
        <w:rPr>
          <w:rFonts w:eastAsia="方正小标宋_GBK"/>
          <w:color w:val="auto"/>
          <w:sz w:val="36"/>
          <w:szCs w:val="36"/>
        </w:rPr>
      </w:pPr>
      <w:r>
        <w:rPr>
          <w:rFonts w:hint="eastAsia" w:eastAsia="方正小标宋_GBK"/>
          <w:color w:val="auto"/>
          <w:sz w:val="36"/>
          <w:szCs w:val="36"/>
        </w:rPr>
        <w:t xml:space="preserve">   部门整体</w:t>
      </w:r>
      <w:r>
        <w:rPr>
          <w:rFonts w:eastAsia="方正小标宋_GBK"/>
          <w:color w:val="auto"/>
          <w:sz w:val="36"/>
          <w:szCs w:val="36"/>
        </w:rPr>
        <w:t>支出绩效</w:t>
      </w:r>
      <w:r>
        <w:rPr>
          <w:rFonts w:hint="eastAsia" w:eastAsia="方正小标宋_GBK"/>
          <w:color w:val="auto"/>
          <w:sz w:val="36"/>
          <w:szCs w:val="36"/>
          <w:lang w:eastAsia="zh-CN"/>
        </w:rPr>
        <w:t>自评</w:t>
      </w:r>
      <w:r>
        <w:rPr>
          <w:rFonts w:eastAsia="方正小标宋_GBK"/>
          <w:color w:val="auto"/>
          <w:sz w:val="36"/>
          <w:szCs w:val="36"/>
        </w:rPr>
        <w:t>报告</w:t>
      </w:r>
    </w:p>
    <w:p w14:paraId="176C101A">
      <w:pPr>
        <w:adjustRightInd w:val="0"/>
        <w:spacing w:line="600" w:lineRule="exact"/>
        <w:ind w:right="641"/>
        <w:jc w:val="center"/>
        <w:rPr>
          <w:rFonts w:eastAsia="楷体_GB2312"/>
          <w:color w:val="auto"/>
          <w:sz w:val="32"/>
          <w:szCs w:val="32"/>
        </w:rPr>
      </w:pPr>
    </w:p>
    <w:p w14:paraId="397674C6">
      <w:pPr>
        <w:adjustRightInd w:val="0"/>
        <w:spacing w:line="600" w:lineRule="exact"/>
        <w:ind w:right="641"/>
        <w:rPr>
          <w:rFonts w:eastAsia="仿宋_GB2312"/>
          <w:color w:val="auto"/>
          <w:sz w:val="32"/>
          <w:szCs w:val="32"/>
        </w:rPr>
      </w:pPr>
    </w:p>
    <w:p w14:paraId="0EC3E83D">
      <w:pPr>
        <w:widowControl/>
        <w:spacing w:line="600" w:lineRule="exact"/>
        <w:ind w:firstLine="645"/>
        <w:jc w:val="left"/>
        <w:rPr>
          <w:rFonts w:hint="eastAsia" w:eastAsia="黑体"/>
          <w:color w:val="auto"/>
          <w:sz w:val="32"/>
          <w:szCs w:val="32"/>
        </w:rPr>
      </w:pPr>
      <w:r>
        <w:rPr>
          <w:rFonts w:hint="eastAsia" w:eastAsia="黑体"/>
          <w:color w:val="auto"/>
          <w:sz w:val="32"/>
          <w:szCs w:val="32"/>
        </w:rPr>
        <w:t>一、部门、单位基本情况</w:t>
      </w:r>
    </w:p>
    <w:p w14:paraId="1E1394CC">
      <w:pPr>
        <w:adjustRightInd w:val="0"/>
        <w:snapToGrid w:val="0"/>
        <w:spacing w:line="600" w:lineRule="exact"/>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（一）机构设置情况</w:t>
      </w:r>
    </w:p>
    <w:p w14:paraId="1C4365B0">
      <w:pPr>
        <w:widowControl/>
        <w:spacing w:line="600" w:lineRule="exact"/>
        <w:ind w:firstLine="645"/>
        <w:jc w:val="left"/>
        <w:rPr>
          <w:rFonts w:hint="eastAsia" w:ascii="楷体" w:hAnsi="楷体" w:eastAsia="楷体_GB2312" w:cs="楷体"/>
          <w:b/>
          <w:bCs/>
          <w:color w:val="auto"/>
          <w:sz w:val="32"/>
          <w:szCs w:val="32"/>
          <w:lang w:eastAsia="zh-CN"/>
        </w:rPr>
      </w:pPr>
      <w:r>
        <w:rPr>
          <w:rFonts w:hint="eastAsia" w:ascii="楷体_GB2312" w:hAnsi="宋体" w:eastAsia="楷体_GB2312"/>
          <w:color w:val="auto"/>
          <w:sz w:val="32"/>
          <w:szCs w:val="32"/>
          <w:lang w:val="en-US" w:eastAsia="zh-CN"/>
        </w:rPr>
        <w:t>邵阳县乡村振兴局</w:t>
      </w:r>
      <w:r>
        <w:rPr>
          <w:rFonts w:hint="eastAsia" w:ascii="楷体_GB2312" w:hAnsi="宋体" w:eastAsia="楷体_GB2312"/>
          <w:color w:val="auto"/>
          <w:sz w:val="32"/>
          <w:szCs w:val="32"/>
        </w:rPr>
        <w:t>下设</w:t>
      </w:r>
      <w:r>
        <w:rPr>
          <w:rFonts w:hint="eastAsia" w:ascii="楷体_GB2312" w:hAnsi="宋体" w:eastAsia="楷体_GB2312" w:cs="仿宋_GB2312"/>
          <w:color w:val="auto"/>
          <w:sz w:val="32"/>
          <w:szCs w:val="32"/>
          <w:lang w:val="en-US" w:eastAsia="zh-CN"/>
        </w:rPr>
        <w:t>1</w:t>
      </w:r>
      <w:r>
        <w:rPr>
          <w:rFonts w:hint="eastAsia" w:ascii="楷体_GB2312" w:hAnsi="宋体" w:eastAsia="楷体_GB2312" w:cs="仿宋_GB2312"/>
          <w:color w:val="auto"/>
          <w:sz w:val="32"/>
          <w:szCs w:val="32"/>
        </w:rPr>
        <w:t>个二级机构（</w:t>
      </w:r>
      <w:r>
        <w:rPr>
          <w:rFonts w:hint="eastAsia" w:ascii="楷体_GB2312" w:hAnsi="宋体" w:eastAsia="楷体_GB2312" w:cs="仿宋_GB2312"/>
          <w:color w:val="auto"/>
          <w:sz w:val="32"/>
          <w:szCs w:val="32"/>
          <w:lang w:val="en-US" w:eastAsia="zh-CN"/>
        </w:rPr>
        <w:t>金融服务中心</w:t>
      </w:r>
      <w:r>
        <w:rPr>
          <w:rFonts w:hint="eastAsia" w:ascii="楷体_GB2312" w:hAnsi="宋体" w:eastAsia="楷体_GB2312" w:cs="仿宋_GB2312"/>
          <w:color w:val="auto"/>
          <w:sz w:val="32"/>
          <w:szCs w:val="32"/>
        </w:rPr>
        <w:t>）、</w:t>
      </w:r>
      <w:r>
        <w:rPr>
          <w:rFonts w:hint="eastAsia" w:ascii="楷体_GB2312" w:hAnsi="宋体" w:eastAsia="楷体_GB2312" w:cs="仿宋_GB2312"/>
          <w:color w:val="auto"/>
          <w:sz w:val="32"/>
          <w:szCs w:val="32"/>
          <w:lang w:val="en-US" w:eastAsia="zh-CN"/>
        </w:rPr>
        <w:t>5</w:t>
      </w:r>
      <w:r>
        <w:rPr>
          <w:rFonts w:hint="eastAsia" w:ascii="楷体_GB2312" w:hAnsi="宋体" w:eastAsia="楷体_GB2312" w:cs="仿宋_GB2312"/>
          <w:color w:val="auto"/>
          <w:sz w:val="32"/>
          <w:szCs w:val="32"/>
        </w:rPr>
        <w:t>个业务股室（综合督查股、开发指导股、规划财务股、社会扶贫股、政策法规股）</w:t>
      </w:r>
      <w:r>
        <w:rPr>
          <w:rFonts w:hint="eastAsia" w:ascii="楷体_GB2312" w:hAnsi="宋体" w:eastAsia="楷体_GB2312" w:cs="仿宋_GB2312"/>
          <w:color w:val="auto"/>
          <w:sz w:val="32"/>
          <w:szCs w:val="32"/>
          <w:lang w:eastAsia="zh-CN"/>
        </w:rPr>
        <w:t>。</w:t>
      </w:r>
    </w:p>
    <w:p w14:paraId="08FE73D4">
      <w:pPr>
        <w:widowControl/>
        <w:numPr>
          <w:ilvl w:val="0"/>
          <w:numId w:val="1"/>
        </w:numPr>
        <w:spacing w:line="600" w:lineRule="exact"/>
        <w:ind w:firstLine="645"/>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人员编制情况</w:t>
      </w:r>
    </w:p>
    <w:p w14:paraId="2A15ECFF">
      <w:pPr>
        <w:widowControl/>
        <w:numPr>
          <w:ilvl w:val="0"/>
          <w:numId w:val="0"/>
        </w:numPr>
        <w:spacing w:line="600" w:lineRule="exact"/>
        <w:ind w:firstLine="640" w:firstLineChars="200"/>
        <w:jc w:val="left"/>
        <w:rPr>
          <w:rFonts w:hint="eastAsia" w:ascii="楷体" w:hAnsi="楷体" w:eastAsia="楷体" w:cs="楷体"/>
          <w:b/>
          <w:bCs/>
          <w:color w:val="auto"/>
          <w:sz w:val="32"/>
          <w:szCs w:val="32"/>
        </w:rPr>
      </w:pPr>
      <w:r>
        <w:rPr>
          <w:rFonts w:hint="eastAsia" w:ascii="楷体_GB2312" w:hAnsi="宋体" w:eastAsia="楷体_GB2312"/>
          <w:color w:val="auto"/>
          <w:sz w:val="32"/>
          <w:szCs w:val="32"/>
          <w:lang w:eastAsia="zh-CN"/>
        </w:rPr>
        <w:t>202</w:t>
      </w:r>
      <w:r>
        <w:rPr>
          <w:rFonts w:hint="eastAsia" w:ascii="楷体_GB2312" w:hAnsi="宋体" w:eastAsia="楷体_GB2312"/>
          <w:color w:val="auto"/>
          <w:sz w:val="32"/>
          <w:szCs w:val="32"/>
          <w:lang w:val="en-US" w:eastAsia="zh-CN"/>
        </w:rPr>
        <w:t>3</w:t>
      </w:r>
      <w:r>
        <w:rPr>
          <w:rFonts w:hint="eastAsia" w:ascii="楷体_GB2312" w:hAnsi="宋体" w:eastAsia="楷体_GB2312"/>
          <w:color w:val="auto"/>
          <w:sz w:val="32"/>
          <w:szCs w:val="32"/>
        </w:rPr>
        <w:t>年底在职人员</w:t>
      </w:r>
      <w:r>
        <w:rPr>
          <w:rFonts w:hint="eastAsia" w:ascii="楷体_GB2312" w:hAnsi="宋体" w:eastAsia="楷体_GB2312"/>
          <w:color w:val="auto"/>
          <w:sz w:val="32"/>
          <w:szCs w:val="32"/>
          <w:lang w:val="en-US" w:eastAsia="zh-CN"/>
        </w:rPr>
        <w:t>22</w:t>
      </w:r>
      <w:r>
        <w:rPr>
          <w:rFonts w:hint="eastAsia" w:ascii="楷体_GB2312" w:hAnsi="宋体" w:eastAsia="楷体_GB2312"/>
          <w:color w:val="auto"/>
          <w:sz w:val="32"/>
          <w:szCs w:val="32"/>
        </w:rPr>
        <w:t>人，退休人员</w:t>
      </w:r>
      <w:r>
        <w:rPr>
          <w:rFonts w:hint="eastAsia" w:ascii="楷体_GB2312" w:hAnsi="宋体" w:eastAsia="楷体_GB2312"/>
          <w:color w:val="auto"/>
          <w:sz w:val="32"/>
          <w:szCs w:val="32"/>
          <w:lang w:val="en-US" w:eastAsia="zh-CN"/>
        </w:rPr>
        <w:t>4</w:t>
      </w:r>
      <w:r>
        <w:rPr>
          <w:rFonts w:hint="eastAsia" w:ascii="楷体_GB2312" w:hAnsi="宋体" w:eastAsia="楷体_GB2312"/>
          <w:color w:val="auto"/>
          <w:sz w:val="32"/>
          <w:szCs w:val="32"/>
        </w:rPr>
        <w:t>人。</w:t>
      </w:r>
    </w:p>
    <w:p w14:paraId="64F64A48">
      <w:pPr>
        <w:widowControl/>
        <w:numPr>
          <w:ilvl w:val="0"/>
          <w:numId w:val="1"/>
        </w:numPr>
        <w:spacing w:line="600" w:lineRule="exact"/>
        <w:ind w:left="0" w:leftChars="0" w:firstLine="645" w:firstLineChars="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主要职能职责</w:t>
      </w:r>
    </w:p>
    <w:p w14:paraId="2D3C49FF">
      <w:pPr>
        <w:numPr>
          <w:ilvl w:val="0"/>
          <w:numId w:val="2"/>
        </w:numPr>
        <w:spacing w:line="360" w:lineRule="auto"/>
        <w:ind w:left="-18" w:leftChars="0" w:firstLine="640" w:firstLineChars="0"/>
        <w:rPr>
          <w:rFonts w:hint="eastAsia" w:ascii="楷体_GB2312" w:hAnsi="宋体" w:eastAsia="楷体_GB2312" w:cs="仿宋_GB2312"/>
          <w:color w:val="auto"/>
          <w:sz w:val="32"/>
          <w:szCs w:val="32"/>
        </w:rPr>
      </w:pPr>
      <w:r>
        <w:rPr>
          <w:rFonts w:hint="eastAsia" w:ascii="楷体_GB2312" w:hAnsi="宋体" w:eastAsia="楷体_GB2312" w:cs="仿宋_GB2312"/>
          <w:color w:val="auto"/>
          <w:sz w:val="32"/>
          <w:szCs w:val="32"/>
        </w:rPr>
        <w:t>贯彻执行</w:t>
      </w:r>
      <w:r>
        <w:rPr>
          <w:rFonts w:hint="eastAsia" w:ascii="楷体_GB2312" w:hAnsi="宋体" w:eastAsia="楷体_GB2312" w:cs="仿宋_GB2312"/>
          <w:color w:val="auto"/>
          <w:sz w:val="32"/>
          <w:szCs w:val="32"/>
          <w:lang w:val="en-US" w:eastAsia="zh-CN"/>
        </w:rPr>
        <w:t>上级乡村振兴</w:t>
      </w:r>
      <w:r>
        <w:rPr>
          <w:rFonts w:hint="eastAsia" w:ascii="楷体_GB2312" w:hAnsi="宋体" w:eastAsia="楷体_GB2312" w:cs="仿宋_GB2312"/>
          <w:color w:val="auto"/>
          <w:sz w:val="32"/>
          <w:szCs w:val="32"/>
        </w:rPr>
        <w:t>工作方针、政策；协调解决</w:t>
      </w:r>
      <w:r>
        <w:rPr>
          <w:rFonts w:hint="eastAsia" w:ascii="楷体_GB2312" w:hAnsi="宋体" w:eastAsia="楷体_GB2312" w:cs="仿宋_GB2312"/>
          <w:color w:val="auto"/>
          <w:sz w:val="32"/>
          <w:szCs w:val="32"/>
          <w:lang w:val="en-US" w:eastAsia="zh-CN"/>
        </w:rPr>
        <w:t>乡村振兴</w:t>
      </w:r>
      <w:r>
        <w:rPr>
          <w:rFonts w:hint="eastAsia" w:ascii="楷体_GB2312" w:hAnsi="宋体" w:eastAsia="楷体_GB2312" w:cs="仿宋_GB2312"/>
          <w:color w:val="auto"/>
          <w:sz w:val="32"/>
          <w:szCs w:val="32"/>
        </w:rPr>
        <w:t>工作中的有关问题。</w:t>
      </w:r>
    </w:p>
    <w:p w14:paraId="1955066F">
      <w:pPr>
        <w:numPr>
          <w:ilvl w:val="0"/>
          <w:numId w:val="2"/>
        </w:numPr>
        <w:spacing w:line="360" w:lineRule="auto"/>
        <w:ind w:left="-18" w:leftChars="0" w:firstLine="640" w:firstLineChars="0"/>
        <w:rPr>
          <w:rFonts w:hint="eastAsia" w:ascii="楷体_GB2312" w:hAnsi="宋体" w:eastAsia="楷体_GB2312" w:cs="仿宋_GB2312"/>
          <w:color w:val="auto"/>
          <w:sz w:val="32"/>
          <w:szCs w:val="32"/>
        </w:rPr>
      </w:pPr>
      <w:r>
        <w:rPr>
          <w:rFonts w:hint="eastAsia" w:ascii="楷体_GB2312" w:hAnsi="宋体" w:eastAsia="楷体_GB2312" w:cs="仿宋_GB2312"/>
          <w:color w:val="auto"/>
          <w:sz w:val="32"/>
          <w:szCs w:val="32"/>
          <w:lang w:val="en-US" w:eastAsia="zh-CN"/>
        </w:rPr>
        <w:t>负责组织、协调、指导全县乡村振兴工作。</w:t>
      </w:r>
    </w:p>
    <w:p w14:paraId="3C36E3AE">
      <w:pPr>
        <w:numPr>
          <w:ilvl w:val="0"/>
          <w:numId w:val="2"/>
        </w:numPr>
        <w:spacing w:line="360" w:lineRule="auto"/>
        <w:ind w:left="-18" w:leftChars="0" w:firstLine="640" w:firstLineChars="0"/>
        <w:rPr>
          <w:rFonts w:hint="eastAsia" w:ascii="楷体_GB2312" w:hAnsi="宋体" w:eastAsia="楷体_GB2312" w:cs="仿宋_GB2312"/>
          <w:color w:val="auto"/>
          <w:sz w:val="32"/>
          <w:szCs w:val="32"/>
        </w:rPr>
      </w:pPr>
      <w:r>
        <w:rPr>
          <w:rFonts w:hint="eastAsia" w:ascii="楷体_GB2312" w:hAnsi="宋体" w:eastAsia="楷体_GB2312" w:cs="仿宋_GB2312"/>
          <w:color w:val="auto"/>
          <w:sz w:val="32"/>
          <w:szCs w:val="32"/>
          <w:lang w:val="en-US" w:eastAsia="zh-CN"/>
        </w:rPr>
        <w:t>负责</w:t>
      </w:r>
      <w:r>
        <w:rPr>
          <w:rFonts w:hint="eastAsia" w:ascii="楷体_GB2312" w:hAnsi="宋体" w:eastAsia="楷体_GB2312" w:cs="仿宋_GB2312"/>
          <w:color w:val="auto"/>
          <w:sz w:val="32"/>
          <w:szCs w:val="32"/>
        </w:rPr>
        <w:t>会同有关部门</w:t>
      </w:r>
      <w:r>
        <w:rPr>
          <w:rFonts w:hint="eastAsia" w:ascii="楷体_GB2312" w:hAnsi="宋体" w:eastAsia="楷体_GB2312" w:cs="仿宋_GB2312"/>
          <w:color w:val="auto"/>
          <w:sz w:val="32"/>
          <w:szCs w:val="32"/>
          <w:lang w:eastAsia="zh-CN"/>
        </w:rPr>
        <w:t>组织开展全县</w:t>
      </w:r>
      <w:r>
        <w:rPr>
          <w:rFonts w:hint="eastAsia" w:ascii="楷体_GB2312" w:hAnsi="宋体" w:eastAsia="楷体_GB2312" w:cs="仿宋_GB2312"/>
          <w:color w:val="auto"/>
          <w:sz w:val="32"/>
          <w:szCs w:val="32"/>
          <w:lang w:val="en-US" w:eastAsia="zh-CN"/>
        </w:rPr>
        <w:t>乡村振兴</w:t>
      </w:r>
      <w:r>
        <w:rPr>
          <w:rFonts w:hint="eastAsia" w:ascii="楷体_GB2312" w:hAnsi="宋体" w:eastAsia="楷体_GB2312" w:cs="仿宋_GB2312"/>
          <w:color w:val="auto"/>
          <w:sz w:val="32"/>
          <w:szCs w:val="32"/>
          <w:lang w:eastAsia="zh-CN"/>
        </w:rPr>
        <w:t>督查工作。</w:t>
      </w:r>
    </w:p>
    <w:p w14:paraId="16EE0759">
      <w:pPr>
        <w:numPr>
          <w:ilvl w:val="0"/>
          <w:numId w:val="2"/>
        </w:numPr>
        <w:spacing w:line="360" w:lineRule="auto"/>
        <w:ind w:left="-18" w:leftChars="0" w:firstLine="640" w:firstLineChars="0"/>
        <w:rPr>
          <w:rFonts w:hint="eastAsia" w:ascii="楷体_GB2312" w:hAnsi="宋体" w:eastAsia="楷体_GB2312" w:cs="仿宋_GB2312"/>
          <w:color w:val="auto"/>
          <w:sz w:val="32"/>
          <w:szCs w:val="32"/>
        </w:rPr>
      </w:pPr>
      <w:r>
        <w:rPr>
          <w:rFonts w:hint="eastAsia" w:ascii="楷体_GB2312" w:hAnsi="宋体" w:eastAsia="楷体_GB2312" w:cs="仿宋_GB2312"/>
          <w:color w:val="auto"/>
          <w:sz w:val="32"/>
          <w:szCs w:val="32"/>
          <w:lang w:eastAsia="zh-CN"/>
        </w:rPr>
        <w:t>会同有关部门</w:t>
      </w:r>
      <w:r>
        <w:rPr>
          <w:rFonts w:hint="eastAsia" w:ascii="楷体_GB2312" w:hAnsi="宋体" w:eastAsia="楷体_GB2312" w:cs="仿宋_GB2312"/>
          <w:color w:val="auto"/>
          <w:sz w:val="32"/>
          <w:szCs w:val="32"/>
        </w:rPr>
        <w:t>研究</w:t>
      </w:r>
      <w:r>
        <w:rPr>
          <w:rFonts w:hint="eastAsia" w:ascii="楷体_GB2312" w:hAnsi="宋体" w:eastAsia="楷体_GB2312" w:cs="仿宋_GB2312"/>
          <w:color w:val="auto"/>
          <w:sz w:val="32"/>
          <w:szCs w:val="32"/>
          <w:lang w:eastAsia="zh-CN"/>
        </w:rPr>
        <w:t>提出</w:t>
      </w:r>
      <w:r>
        <w:rPr>
          <w:rFonts w:hint="eastAsia" w:ascii="楷体_GB2312" w:hAnsi="宋体" w:eastAsia="楷体_GB2312" w:cs="仿宋_GB2312"/>
          <w:color w:val="auto"/>
          <w:sz w:val="32"/>
          <w:szCs w:val="32"/>
          <w:lang w:val="en-US" w:eastAsia="zh-CN"/>
        </w:rPr>
        <w:t>乡村振兴</w:t>
      </w:r>
      <w:r>
        <w:rPr>
          <w:rFonts w:hint="eastAsia" w:ascii="楷体_GB2312" w:hAnsi="宋体" w:eastAsia="楷体_GB2312" w:cs="仿宋_GB2312"/>
          <w:color w:val="auto"/>
          <w:sz w:val="32"/>
          <w:szCs w:val="32"/>
          <w:lang w:eastAsia="zh-CN"/>
        </w:rPr>
        <w:t>中长期发展</w:t>
      </w:r>
      <w:r>
        <w:rPr>
          <w:rFonts w:hint="eastAsia" w:ascii="楷体_GB2312" w:hAnsi="宋体" w:eastAsia="楷体_GB2312" w:cs="仿宋_GB2312"/>
          <w:color w:val="auto"/>
          <w:sz w:val="32"/>
          <w:szCs w:val="32"/>
        </w:rPr>
        <w:t>规划和年度实施计划，</w:t>
      </w:r>
      <w:r>
        <w:rPr>
          <w:rFonts w:hint="eastAsia" w:ascii="楷体_GB2312" w:hAnsi="宋体" w:eastAsia="楷体_GB2312" w:cs="仿宋_GB2312"/>
          <w:color w:val="auto"/>
          <w:sz w:val="32"/>
          <w:szCs w:val="32"/>
          <w:lang w:eastAsia="zh-CN"/>
        </w:rPr>
        <w:t>并协调有关部门实施；负责开展</w:t>
      </w:r>
      <w:r>
        <w:rPr>
          <w:rFonts w:hint="eastAsia" w:ascii="楷体_GB2312" w:hAnsi="宋体" w:eastAsia="楷体_GB2312" w:cs="仿宋_GB2312"/>
          <w:color w:val="auto"/>
          <w:sz w:val="32"/>
          <w:szCs w:val="32"/>
          <w:lang w:val="en-US" w:eastAsia="zh-CN"/>
        </w:rPr>
        <w:t>乡村振兴</w:t>
      </w:r>
      <w:r>
        <w:rPr>
          <w:rFonts w:hint="eastAsia" w:ascii="楷体_GB2312" w:hAnsi="宋体" w:eastAsia="楷体_GB2312" w:cs="仿宋_GB2312"/>
          <w:color w:val="auto"/>
          <w:sz w:val="32"/>
          <w:szCs w:val="32"/>
          <w:lang w:eastAsia="zh-CN"/>
        </w:rPr>
        <w:t>信息体系建设；指导</w:t>
      </w:r>
      <w:r>
        <w:rPr>
          <w:rFonts w:hint="eastAsia" w:ascii="楷体_GB2312" w:hAnsi="宋体" w:eastAsia="楷体_GB2312" w:cs="仿宋_GB2312"/>
          <w:color w:val="auto"/>
          <w:sz w:val="32"/>
          <w:szCs w:val="32"/>
          <w:lang w:val="en-US" w:eastAsia="zh-CN"/>
        </w:rPr>
        <w:t>乡村振兴</w:t>
      </w:r>
      <w:r>
        <w:rPr>
          <w:rFonts w:hint="eastAsia" w:ascii="楷体_GB2312" w:hAnsi="宋体" w:eastAsia="楷体_GB2312" w:cs="仿宋_GB2312"/>
          <w:color w:val="auto"/>
          <w:sz w:val="32"/>
          <w:szCs w:val="32"/>
          <w:lang w:eastAsia="zh-CN"/>
        </w:rPr>
        <w:t>系统统计和信息化建设工作；组织实施</w:t>
      </w:r>
      <w:r>
        <w:rPr>
          <w:rFonts w:hint="eastAsia" w:ascii="楷体_GB2312" w:hAnsi="宋体" w:eastAsia="楷体_GB2312" w:cs="仿宋_GB2312"/>
          <w:color w:val="auto"/>
          <w:sz w:val="32"/>
          <w:szCs w:val="32"/>
          <w:lang w:val="en-US" w:eastAsia="zh-CN"/>
        </w:rPr>
        <w:t>防返贫</w:t>
      </w:r>
      <w:r>
        <w:rPr>
          <w:rFonts w:hint="eastAsia" w:ascii="楷体_GB2312" w:hAnsi="宋体" w:eastAsia="楷体_GB2312" w:cs="仿宋_GB2312"/>
          <w:color w:val="auto"/>
          <w:sz w:val="32"/>
          <w:szCs w:val="32"/>
          <w:lang w:eastAsia="zh-CN"/>
        </w:rPr>
        <w:t>状况监测与统计。</w:t>
      </w:r>
    </w:p>
    <w:p w14:paraId="241E881C">
      <w:pPr>
        <w:numPr>
          <w:ilvl w:val="0"/>
          <w:numId w:val="2"/>
        </w:numPr>
        <w:spacing w:line="360" w:lineRule="auto"/>
        <w:ind w:left="-18" w:leftChars="0" w:firstLine="640" w:firstLineChars="0"/>
        <w:rPr>
          <w:rFonts w:hint="eastAsia" w:ascii="楷体_GB2312" w:hAnsi="宋体" w:eastAsia="楷体_GB2312" w:cs="仿宋_GB2312"/>
          <w:color w:val="auto"/>
          <w:sz w:val="32"/>
          <w:szCs w:val="32"/>
        </w:rPr>
      </w:pPr>
      <w:r>
        <w:rPr>
          <w:rFonts w:hint="eastAsia" w:ascii="楷体_GB2312" w:hAnsi="宋体" w:eastAsia="楷体_GB2312" w:cs="仿宋_GB2312"/>
          <w:color w:val="auto"/>
          <w:sz w:val="32"/>
          <w:szCs w:val="32"/>
        </w:rPr>
        <w:t>指导、监督和检查</w:t>
      </w:r>
      <w:r>
        <w:rPr>
          <w:rFonts w:hint="eastAsia" w:ascii="楷体_GB2312" w:hAnsi="宋体" w:eastAsia="楷体_GB2312" w:cs="仿宋_GB2312"/>
          <w:color w:val="auto"/>
          <w:sz w:val="32"/>
          <w:szCs w:val="32"/>
          <w:lang w:val="en-US" w:eastAsia="zh-CN"/>
        </w:rPr>
        <w:t>乡村振兴</w:t>
      </w:r>
      <w:r>
        <w:rPr>
          <w:rFonts w:hint="eastAsia" w:ascii="楷体_GB2312" w:hAnsi="宋体" w:eastAsia="楷体_GB2312" w:cs="仿宋_GB2312"/>
          <w:color w:val="auto"/>
          <w:sz w:val="32"/>
          <w:szCs w:val="32"/>
        </w:rPr>
        <w:t>资金的使用；</w:t>
      </w:r>
      <w:r>
        <w:rPr>
          <w:rFonts w:hint="eastAsia" w:ascii="楷体_GB2312" w:hAnsi="宋体" w:eastAsia="楷体_GB2312" w:cs="仿宋_GB2312"/>
          <w:color w:val="auto"/>
          <w:sz w:val="32"/>
          <w:szCs w:val="32"/>
          <w:lang w:eastAsia="zh-CN"/>
        </w:rPr>
        <w:t>指导</w:t>
      </w:r>
      <w:r>
        <w:rPr>
          <w:rFonts w:hint="eastAsia" w:ascii="楷体_GB2312" w:hAnsi="宋体" w:eastAsia="楷体_GB2312" w:cs="仿宋_GB2312"/>
          <w:color w:val="auto"/>
          <w:sz w:val="32"/>
          <w:szCs w:val="32"/>
          <w:lang w:val="en-US" w:eastAsia="zh-CN"/>
        </w:rPr>
        <w:t>乡村振兴</w:t>
      </w:r>
      <w:r>
        <w:rPr>
          <w:rFonts w:hint="eastAsia" w:ascii="楷体_GB2312" w:hAnsi="宋体" w:eastAsia="楷体_GB2312" w:cs="仿宋_GB2312"/>
          <w:color w:val="auto"/>
          <w:sz w:val="32"/>
          <w:szCs w:val="32"/>
          <w:lang w:eastAsia="zh-CN"/>
        </w:rPr>
        <w:t>项目库建设。</w:t>
      </w:r>
    </w:p>
    <w:p w14:paraId="4BE49CB9">
      <w:pPr>
        <w:numPr>
          <w:ilvl w:val="0"/>
          <w:numId w:val="0"/>
        </w:numPr>
        <w:spacing w:line="360" w:lineRule="auto"/>
        <w:ind w:left="622" w:leftChars="0"/>
        <w:rPr>
          <w:rFonts w:hint="eastAsia" w:ascii="楷体_GB2312" w:hAnsi="宋体" w:eastAsia="楷体_GB2312" w:cs="仿宋_GB2312"/>
          <w:color w:val="auto"/>
          <w:sz w:val="32"/>
          <w:szCs w:val="32"/>
        </w:rPr>
      </w:pPr>
      <w:r>
        <w:rPr>
          <w:rFonts w:hint="eastAsia" w:ascii="楷体_GB2312" w:hAnsi="宋体" w:eastAsia="楷体_GB2312" w:cs="仿宋_GB2312"/>
          <w:color w:val="auto"/>
          <w:sz w:val="32"/>
          <w:szCs w:val="32"/>
          <w:lang w:val="en-US" w:eastAsia="zh-CN"/>
        </w:rPr>
        <w:t>6、</w:t>
      </w:r>
      <w:r>
        <w:rPr>
          <w:rFonts w:hint="eastAsia" w:ascii="楷体_GB2312" w:hAnsi="宋体" w:eastAsia="楷体_GB2312" w:cs="仿宋_GB2312"/>
          <w:color w:val="auto"/>
          <w:sz w:val="32"/>
          <w:szCs w:val="32"/>
          <w:lang w:eastAsia="zh-CN"/>
        </w:rPr>
        <w:t>协调有关部门开展</w:t>
      </w:r>
      <w:r>
        <w:rPr>
          <w:rFonts w:hint="eastAsia" w:ascii="楷体_GB2312" w:hAnsi="宋体" w:eastAsia="楷体_GB2312" w:cs="仿宋_GB2312"/>
          <w:color w:val="auto"/>
          <w:sz w:val="32"/>
          <w:szCs w:val="32"/>
          <w:lang w:val="en-US" w:eastAsia="zh-CN"/>
        </w:rPr>
        <w:t>乡村振兴</w:t>
      </w:r>
      <w:r>
        <w:rPr>
          <w:rFonts w:hint="eastAsia" w:ascii="楷体_GB2312" w:hAnsi="宋体" w:eastAsia="楷体_GB2312" w:cs="仿宋_GB2312"/>
          <w:color w:val="auto"/>
          <w:sz w:val="32"/>
          <w:szCs w:val="32"/>
          <w:lang w:eastAsia="zh-CN"/>
        </w:rPr>
        <w:t>科技推广；组织指导</w:t>
      </w:r>
      <w:r>
        <w:rPr>
          <w:rFonts w:hint="eastAsia" w:ascii="楷体_GB2312" w:hAnsi="宋体" w:eastAsia="楷体_GB2312" w:cs="仿宋_GB2312"/>
          <w:color w:val="auto"/>
          <w:sz w:val="32"/>
          <w:szCs w:val="32"/>
          <w:lang w:val="en-US" w:eastAsia="zh-CN"/>
        </w:rPr>
        <w:t>乡村振兴</w:t>
      </w:r>
      <w:r>
        <w:rPr>
          <w:rFonts w:hint="eastAsia" w:ascii="楷体_GB2312" w:hAnsi="宋体" w:eastAsia="楷体_GB2312" w:cs="仿宋_GB2312"/>
          <w:color w:val="auto"/>
          <w:sz w:val="32"/>
          <w:szCs w:val="32"/>
          <w:lang w:eastAsia="zh-CN"/>
        </w:rPr>
        <w:t>有关的培训工作；</w:t>
      </w:r>
    </w:p>
    <w:p w14:paraId="75D15A25">
      <w:pPr>
        <w:numPr>
          <w:ilvl w:val="0"/>
          <w:numId w:val="0"/>
        </w:numPr>
        <w:spacing w:line="360" w:lineRule="auto"/>
        <w:ind w:left="622" w:leftChars="0"/>
        <w:rPr>
          <w:rFonts w:hint="eastAsia" w:ascii="楷体_GB2312" w:hAnsi="宋体" w:eastAsia="楷体_GB2312" w:cs="仿宋_GB2312"/>
          <w:color w:val="auto"/>
          <w:sz w:val="32"/>
          <w:szCs w:val="32"/>
        </w:rPr>
      </w:pPr>
      <w:r>
        <w:rPr>
          <w:rFonts w:hint="eastAsia" w:ascii="楷体_GB2312" w:hAnsi="宋体" w:eastAsia="楷体_GB2312" w:cs="仿宋_GB2312"/>
          <w:color w:val="auto"/>
          <w:sz w:val="32"/>
          <w:szCs w:val="32"/>
          <w:lang w:val="en-US" w:eastAsia="zh-CN"/>
        </w:rPr>
        <w:t>7、</w:t>
      </w:r>
      <w:r>
        <w:rPr>
          <w:rFonts w:hint="eastAsia" w:ascii="楷体_GB2312" w:hAnsi="宋体" w:eastAsia="楷体_GB2312" w:cs="仿宋_GB2312"/>
          <w:color w:val="auto"/>
          <w:sz w:val="32"/>
          <w:szCs w:val="32"/>
          <w:lang w:eastAsia="zh-CN"/>
        </w:rPr>
        <w:t>指导和协调全县社会</w:t>
      </w:r>
      <w:r>
        <w:rPr>
          <w:rFonts w:hint="eastAsia" w:ascii="楷体_GB2312" w:hAnsi="宋体" w:eastAsia="楷体_GB2312" w:cs="仿宋_GB2312"/>
          <w:color w:val="auto"/>
          <w:sz w:val="32"/>
          <w:szCs w:val="32"/>
          <w:lang w:val="en-US" w:eastAsia="zh-CN"/>
        </w:rPr>
        <w:t>帮扶</w:t>
      </w:r>
      <w:r>
        <w:rPr>
          <w:rFonts w:hint="eastAsia" w:ascii="楷体_GB2312" w:hAnsi="宋体" w:eastAsia="楷体_GB2312" w:cs="仿宋_GB2312"/>
          <w:color w:val="auto"/>
          <w:sz w:val="32"/>
          <w:szCs w:val="32"/>
          <w:lang w:eastAsia="zh-CN"/>
        </w:rPr>
        <w:t>工作；组织、指导全县金融</w:t>
      </w:r>
      <w:r>
        <w:rPr>
          <w:rFonts w:hint="eastAsia" w:ascii="楷体_GB2312" w:hAnsi="宋体" w:eastAsia="楷体_GB2312" w:cs="仿宋_GB2312"/>
          <w:color w:val="auto"/>
          <w:sz w:val="32"/>
          <w:szCs w:val="32"/>
          <w:lang w:val="en-US" w:eastAsia="zh-CN"/>
        </w:rPr>
        <w:t>帮扶</w:t>
      </w:r>
      <w:r>
        <w:rPr>
          <w:rFonts w:hint="eastAsia" w:ascii="楷体_GB2312" w:hAnsi="宋体" w:eastAsia="楷体_GB2312" w:cs="仿宋_GB2312"/>
          <w:color w:val="auto"/>
          <w:sz w:val="32"/>
          <w:szCs w:val="32"/>
          <w:lang w:eastAsia="zh-CN"/>
        </w:rPr>
        <w:t>工作。协同有关部门做好驻村帮扶工作。</w:t>
      </w:r>
    </w:p>
    <w:p w14:paraId="4945688B">
      <w:pPr>
        <w:numPr>
          <w:ilvl w:val="0"/>
          <w:numId w:val="0"/>
        </w:numPr>
        <w:spacing w:line="360" w:lineRule="auto"/>
        <w:ind w:left="622" w:leftChars="0"/>
        <w:rPr>
          <w:rFonts w:hint="eastAsia" w:ascii="楷体_GB2312" w:hAnsi="宋体" w:eastAsia="楷体_GB2312" w:cs="仿宋_GB2312"/>
          <w:color w:val="auto"/>
          <w:sz w:val="32"/>
          <w:szCs w:val="32"/>
        </w:rPr>
      </w:pPr>
      <w:r>
        <w:rPr>
          <w:rFonts w:hint="eastAsia" w:ascii="楷体_GB2312" w:hAnsi="宋体" w:eastAsia="楷体_GB2312" w:cs="仿宋_GB2312"/>
          <w:color w:val="auto"/>
          <w:sz w:val="32"/>
          <w:szCs w:val="32"/>
          <w:lang w:val="en-US" w:eastAsia="zh-CN"/>
        </w:rPr>
        <w:t>8、</w:t>
      </w:r>
      <w:r>
        <w:rPr>
          <w:rFonts w:hint="eastAsia" w:ascii="楷体_GB2312" w:hAnsi="宋体" w:eastAsia="楷体_GB2312" w:cs="仿宋_GB2312"/>
          <w:color w:val="auto"/>
          <w:sz w:val="32"/>
          <w:szCs w:val="32"/>
          <w:lang w:eastAsia="zh-CN"/>
        </w:rPr>
        <w:t>承担协调</w:t>
      </w:r>
      <w:r>
        <w:rPr>
          <w:rFonts w:hint="eastAsia" w:ascii="楷体_GB2312" w:hAnsi="宋体" w:eastAsia="楷体_GB2312" w:cs="仿宋_GB2312"/>
          <w:color w:val="auto"/>
          <w:sz w:val="32"/>
          <w:szCs w:val="32"/>
          <w:lang w:val="en-US" w:eastAsia="zh-CN"/>
        </w:rPr>
        <w:t>乡村振兴</w:t>
      </w:r>
      <w:r>
        <w:rPr>
          <w:rFonts w:hint="eastAsia" w:ascii="楷体_GB2312" w:hAnsi="宋体" w:eastAsia="楷体_GB2312" w:cs="仿宋_GB2312"/>
          <w:color w:val="auto"/>
          <w:sz w:val="32"/>
          <w:szCs w:val="32"/>
          <w:lang w:eastAsia="zh-CN"/>
        </w:rPr>
        <w:t>系统风险防控、涉贫信访和舆情处置工作。</w:t>
      </w:r>
    </w:p>
    <w:p w14:paraId="2E2E95B5">
      <w:pPr>
        <w:numPr>
          <w:ilvl w:val="0"/>
          <w:numId w:val="0"/>
        </w:numPr>
        <w:spacing w:line="360" w:lineRule="auto"/>
        <w:ind w:left="622" w:leftChars="0"/>
        <w:rPr>
          <w:rFonts w:hint="eastAsia" w:ascii="楷体_GB2312" w:hAnsi="宋体" w:eastAsia="楷体_GB2312" w:cs="仿宋_GB2312"/>
          <w:color w:val="auto"/>
          <w:sz w:val="32"/>
          <w:szCs w:val="32"/>
        </w:rPr>
      </w:pPr>
      <w:r>
        <w:rPr>
          <w:rFonts w:hint="eastAsia" w:ascii="楷体_GB2312" w:hAnsi="宋体" w:eastAsia="楷体_GB2312" w:cs="仿宋_GB2312"/>
          <w:color w:val="auto"/>
          <w:sz w:val="32"/>
          <w:szCs w:val="32"/>
          <w:lang w:val="en-US" w:eastAsia="zh-CN"/>
        </w:rPr>
        <w:t>9、</w:t>
      </w:r>
      <w:r>
        <w:rPr>
          <w:rFonts w:hint="eastAsia" w:ascii="楷体_GB2312" w:hAnsi="宋体" w:eastAsia="楷体_GB2312" w:cs="仿宋_GB2312"/>
          <w:color w:val="auto"/>
          <w:sz w:val="32"/>
          <w:szCs w:val="32"/>
          <w:lang w:eastAsia="zh-CN"/>
        </w:rPr>
        <w:t>承办县</w:t>
      </w:r>
      <w:r>
        <w:rPr>
          <w:rFonts w:hint="eastAsia" w:ascii="楷体_GB2312" w:hAnsi="宋体" w:eastAsia="楷体_GB2312" w:cs="仿宋_GB2312"/>
          <w:color w:val="auto"/>
          <w:sz w:val="32"/>
          <w:szCs w:val="32"/>
          <w:lang w:val="en-US" w:eastAsia="zh-CN"/>
        </w:rPr>
        <w:t>委实施乡村振兴工作</w:t>
      </w:r>
      <w:r>
        <w:rPr>
          <w:rFonts w:hint="eastAsia" w:ascii="楷体_GB2312" w:hAnsi="宋体" w:eastAsia="楷体_GB2312" w:cs="仿宋_GB2312"/>
          <w:color w:val="auto"/>
          <w:sz w:val="32"/>
          <w:szCs w:val="32"/>
          <w:lang w:eastAsia="zh-CN"/>
        </w:rPr>
        <w:t>领导小组的日常工作。</w:t>
      </w:r>
    </w:p>
    <w:p w14:paraId="66899288">
      <w:pPr>
        <w:numPr>
          <w:ilvl w:val="0"/>
          <w:numId w:val="0"/>
        </w:numPr>
        <w:spacing w:line="360" w:lineRule="auto"/>
        <w:ind w:left="622" w:leftChars="0"/>
        <w:rPr>
          <w:rFonts w:hint="eastAsia" w:ascii="楷体" w:hAnsi="楷体" w:eastAsia="楷体" w:cs="楷体"/>
          <w:b/>
          <w:bCs/>
          <w:color w:val="auto"/>
          <w:sz w:val="32"/>
          <w:szCs w:val="32"/>
        </w:rPr>
      </w:pPr>
      <w:r>
        <w:rPr>
          <w:rFonts w:hint="eastAsia" w:ascii="楷体_GB2312" w:hAnsi="宋体" w:eastAsia="楷体_GB2312" w:cs="仿宋_GB2312"/>
          <w:color w:val="auto"/>
          <w:sz w:val="32"/>
          <w:szCs w:val="32"/>
          <w:lang w:val="en-US" w:eastAsia="zh-CN"/>
        </w:rPr>
        <w:t>10、</w:t>
      </w:r>
      <w:r>
        <w:rPr>
          <w:rFonts w:hint="eastAsia" w:ascii="楷体_GB2312" w:hAnsi="宋体" w:eastAsia="楷体_GB2312" w:cs="仿宋_GB2312"/>
          <w:color w:val="auto"/>
          <w:sz w:val="32"/>
          <w:szCs w:val="32"/>
          <w:lang w:eastAsia="zh-CN"/>
        </w:rPr>
        <w:t>承办县委、县政府交办的其他任务。</w:t>
      </w:r>
    </w:p>
    <w:p w14:paraId="1200C1AE">
      <w:pPr>
        <w:widowControl/>
        <w:numPr>
          <w:ilvl w:val="0"/>
          <w:numId w:val="1"/>
        </w:numPr>
        <w:spacing w:line="600" w:lineRule="exact"/>
        <w:ind w:left="0" w:leftChars="0" w:firstLine="645" w:firstLineChars="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绩效目标设定情况</w:t>
      </w:r>
    </w:p>
    <w:p w14:paraId="589932A0">
      <w:pPr>
        <w:widowControl/>
        <w:spacing w:line="600" w:lineRule="exact"/>
        <w:ind w:firstLine="645"/>
        <w:jc w:val="left"/>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目标1：保持单位正常运行，人员工资、津补贴、社保费、公积金及日常工作运行。</w:t>
      </w:r>
    </w:p>
    <w:p w14:paraId="65C0FF2C">
      <w:pPr>
        <w:widowControl/>
        <w:spacing w:line="600" w:lineRule="exact"/>
        <w:ind w:firstLine="645"/>
        <w:jc w:val="left"/>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目标2:</w:t>
      </w:r>
      <w:r>
        <w:rPr>
          <w:rFonts w:hint="eastAsia" w:ascii="楷体" w:hAnsi="楷体" w:eastAsia="楷体" w:cs="楷体"/>
          <w:b w:val="0"/>
          <w:bCs w:val="0"/>
          <w:color w:val="auto"/>
          <w:sz w:val="32"/>
          <w:szCs w:val="32"/>
          <w:lang w:val="en-US" w:eastAsia="zh-CN"/>
        </w:rPr>
        <w:t>做好全县防返贫工作，防止发生规模性返贫</w:t>
      </w:r>
      <w:r>
        <w:rPr>
          <w:rFonts w:hint="eastAsia" w:ascii="楷体" w:hAnsi="楷体" w:eastAsia="楷体" w:cs="楷体"/>
          <w:b w:val="0"/>
          <w:bCs w:val="0"/>
          <w:color w:val="auto"/>
          <w:sz w:val="32"/>
          <w:szCs w:val="32"/>
        </w:rPr>
        <w:t>。</w:t>
      </w:r>
    </w:p>
    <w:p w14:paraId="408F1419">
      <w:pPr>
        <w:widowControl/>
        <w:spacing w:line="600" w:lineRule="exact"/>
        <w:ind w:firstLine="645"/>
        <w:jc w:val="left"/>
        <w:rPr>
          <w:rFonts w:hint="eastAsia" w:ascii="楷体" w:hAnsi="楷体" w:eastAsia="楷体" w:cs="楷体"/>
          <w:b/>
          <w:bCs/>
          <w:color w:val="auto"/>
          <w:sz w:val="32"/>
          <w:szCs w:val="32"/>
        </w:rPr>
      </w:pPr>
    </w:p>
    <w:p w14:paraId="231F77EC">
      <w:pPr>
        <w:widowControl/>
        <w:spacing w:line="600" w:lineRule="exact"/>
        <w:ind w:firstLine="645"/>
        <w:jc w:val="left"/>
        <w:rPr>
          <w:rFonts w:hint="eastAsia" w:eastAsia="黑体"/>
          <w:color w:val="auto"/>
          <w:sz w:val="32"/>
          <w:szCs w:val="32"/>
        </w:rPr>
      </w:pPr>
      <w:r>
        <w:rPr>
          <w:rFonts w:hint="eastAsia" w:eastAsia="黑体"/>
          <w:color w:val="auto"/>
          <w:sz w:val="32"/>
          <w:szCs w:val="32"/>
        </w:rPr>
        <w:t>二、一般公共预算支出情况</w:t>
      </w:r>
    </w:p>
    <w:p w14:paraId="5C74FAF8">
      <w:pPr>
        <w:adjustRightInd w:val="0"/>
        <w:snapToGrid w:val="0"/>
        <w:spacing w:line="600" w:lineRule="exact"/>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（一）经批复的预、决算情况</w:t>
      </w:r>
    </w:p>
    <w:p w14:paraId="373540A5">
      <w:pPr>
        <w:adjustRightInd w:val="0"/>
        <w:snapToGrid w:val="0"/>
        <w:spacing w:line="600" w:lineRule="exact"/>
        <w:ind w:firstLine="640" w:firstLineChars="200"/>
        <w:rPr>
          <w:rFonts w:hint="eastAsia" w:ascii="宋体" w:hAnsi="宋体" w:cs="新宋体"/>
          <w:color w:val="auto"/>
          <w:sz w:val="32"/>
          <w:szCs w:val="32"/>
          <w:shd w:val="clear" w:color="auto" w:fill="FFFFFF"/>
        </w:rPr>
      </w:pPr>
      <w:r>
        <w:rPr>
          <w:rFonts w:hint="eastAsia" w:ascii="宋体" w:hAnsi="宋体" w:cs="新宋体"/>
          <w:color w:val="auto"/>
          <w:sz w:val="32"/>
          <w:szCs w:val="32"/>
          <w:shd w:val="clear" w:color="auto" w:fill="FFFFFF"/>
        </w:rPr>
        <w:t>1、20</w:t>
      </w:r>
      <w:r>
        <w:rPr>
          <w:rFonts w:hint="eastAsia" w:ascii="宋体" w:hAnsi="宋体" w:cs="新宋体"/>
          <w:color w:val="auto"/>
          <w:sz w:val="32"/>
          <w:szCs w:val="32"/>
          <w:shd w:val="clear" w:color="auto" w:fill="FFFFFF"/>
          <w:lang w:val="en-US" w:eastAsia="zh-CN"/>
        </w:rPr>
        <w:t>23</w:t>
      </w:r>
      <w:r>
        <w:rPr>
          <w:rFonts w:hint="eastAsia" w:ascii="宋体" w:hAnsi="宋体" w:cs="新宋体"/>
          <w:color w:val="auto"/>
          <w:sz w:val="32"/>
          <w:szCs w:val="32"/>
          <w:shd w:val="clear" w:color="auto" w:fill="FFFFFF"/>
        </w:rPr>
        <w:t>年收入</w:t>
      </w:r>
      <w:r>
        <w:rPr>
          <w:rFonts w:hint="eastAsia" w:ascii="宋体" w:hAnsi="宋体" w:cs="新宋体"/>
          <w:color w:val="auto"/>
          <w:sz w:val="32"/>
          <w:szCs w:val="32"/>
          <w:shd w:val="clear" w:color="auto" w:fill="FFFFFF"/>
          <w:lang w:val="en-US" w:eastAsia="zh-CN"/>
        </w:rPr>
        <w:t>预算310.03</w:t>
      </w:r>
      <w:r>
        <w:rPr>
          <w:rFonts w:hint="eastAsia" w:ascii="宋体" w:hAnsi="宋体" w:cs="新宋体"/>
          <w:color w:val="auto"/>
          <w:sz w:val="32"/>
          <w:szCs w:val="32"/>
          <w:shd w:val="clear" w:color="auto" w:fill="FFFFFF"/>
        </w:rPr>
        <w:t>万元，其中：一般公共预算拨款</w:t>
      </w:r>
      <w:r>
        <w:rPr>
          <w:rFonts w:hint="eastAsia" w:ascii="宋体" w:hAnsi="宋体" w:cs="新宋体"/>
          <w:color w:val="auto"/>
          <w:sz w:val="32"/>
          <w:szCs w:val="32"/>
          <w:shd w:val="clear" w:color="auto" w:fill="FFFFFF"/>
          <w:lang w:val="en-US" w:eastAsia="zh-CN"/>
        </w:rPr>
        <w:t>310.03</w:t>
      </w:r>
      <w:r>
        <w:rPr>
          <w:rFonts w:hint="eastAsia" w:ascii="宋体" w:hAnsi="宋体" w:cs="新宋体"/>
          <w:color w:val="auto"/>
          <w:sz w:val="32"/>
          <w:szCs w:val="32"/>
          <w:shd w:val="clear" w:color="auto" w:fill="FFFFFF"/>
        </w:rPr>
        <w:t>万元，政府性基金预算拨款0万元，纳入财政专户管理的非税收入拨款0万元.</w:t>
      </w:r>
    </w:p>
    <w:p w14:paraId="567A6032">
      <w:pPr>
        <w:adjustRightInd w:val="0"/>
        <w:snapToGrid w:val="0"/>
        <w:spacing w:line="600" w:lineRule="exact"/>
        <w:ind w:firstLine="640" w:firstLineChars="200"/>
        <w:rPr>
          <w:rFonts w:hint="eastAsia" w:ascii="宋体" w:hAnsi="宋体" w:cs="新宋体"/>
          <w:color w:val="auto"/>
          <w:sz w:val="32"/>
          <w:szCs w:val="32"/>
          <w:shd w:val="clear" w:color="auto" w:fill="FFFFFF"/>
        </w:rPr>
      </w:pPr>
      <w:r>
        <w:rPr>
          <w:rFonts w:hint="eastAsia" w:ascii="宋体" w:hAnsi="宋体" w:cs="新宋体"/>
          <w:color w:val="auto"/>
          <w:sz w:val="32"/>
          <w:szCs w:val="32"/>
          <w:shd w:val="clear" w:color="auto" w:fill="FFFFFF"/>
        </w:rPr>
        <w:t>2、2</w:t>
      </w:r>
      <w:r>
        <w:rPr>
          <w:rFonts w:hint="eastAsia" w:ascii="宋体" w:hAnsi="宋体" w:cs="新宋体"/>
          <w:color w:val="auto"/>
          <w:sz w:val="32"/>
          <w:szCs w:val="32"/>
          <w:shd w:val="clear" w:color="auto" w:fill="FFFFFF"/>
          <w:lang w:val="en-US" w:eastAsia="zh-CN"/>
        </w:rPr>
        <w:t>023</w:t>
      </w:r>
      <w:r>
        <w:rPr>
          <w:rFonts w:hint="eastAsia" w:ascii="宋体" w:hAnsi="宋体" w:cs="新宋体"/>
          <w:color w:val="auto"/>
          <w:sz w:val="32"/>
          <w:szCs w:val="32"/>
          <w:shd w:val="clear" w:color="auto" w:fill="FFFFFF"/>
        </w:rPr>
        <w:t>年支出</w:t>
      </w:r>
      <w:r>
        <w:rPr>
          <w:rFonts w:hint="eastAsia" w:ascii="宋体" w:hAnsi="宋体" w:cs="新宋体"/>
          <w:color w:val="auto"/>
          <w:sz w:val="32"/>
          <w:szCs w:val="32"/>
          <w:shd w:val="clear" w:color="auto" w:fill="FFFFFF"/>
          <w:lang w:val="en-US" w:eastAsia="zh-CN"/>
        </w:rPr>
        <w:t>预算310.03</w:t>
      </w:r>
      <w:r>
        <w:rPr>
          <w:rFonts w:hint="eastAsia" w:ascii="宋体" w:hAnsi="宋体" w:cs="新宋体"/>
          <w:color w:val="auto"/>
          <w:sz w:val="32"/>
          <w:szCs w:val="32"/>
          <w:shd w:val="clear" w:color="auto" w:fill="FFFFFF"/>
        </w:rPr>
        <w:t>万元，</w:t>
      </w:r>
      <w:r>
        <w:rPr>
          <w:rFonts w:hint="eastAsia" w:ascii="宋体" w:hAnsi="宋体" w:cs="新宋体"/>
          <w:color w:val="auto"/>
          <w:sz w:val="32"/>
          <w:szCs w:val="32"/>
          <w:shd w:val="clear" w:color="auto" w:fill="FFFFFF"/>
        </w:rPr>
        <w:t>其中工资福利支出</w:t>
      </w:r>
      <w:r>
        <w:rPr>
          <w:rFonts w:hint="eastAsia" w:ascii="宋体" w:hAnsi="宋体" w:cs="新宋体"/>
          <w:color w:val="auto"/>
          <w:sz w:val="32"/>
          <w:szCs w:val="32"/>
          <w:shd w:val="clear" w:color="auto" w:fill="FFFFFF"/>
          <w:lang w:val="en-US" w:eastAsia="zh-CN"/>
        </w:rPr>
        <w:t>257.52</w:t>
      </w:r>
      <w:r>
        <w:rPr>
          <w:rFonts w:hint="eastAsia" w:ascii="宋体" w:hAnsi="宋体" w:cs="新宋体"/>
          <w:color w:val="auto"/>
          <w:sz w:val="32"/>
          <w:szCs w:val="32"/>
          <w:shd w:val="clear" w:color="auto" w:fill="FFFFFF"/>
        </w:rPr>
        <w:t>万元,商品和服务支出</w:t>
      </w:r>
      <w:r>
        <w:rPr>
          <w:rFonts w:hint="eastAsia" w:ascii="宋体" w:hAnsi="宋体" w:cs="新宋体"/>
          <w:color w:val="auto"/>
          <w:sz w:val="32"/>
          <w:szCs w:val="32"/>
          <w:shd w:val="clear" w:color="auto" w:fill="FFFFFF"/>
          <w:lang w:val="en-US" w:eastAsia="zh-CN"/>
        </w:rPr>
        <w:t>37.49</w:t>
      </w:r>
      <w:r>
        <w:rPr>
          <w:rFonts w:hint="eastAsia" w:ascii="宋体" w:hAnsi="宋体" w:cs="新宋体"/>
          <w:color w:val="auto"/>
          <w:sz w:val="32"/>
          <w:szCs w:val="32"/>
          <w:shd w:val="clear" w:color="auto" w:fill="FFFFFF"/>
        </w:rPr>
        <w:t xml:space="preserve">万元 </w:t>
      </w:r>
      <w:r>
        <w:rPr>
          <w:rFonts w:hint="eastAsia" w:ascii="宋体" w:hAnsi="宋体" w:cs="新宋体"/>
          <w:color w:val="auto"/>
          <w:sz w:val="32"/>
          <w:szCs w:val="32"/>
          <w:shd w:val="clear" w:color="auto" w:fill="FFFFFF"/>
          <w:lang w:eastAsia="zh-CN"/>
        </w:rPr>
        <w:t>，</w:t>
      </w:r>
      <w:r>
        <w:rPr>
          <w:rFonts w:hint="eastAsia" w:ascii="宋体" w:hAnsi="宋体" w:cs="新宋体"/>
          <w:color w:val="auto"/>
          <w:sz w:val="32"/>
          <w:szCs w:val="32"/>
          <w:shd w:val="clear" w:color="auto" w:fill="FFFFFF"/>
        </w:rPr>
        <w:t>对个人和家庭的补助</w:t>
      </w:r>
      <w:r>
        <w:rPr>
          <w:rFonts w:hint="eastAsia" w:ascii="宋体" w:hAnsi="宋体" w:cs="新宋体"/>
          <w:color w:val="auto"/>
          <w:sz w:val="32"/>
          <w:szCs w:val="32"/>
          <w:shd w:val="clear" w:color="auto" w:fill="FFFFFF"/>
          <w:lang w:val="en-US" w:eastAsia="zh-CN"/>
        </w:rPr>
        <w:t>15.02万，</w:t>
      </w:r>
      <w:r>
        <w:rPr>
          <w:rFonts w:hint="eastAsia" w:ascii="宋体" w:hAnsi="宋体" w:cs="新宋体"/>
          <w:color w:val="auto"/>
          <w:sz w:val="32"/>
          <w:szCs w:val="32"/>
          <w:shd w:val="clear" w:color="auto" w:fill="FFFFFF"/>
        </w:rPr>
        <w:t>项目</w:t>
      </w:r>
      <w:r>
        <w:rPr>
          <w:rFonts w:ascii="宋体" w:hAnsi="宋体" w:cs="新宋体"/>
          <w:color w:val="auto"/>
          <w:sz w:val="32"/>
          <w:szCs w:val="32"/>
          <w:shd w:val="clear" w:color="auto" w:fill="FFFFFF"/>
        </w:rPr>
        <w:t>支出</w:t>
      </w:r>
      <w:r>
        <w:rPr>
          <w:rFonts w:hint="eastAsia" w:ascii="宋体" w:hAnsi="宋体" w:cs="新宋体"/>
          <w:color w:val="auto"/>
          <w:sz w:val="32"/>
          <w:szCs w:val="32"/>
          <w:shd w:val="clear" w:color="auto" w:fill="FFFFFF"/>
          <w:lang w:val="en-US" w:eastAsia="zh-CN"/>
        </w:rPr>
        <w:t>0</w:t>
      </w:r>
      <w:r>
        <w:rPr>
          <w:rFonts w:hint="eastAsia" w:ascii="宋体" w:hAnsi="宋体" w:cs="新宋体"/>
          <w:color w:val="auto"/>
          <w:sz w:val="32"/>
          <w:szCs w:val="32"/>
          <w:shd w:val="clear" w:color="auto" w:fill="FFFFFF"/>
        </w:rPr>
        <w:t>万</w:t>
      </w:r>
      <w:r>
        <w:rPr>
          <w:rFonts w:ascii="宋体" w:hAnsi="宋体" w:cs="新宋体"/>
          <w:color w:val="auto"/>
          <w:sz w:val="32"/>
          <w:szCs w:val="32"/>
          <w:shd w:val="clear" w:color="auto" w:fill="FFFFFF"/>
        </w:rPr>
        <w:t>元。</w:t>
      </w:r>
    </w:p>
    <w:p w14:paraId="19A6E004">
      <w:pPr>
        <w:widowControl/>
        <w:spacing w:line="600" w:lineRule="exact"/>
        <w:ind w:firstLine="645"/>
        <w:jc w:val="left"/>
        <w:rPr>
          <w:rFonts w:hint="eastAsia" w:ascii="楷体" w:hAnsi="楷体" w:eastAsia="楷体" w:cs="楷体"/>
          <w:b/>
          <w:bCs/>
          <w:color w:val="auto"/>
          <w:sz w:val="32"/>
          <w:szCs w:val="32"/>
        </w:rPr>
      </w:pPr>
    </w:p>
    <w:p w14:paraId="7E658EAE">
      <w:pPr>
        <w:widowControl/>
        <w:spacing w:line="600" w:lineRule="exact"/>
        <w:ind w:firstLine="645"/>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（二）部门预算执行情况</w:t>
      </w:r>
    </w:p>
    <w:p w14:paraId="53E4EA7F">
      <w:pPr>
        <w:adjustRightInd w:val="0"/>
        <w:snapToGrid w:val="0"/>
        <w:spacing w:line="600" w:lineRule="exact"/>
        <w:ind w:firstLine="640" w:firstLineChars="200"/>
        <w:rPr>
          <w:rFonts w:hint="eastAsia" w:eastAsia="仿宋_GB2312"/>
          <w:color w:val="auto"/>
          <w:sz w:val="32"/>
          <w:szCs w:val="32"/>
        </w:rPr>
      </w:pPr>
      <w:r>
        <w:rPr>
          <w:rFonts w:hint="eastAsia" w:eastAsia="仿宋_GB2312"/>
          <w:color w:val="auto"/>
          <w:sz w:val="32"/>
          <w:szCs w:val="32"/>
        </w:rPr>
        <w:t>1.基本支出情况</w:t>
      </w:r>
    </w:p>
    <w:p w14:paraId="2011A1EA">
      <w:pPr>
        <w:adjustRightInd w:val="0"/>
        <w:snapToGrid w:val="0"/>
        <w:spacing w:line="600" w:lineRule="exact"/>
        <w:ind w:firstLine="640" w:firstLineChars="200"/>
        <w:rPr>
          <w:rFonts w:hint="eastAsia" w:eastAsia="宋体"/>
          <w:color w:val="auto"/>
          <w:lang w:eastAsia="zh-CN"/>
        </w:rPr>
      </w:pPr>
      <w:r>
        <w:rPr>
          <w:rFonts w:hint="eastAsia" w:ascii="宋体" w:hAnsi="宋体" w:cs="新宋体"/>
          <w:color w:val="auto"/>
          <w:sz w:val="32"/>
          <w:szCs w:val="32"/>
          <w:shd w:val="clear" w:color="auto" w:fill="FFFFFF"/>
        </w:rPr>
        <w:t>20</w:t>
      </w:r>
      <w:r>
        <w:rPr>
          <w:rFonts w:hint="eastAsia" w:ascii="宋体" w:hAnsi="宋体" w:cs="新宋体"/>
          <w:color w:val="auto"/>
          <w:sz w:val="32"/>
          <w:szCs w:val="32"/>
          <w:shd w:val="clear" w:color="auto" w:fill="FFFFFF"/>
          <w:lang w:val="en-US" w:eastAsia="zh-CN"/>
        </w:rPr>
        <w:t>23</w:t>
      </w:r>
      <w:r>
        <w:rPr>
          <w:rFonts w:hint="eastAsia" w:ascii="宋体" w:hAnsi="宋体" w:cs="新宋体"/>
          <w:color w:val="auto"/>
          <w:sz w:val="32"/>
          <w:szCs w:val="32"/>
          <w:shd w:val="clear" w:color="auto" w:fill="FFFFFF"/>
        </w:rPr>
        <w:t>年</w:t>
      </w:r>
      <w:r>
        <w:rPr>
          <w:rFonts w:hint="eastAsia" w:ascii="宋体" w:hAnsi="宋体" w:cs="新宋体"/>
          <w:color w:val="auto"/>
          <w:sz w:val="32"/>
          <w:szCs w:val="32"/>
          <w:shd w:val="clear" w:color="auto" w:fill="FFFFFF"/>
          <w:lang w:val="en-US" w:eastAsia="zh-CN"/>
        </w:rPr>
        <w:t>本部门基本</w:t>
      </w:r>
      <w:r>
        <w:rPr>
          <w:rFonts w:hint="eastAsia" w:ascii="宋体" w:hAnsi="宋体" w:cs="新宋体"/>
          <w:color w:val="auto"/>
          <w:sz w:val="32"/>
          <w:szCs w:val="32"/>
          <w:shd w:val="clear" w:color="auto" w:fill="FFFFFF"/>
        </w:rPr>
        <w:t>支出</w:t>
      </w:r>
      <w:r>
        <w:rPr>
          <w:rFonts w:hint="eastAsia" w:ascii="宋体" w:hAnsi="宋体" w:cs="新宋体"/>
          <w:color w:val="auto"/>
          <w:sz w:val="32"/>
          <w:szCs w:val="32"/>
          <w:shd w:val="clear" w:color="auto" w:fill="FFFFFF"/>
          <w:lang w:val="en-US" w:eastAsia="zh-CN"/>
        </w:rPr>
        <w:t>342.72</w:t>
      </w:r>
      <w:r>
        <w:rPr>
          <w:rFonts w:hint="eastAsia" w:ascii="宋体" w:hAnsi="宋体" w:cs="新宋体"/>
          <w:color w:val="auto"/>
          <w:sz w:val="32"/>
          <w:szCs w:val="32"/>
          <w:shd w:val="clear" w:color="auto" w:fill="FFFFFF"/>
        </w:rPr>
        <w:t>万元，其中工资福利支出</w:t>
      </w:r>
      <w:r>
        <w:rPr>
          <w:rFonts w:hint="eastAsia" w:ascii="宋体" w:hAnsi="宋体" w:cs="新宋体"/>
          <w:color w:val="auto"/>
          <w:sz w:val="32"/>
          <w:szCs w:val="32"/>
          <w:shd w:val="clear" w:color="auto" w:fill="FFFFFF"/>
          <w:lang w:val="en-US" w:eastAsia="zh-CN"/>
        </w:rPr>
        <w:t>322.38</w:t>
      </w:r>
      <w:r>
        <w:rPr>
          <w:rFonts w:hint="eastAsia" w:ascii="宋体" w:hAnsi="宋体" w:cs="新宋体"/>
          <w:color w:val="auto"/>
          <w:sz w:val="32"/>
          <w:szCs w:val="32"/>
          <w:shd w:val="clear" w:color="auto" w:fill="FFFFFF"/>
        </w:rPr>
        <w:t>万元,商品和服务支出</w:t>
      </w:r>
      <w:r>
        <w:rPr>
          <w:rFonts w:hint="eastAsia" w:ascii="宋体" w:hAnsi="宋体" w:cs="新宋体"/>
          <w:color w:val="auto"/>
          <w:sz w:val="32"/>
          <w:szCs w:val="32"/>
          <w:shd w:val="clear" w:color="auto" w:fill="FFFFFF"/>
          <w:lang w:val="en-US" w:eastAsia="zh-CN"/>
        </w:rPr>
        <w:t>18.77</w:t>
      </w:r>
      <w:r>
        <w:rPr>
          <w:rFonts w:hint="eastAsia" w:ascii="宋体" w:hAnsi="宋体" w:cs="新宋体"/>
          <w:color w:val="auto"/>
          <w:sz w:val="32"/>
          <w:szCs w:val="32"/>
          <w:shd w:val="clear" w:color="auto" w:fill="FFFFFF"/>
        </w:rPr>
        <w:t xml:space="preserve">万元 </w:t>
      </w:r>
      <w:r>
        <w:rPr>
          <w:rFonts w:hint="eastAsia" w:ascii="宋体" w:hAnsi="宋体" w:cs="新宋体"/>
          <w:color w:val="auto"/>
          <w:sz w:val="32"/>
          <w:szCs w:val="32"/>
          <w:shd w:val="clear" w:color="auto" w:fill="FFFFFF"/>
          <w:lang w:eastAsia="zh-CN"/>
        </w:rPr>
        <w:t>，</w:t>
      </w:r>
      <w:r>
        <w:rPr>
          <w:rFonts w:hint="eastAsia" w:ascii="宋体" w:hAnsi="宋体" w:cs="新宋体"/>
          <w:color w:val="auto"/>
          <w:sz w:val="32"/>
          <w:szCs w:val="32"/>
          <w:shd w:val="clear" w:color="auto" w:fill="FFFFFF"/>
        </w:rPr>
        <w:t>对个人和家庭的补助</w:t>
      </w:r>
      <w:r>
        <w:rPr>
          <w:rFonts w:hint="eastAsia" w:ascii="宋体" w:hAnsi="宋体" w:cs="新宋体"/>
          <w:color w:val="auto"/>
          <w:sz w:val="32"/>
          <w:szCs w:val="32"/>
          <w:shd w:val="clear" w:color="auto" w:fill="FFFFFF"/>
          <w:lang w:val="en-US" w:eastAsia="zh-CN"/>
        </w:rPr>
        <w:t>1.57万</w:t>
      </w:r>
      <w:r>
        <w:rPr>
          <w:rFonts w:ascii="宋体" w:hAnsi="宋体" w:cs="新宋体"/>
          <w:color w:val="auto"/>
          <w:sz w:val="32"/>
          <w:szCs w:val="32"/>
          <w:shd w:val="clear" w:color="auto" w:fill="FFFFFF"/>
        </w:rPr>
        <w:t>。</w:t>
      </w:r>
      <w:r>
        <w:rPr>
          <w:rFonts w:hint="eastAsia" w:ascii="宋体" w:hAnsi="宋体" w:cs="新宋体"/>
          <w:color w:val="auto"/>
          <w:sz w:val="32"/>
          <w:szCs w:val="32"/>
          <w:shd w:val="clear" w:color="auto" w:fill="FFFFFF"/>
        </w:rPr>
        <w:t>“三</w:t>
      </w:r>
      <w:r>
        <w:rPr>
          <w:rFonts w:ascii="宋体" w:hAnsi="宋体" w:cs="新宋体"/>
          <w:color w:val="auto"/>
          <w:sz w:val="32"/>
          <w:szCs w:val="32"/>
          <w:shd w:val="clear" w:color="auto" w:fill="FFFFFF"/>
        </w:rPr>
        <w:t>公</w:t>
      </w:r>
      <w:r>
        <w:rPr>
          <w:rFonts w:hint="eastAsia" w:ascii="宋体" w:hAnsi="宋体" w:cs="新宋体"/>
          <w:color w:val="auto"/>
          <w:sz w:val="32"/>
          <w:szCs w:val="32"/>
          <w:shd w:val="clear" w:color="auto" w:fill="FFFFFF"/>
        </w:rPr>
        <w:t>”经</w:t>
      </w:r>
      <w:r>
        <w:rPr>
          <w:rFonts w:ascii="宋体" w:hAnsi="宋体" w:cs="新宋体"/>
          <w:color w:val="auto"/>
          <w:sz w:val="32"/>
          <w:szCs w:val="32"/>
          <w:shd w:val="clear" w:color="auto" w:fill="FFFFFF"/>
        </w:rPr>
        <w:t>费</w:t>
      </w:r>
      <w:r>
        <w:rPr>
          <w:rFonts w:hint="eastAsia" w:ascii="宋体" w:hAnsi="宋体" w:cs="新宋体"/>
          <w:color w:val="auto"/>
          <w:sz w:val="32"/>
          <w:szCs w:val="32"/>
          <w:shd w:val="clear" w:color="auto" w:fill="FFFFFF"/>
          <w:lang w:val="en-US" w:eastAsia="zh-CN"/>
        </w:rPr>
        <w:t>总额0元，</w:t>
      </w:r>
      <w:r>
        <w:rPr>
          <w:rFonts w:hint="eastAsia" w:ascii="宋体" w:hAnsi="宋体" w:cs="新宋体"/>
          <w:color w:val="auto"/>
          <w:sz w:val="32"/>
          <w:szCs w:val="32"/>
          <w:shd w:val="clear" w:color="auto" w:fill="FFFFFF"/>
        </w:rPr>
        <w:t>“三</w:t>
      </w:r>
      <w:r>
        <w:rPr>
          <w:rFonts w:ascii="宋体" w:hAnsi="宋体" w:cs="新宋体"/>
          <w:color w:val="auto"/>
          <w:sz w:val="32"/>
          <w:szCs w:val="32"/>
          <w:shd w:val="clear" w:color="auto" w:fill="FFFFFF"/>
        </w:rPr>
        <w:t>公</w:t>
      </w:r>
      <w:r>
        <w:rPr>
          <w:rFonts w:hint="eastAsia" w:ascii="宋体" w:hAnsi="宋体" w:cs="新宋体"/>
          <w:color w:val="auto"/>
          <w:sz w:val="32"/>
          <w:szCs w:val="32"/>
          <w:shd w:val="clear" w:color="auto" w:fill="FFFFFF"/>
        </w:rPr>
        <w:t>”经</w:t>
      </w:r>
      <w:r>
        <w:rPr>
          <w:rFonts w:ascii="宋体" w:hAnsi="宋体" w:cs="新宋体"/>
          <w:color w:val="auto"/>
          <w:sz w:val="32"/>
          <w:szCs w:val="32"/>
          <w:shd w:val="clear" w:color="auto" w:fill="FFFFFF"/>
        </w:rPr>
        <w:t>费严格控制</w:t>
      </w:r>
      <w:r>
        <w:rPr>
          <w:rFonts w:hint="eastAsia" w:ascii="宋体" w:hAnsi="宋体" w:cs="新宋体"/>
          <w:color w:val="auto"/>
          <w:sz w:val="32"/>
          <w:szCs w:val="32"/>
          <w:shd w:val="clear" w:color="auto" w:fill="FFFFFF"/>
          <w:lang w:eastAsia="zh-CN"/>
        </w:rPr>
        <w:t>。</w:t>
      </w:r>
    </w:p>
    <w:p w14:paraId="1E8CCBC8">
      <w:pPr>
        <w:numPr>
          <w:ilvl w:val="0"/>
          <w:numId w:val="3"/>
        </w:numPr>
        <w:adjustRightInd w:val="0"/>
        <w:snapToGrid w:val="0"/>
        <w:spacing w:line="600" w:lineRule="exact"/>
        <w:ind w:firstLine="640" w:firstLineChars="200"/>
        <w:rPr>
          <w:rFonts w:hint="eastAsia" w:ascii="宋体" w:hAnsi="宋体"/>
          <w:color w:val="auto"/>
          <w:sz w:val="32"/>
          <w:szCs w:val="32"/>
        </w:rPr>
      </w:pPr>
      <w:r>
        <w:rPr>
          <w:rFonts w:hint="eastAsia" w:ascii="宋体" w:hAnsi="宋体" w:cs="新宋体"/>
          <w:color w:val="auto"/>
          <w:sz w:val="32"/>
          <w:szCs w:val="32"/>
          <w:shd w:val="clear" w:color="auto" w:fill="FFFFFF"/>
        </w:rPr>
        <w:t>“三</w:t>
      </w:r>
      <w:r>
        <w:rPr>
          <w:rFonts w:ascii="宋体" w:hAnsi="宋体" w:cs="新宋体"/>
          <w:color w:val="auto"/>
          <w:sz w:val="32"/>
          <w:szCs w:val="32"/>
          <w:shd w:val="clear" w:color="auto" w:fill="FFFFFF"/>
        </w:rPr>
        <w:t>公</w:t>
      </w:r>
      <w:r>
        <w:rPr>
          <w:rFonts w:hint="eastAsia" w:ascii="宋体" w:hAnsi="宋体" w:cs="新宋体"/>
          <w:color w:val="auto"/>
          <w:sz w:val="32"/>
          <w:szCs w:val="32"/>
          <w:shd w:val="clear" w:color="auto" w:fill="FFFFFF"/>
        </w:rPr>
        <w:t>”经</w:t>
      </w:r>
      <w:r>
        <w:rPr>
          <w:rFonts w:ascii="宋体" w:hAnsi="宋体" w:cs="新宋体"/>
          <w:color w:val="auto"/>
          <w:sz w:val="32"/>
          <w:szCs w:val="32"/>
          <w:shd w:val="clear" w:color="auto" w:fill="FFFFFF"/>
        </w:rPr>
        <w:t>费</w:t>
      </w:r>
      <w:r>
        <w:rPr>
          <w:rFonts w:hint="eastAsia" w:ascii="宋体" w:hAnsi="宋体" w:cs="新宋体"/>
          <w:color w:val="auto"/>
          <w:sz w:val="32"/>
          <w:szCs w:val="32"/>
          <w:shd w:val="clear" w:color="auto" w:fill="FFFFFF"/>
          <w:lang w:val="en-US" w:eastAsia="zh-CN"/>
        </w:rPr>
        <w:t>使用和管理情况</w:t>
      </w:r>
    </w:p>
    <w:p w14:paraId="06238043">
      <w:pPr>
        <w:numPr>
          <w:numId w:val="0"/>
        </w:numPr>
        <w:adjustRightInd w:val="0"/>
        <w:snapToGrid w:val="0"/>
        <w:spacing w:line="600" w:lineRule="exact"/>
        <w:ind w:firstLine="640" w:firstLineChars="200"/>
        <w:rPr>
          <w:rFonts w:hint="eastAsia" w:ascii="宋体" w:hAnsi="宋体"/>
          <w:color w:val="auto"/>
          <w:sz w:val="32"/>
          <w:szCs w:val="32"/>
        </w:rPr>
      </w:pPr>
      <w:r>
        <w:rPr>
          <w:rFonts w:hint="eastAsia" w:ascii="宋体" w:hAnsi="宋体" w:cs="新宋体"/>
          <w:color w:val="auto"/>
          <w:sz w:val="32"/>
          <w:szCs w:val="32"/>
          <w:shd w:val="clear" w:color="auto" w:fill="FFFFFF"/>
          <w:lang w:val="en-US" w:eastAsia="zh-CN"/>
        </w:rPr>
        <w:t>2023年</w:t>
      </w:r>
      <w:r>
        <w:rPr>
          <w:rFonts w:hint="eastAsia" w:ascii="宋体" w:hAnsi="宋体" w:cs="新宋体"/>
          <w:color w:val="auto"/>
          <w:sz w:val="32"/>
          <w:szCs w:val="32"/>
          <w:shd w:val="clear" w:color="auto" w:fill="FFFFFF"/>
        </w:rPr>
        <w:t>“三</w:t>
      </w:r>
      <w:r>
        <w:rPr>
          <w:rFonts w:ascii="宋体" w:hAnsi="宋体" w:cs="新宋体"/>
          <w:color w:val="auto"/>
          <w:sz w:val="32"/>
          <w:szCs w:val="32"/>
          <w:shd w:val="clear" w:color="auto" w:fill="FFFFFF"/>
        </w:rPr>
        <w:t>公</w:t>
      </w:r>
      <w:r>
        <w:rPr>
          <w:rFonts w:hint="eastAsia" w:ascii="宋体" w:hAnsi="宋体" w:cs="新宋体"/>
          <w:color w:val="auto"/>
          <w:sz w:val="32"/>
          <w:szCs w:val="32"/>
          <w:shd w:val="clear" w:color="auto" w:fill="FFFFFF"/>
        </w:rPr>
        <w:t>”经</w:t>
      </w:r>
      <w:r>
        <w:rPr>
          <w:rFonts w:ascii="宋体" w:hAnsi="宋体" w:cs="新宋体"/>
          <w:color w:val="auto"/>
          <w:sz w:val="32"/>
          <w:szCs w:val="32"/>
          <w:shd w:val="clear" w:color="auto" w:fill="FFFFFF"/>
        </w:rPr>
        <w:t>费</w:t>
      </w:r>
      <w:r>
        <w:rPr>
          <w:rFonts w:hint="eastAsia" w:ascii="宋体" w:hAnsi="宋体" w:cs="新宋体"/>
          <w:color w:val="auto"/>
          <w:sz w:val="32"/>
          <w:szCs w:val="32"/>
          <w:shd w:val="clear" w:color="auto" w:fill="FFFFFF"/>
          <w:lang w:val="en-US" w:eastAsia="zh-CN"/>
        </w:rPr>
        <w:t>总额0元，</w:t>
      </w:r>
      <w:r>
        <w:rPr>
          <w:rFonts w:hint="eastAsia" w:ascii="宋体" w:hAnsi="宋体" w:cs="新宋体"/>
          <w:color w:val="auto"/>
          <w:sz w:val="32"/>
          <w:szCs w:val="32"/>
          <w:shd w:val="clear" w:color="auto" w:fill="FFFFFF"/>
        </w:rPr>
        <w:t>“三</w:t>
      </w:r>
      <w:r>
        <w:rPr>
          <w:rFonts w:ascii="宋体" w:hAnsi="宋体" w:cs="新宋体"/>
          <w:color w:val="auto"/>
          <w:sz w:val="32"/>
          <w:szCs w:val="32"/>
          <w:shd w:val="clear" w:color="auto" w:fill="FFFFFF"/>
        </w:rPr>
        <w:t>公</w:t>
      </w:r>
      <w:r>
        <w:rPr>
          <w:rFonts w:hint="eastAsia" w:ascii="宋体" w:hAnsi="宋体" w:cs="新宋体"/>
          <w:color w:val="auto"/>
          <w:sz w:val="32"/>
          <w:szCs w:val="32"/>
          <w:shd w:val="clear" w:color="auto" w:fill="FFFFFF"/>
        </w:rPr>
        <w:t>”经</w:t>
      </w:r>
      <w:r>
        <w:rPr>
          <w:rFonts w:ascii="宋体" w:hAnsi="宋体" w:cs="新宋体"/>
          <w:color w:val="auto"/>
          <w:sz w:val="32"/>
          <w:szCs w:val="32"/>
          <w:shd w:val="clear" w:color="auto" w:fill="FFFFFF"/>
        </w:rPr>
        <w:t>费严格控制，比</w:t>
      </w:r>
      <w:r>
        <w:rPr>
          <w:rFonts w:hint="eastAsia" w:ascii="宋体" w:hAnsi="宋体" w:cs="新宋体"/>
          <w:color w:val="auto"/>
          <w:sz w:val="32"/>
          <w:szCs w:val="32"/>
          <w:shd w:val="clear" w:color="auto" w:fill="FFFFFF"/>
          <w:lang w:val="en-US" w:eastAsia="zh-CN"/>
        </w:rPr>
        <w:t>2022年0元</w:t>
      </w:r>
      <w:r>
        <w:rPr>
          <w:rFonts w:hint="eastAsia" w:ascii="宋体" w:hAnsi="宋体" w:cs="新宋体"/>
          <w:color w:val="auto"/>
          <w:sz w:val="32"/>
          <w:szCs w:val="32"/>
          <w:shd w:val="clear" w:color="auto" w:fill="FFFFFF"/>
          <w:lang w:eastAsia="zh-CN"/>
        </w:rPr>
        <w:t>无变化。</w:t>
      </w:r>
    </w:p>
    <w:p w14:paraId="35E6F99E">
      <w:pPr>
        <w:widowControl/>
        <w:numPr>
          <w:ilvl w:val="0"/>
          <w:numId w:val="3"/>
        </w:numPr>
        <w:spacing w:line="600" w:lineRule="exact"/>
        <w:ind w:left="0" w:leftChars="0"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资金结转和结余情况</w:t>
      </w:r>
    </w:p>
    <w:p w14:paraId="6B89CD77">
      <w:pPr>
        <w:numPr>
          <w:ilvl w:val="0"/>
          <w:numId w:val="0"/>
        </w:numPr>
        <w:adjustRightInd w:val="0"/>
        <w:snapToGrid w:val="0"/>
        <w:spacing w:line="600" w:lineRule="exact"/>
        <w:ind w:firstLine="640" w:firstLineChars="200"/>
        <w:rPr>
          <w:rFonts w:hint="default" w:ascii="宋体" w:hAnsi="宋体" w:cs="新宋体"/>
          <w:color w:val="auto"/>
          <w:sz w:val="32"/>
          <w:szCs w:val="32"/>
          <w:shd w:val="clear" w:color="auto" w:fill="FFFFFF"/>
          <w:lang w:val="en-US" w:eastAsia="zh-CN"/>
        </w:rPr>
      </w:pPr>
      <w:r>
        <w:rPr>
          <w:rFonts w:hint="eastAsia" w:ascii="宋体" w:hAnsi="宋体" w:cs="新宋体"/>
          <w:color w:val="auto"/>
          <w:sz w:val="32"/>
          <w:szCs w:val="32"/>
          <w:shd w:val="clear" w:color="auto" w:fill="FFFFFF"/>
          <w:lang w:val="en-US" w:eastAsia="zh-CN"/>
        </w:rPr>
        <w:t>2023年本期盈余--152810.74元.</w:t>
      </w:r>
    </w:p>
    <w:p w14:paraId="6521B787">
      <w:pPr>
        <w:widowControl/>
        <w:numPr>
          <w:ilvl w:val="0"/>
          <w:numId w:val="3"/>
        </w:numPr>
        <w:shd w:val="clear" w:color="auto" w:fill="FFFFFF"/>
        <w:spacing w:line="480" w:lineRule="auto"/>
        <w:ind w:left="0" w:leftChars="0" w:firstLine="643" w:firstLineChars="200"/>
        <w:rPr>
          <w:rFonts w:hint="eastAsia" w:ascii="楷体_GB2312" w:hAnsi="宋体" w:eastAsia="楷体_GB2312"/>
          <w:color w:val="auto"/>
          <w:sz w:val="32"/>
          <w:szCs w:val="32"/>
        </w:rPr>
      </w:pPr>
      <w:r>
        <w:rPr>
          <w:rFonts w:hint="eastAsia" w:ascii="楷体" w:hAnsi="楷体" w:eastAsia="楷体" w:cs="楷体"/>
          <w:b/>
          <w:bCs/>
          <w:color w:val="auto"/>
          <w:sz w:val="32"/>
          <w:szCs w:val="32"/>
        </w:rPr>
        <w:t>部门整体支出管理与制度建设情况</w:t>
      </w:r>
    </w:p>
    <w:p w14:paraId="41A1D7E5">
      <w:pPr>
        <w:spacing w:line="360" w:lineRule="auto"/>
        <w:ind w:firstLine="640" w:firstLineChars="200"/>
        <w:rPr>
          <w:rFonts w:hint="eastAsia" w:ascii="楷体" w:hAnsi="楷体" w:eastAsia="楷体" w:cs="楷体"/>
          <w:b/>
          <w:bCs/>
          <w:color w:val="auto"/>
          <w:sz w:val="32"/>
          <w:szCs w:val="32"/>
        </w:rPr>
      </w:pPr>
      <w:r>
        <w:rPr>
          <w:rFonts w:hint="eastAsia" w:ascii="楷体_GB2312" w:hAnsi="宋体" w:eastAsia="楷体_GB2312"/>
          <w:color w:val="auto"/>
          <w:sz w:val="32"/>
          <w:szCs w:val="32"/>
          <w:lang w:eastAsia="zh-CN"/>
        </w:rPr>
        <w:t>我局</w:t>
      </w:r>
      <w:r>
        <w:rPr>
          <w:rFonts w:hint="eastAsia" w:ascii="楷体_GB2312" w:hAnsi="宋体" w:eastAsia="楷体_GB2312"/>
          <w:color w:val="auto"/>
          <w:sz w:val="32"/>
          <w:szCs w:val="32"/>
        </w:rPr>
        <w:t>遵循专款专用的财务制度，每一笔专项资金使用都是经过财政部门的严格审核通过，方可支付的。财政信息化平台运行、维护和建设及设备购置也是依照县财政局的资产采购相关政策程序进行地。对项目进行单独核算，严格执行项目负责人审批制度，并按标准执行预算，财务监控是否有效。</w:t>
      </w:r>
    </w:p>
    <w:p w14:paraId="42A36E06">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0" w:firstLineChars="100"/>
        <w:textAlignment w:val="auto"/>
        <w:rPr>
          <w:rFonts w:hint="eastAsia" w:eastAsia="黑体"/>
          <w:color w:val="auto"/>
          <w:sz w:val="32"/>
          <w:szCs w:val="32"/>
        </w:rPr>
      </w:pPr>
      <w:r>
        <w:rPr>
          <w:rFonts w:hint="eastAsia" w:eastAsia="黑体"/>
          <w:color w:val="auto"/>
          <w:sz w:val="32"/>
          <w:szCs w:val="32"/>
        </w:rPr>
        <w:t>政府性基金预算支出情况</w:t>
      </w:r>
    </w:p>
    <w:p w14:paraId="6B6B63F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100" w:right="0" w:rightChars="0"/>
        <w:textAlignment w:val="auto"/>
        <w:rPr>
          <w:rFonts w:hint="eastAsia" w:eastAsia="黑体"/>
          <w:color w:val="auto"/>
          <w:sz w:val="32"/>
          <w:szCs w:val="32"/>
          <w:lang w:eastAsia="zh-CN"/>
        </w:rPr>
      </w:pPr>
      <w:r>
        <w:rPr>
          <w:rFonts w:hint="eastAsia" w:ascii="楷体_GB2312" w:hAnsi="宋体" w:eastAsia="楷体_GB2312" w:cs="仿宋_GB2312"/>
          <w:color w:val="auto"/>
          <w:kern w:val="2"/>
          <w:sz w:val="32"/>
          <w:szCs w:val="32"/>
          <w:lang w:val="en-US" w:eastAsia="zh-CN" w:bidi="ar-SA"/>
        </w:rPr>
        <w:t>2023年没有使用政府性基金预算拨款安排的支出。</w:t>
      </w:r>
    </w:p>
    <w:p w14:paraId="75745FE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100" w:right="0" w:rightChars="0"/>
        <w:textAlignment w:val="auto"/>
        <w:rPr>
          <w:rFonts w:hint="eastAsia" w:eastAsia="黑体"/>
          <w:color w:val="auto"/>
          <w:sz w:val="32"/>
          <w:szCs w:val="32"/>
        </w:rPr>
      </w:pPr>
    </w:p>
    <w:p w14:paraId="1B40BDA6">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rightChars="0" w:firstLine="320" w:firstLineChars="100"/>
        <w:textAlignment w:val="auto"/>
        <w:rPr>
          <w:rFonts w:hint="eastAsia" w:eastAsia="黑体"/>
          <w:color w:val="auto"/>
          <w:sz w:val="32"/>
          <w:szCs w:val="32"/>
        </w:rPr>
      </w:pPr>
      <w:r>
        <w:rPr>
          <w:rFonts w:hint="eastAsia" w:eastAsia="黑体"/>
          <w:color w:val="auto"/>
          <w:sz w:val="32"/>
          <w:szCs w:val="32"/>
        </w:rPr>
        <w:t>国有资本经营预算支出情况</w:t>
      </w:r>
    </w:p>
    <w:p w14:paraId="29083AA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100" w:right="0" w:rightChars="0"/>
        <w:textAlignment w:val="auto"/>
        <w:rPr>
          <w:rFonts w:hint="eastAsia" w:ascii="楷体_GB2312" w:hAnsi="宋体" w:eastAsia="楷体_GB2312" w:cs="仿宋_GB2312"/>
          <w:color w:val="auto"/>
          <w:kern w:val="2"/>
          <w:sz w:val="32"/>
          <w:szCs w:val="32"/>
          <w:lang w:val="en-US" w:eastAsia="zh-CN" w:bidi="ar-SA"/>
        </w:rPr>
      </w:pPr>
      <w:r>
        <w:rPr>
          <w:rFonts w:hint="eastAsia" w:ascii="楷体_GB2312" w:hAnsi="宋体" w:eastAsia="楷体_GB2312" w:cs="仿宋_GB2312"/>
          <w:color w:val="auto"/>
          <w:kern w:val="2"/>
          <w:sz w:val="32"/>
          <w:szCs w:val="32"/>
          <w:lang w:val="en-US" w:eastAsia="zh-CN" w:bidi="ar-SA"/>
        </w:rPr>
        <w:t>没有国有资本经营预算支出</w:t>
      </w:r>
    </w:p>
    <w:p w14:paraId="7EDBE7C1">
      <w:pPr>
        <w:widowControl/>
        <w:spacing w:line="600" w:lineRule="exact"/>
        <w:ind w:firstLine="645"/>
        <w:jc w:val="left"/>
        <w:rPr>
          <w:rFonts w:hint="eastAsia" w:eastAsia="黑体"/>
          <w:color w:val="auto"/>
          <w:sz w:val="32"/>
          <w:szCs w:val="32"/>
        </w:rPr>
      </w:pPr>
    </w:p>
    <w:p w14:paraId="190A006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100" w:right="0" w:rightChars="0"/>
        <w:textAlignment w:val="auto"/>
        <w:rPr>
          <w:rFonts w:hint="eastAsia" w:ascii="黑体" w:hAnsi="黑体" w:eastAsia="黑体" w:cs="黑体"/>
          <w:i w:val="0"/>
          <w:iCs w:val="0"/>
          <w:caps w:val="0"/>
          <w:color w:val="auto"/>
          <w:spacing w:val="0"/>
          <w:sz w:val="32"/>
          <w:szCs w:val="32"/>
          <w:lang w:val="en-US" w:eastAsia="zh-CN"/>
        </w:rPr>
      </w:pPr>
      <w:r>
        <w:rPr>
          <w:rFonts w:hint="eastAsia" w:eastAsia="黑体"/>
          <w:color w:val="auto"/>
          <w:sz w:val="32"/>
          <w:szCs w:val="32"/>
        </w:rPr>
        <w:t>五、社会保险基金预算支出情况</w:t>
      </w:r>
    </w:p>
    <w:p w14:paraId="593FD0C9">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320" w:firstLineChars="100"/>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养老保险预算支出28.64万元；</w:t>
      </w:r>
    </w:p>
    <w:p w14:paraId="2EA4BB1E">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320" w:firstLineChars="100"/>
        <w:textAlignment w:val="auto"/>
        <w:rPr>
          <w:rFonts w:hint="default"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医疗保险预算支出11.33万元；</w:t>
      </w:r>
    </w:p>
    <w:p w14:paraId="3184308F">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320" w:firstLineChars="100"/>
        <w:textAlignment w:val="auto"/>
        <w:rPr>
          <w:rFonts w:hint="default"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失业保险预算支出0.41万元；</w:t>
      </w:r>
    </w:p>
    <w:p w14:paraId="7357F154">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320" w:firstLineChars="100"/>
        <w:textAlignment w:val="auto"/>
        <w:rPr>
          <w:rFonts w:hint="eastAsia" w:eastAsia="黑体"/>
          <w:color w:val="auto"/>
          <w:sz w:val="32"/>
          <w:szCs w:val="32"/>
        </w:rPr>
      </w:pPr>
      <w:r>
        <w:rPr>
          <w:rFonts w:hint="eastAsia" w:ascii="黑体" w:hAnsi="黑体" w:eastAsia="黑体" w:cs="黑体"/>
          <w:i w:val="0"/>
          <w:iCs w:val="0"/>
          <w:caps w:val="0"/>
          <w:color w:val="auto"/>
          <w:spacing w:val="0"/>
          <w:sz w:val="32"/>
          <w:szCs w:val="32"/>
          <w:lang w:val="en-US" w:eastAsia="zh-CN"/>
        </w:rPr>
        <w:t>工伤保险预算支出1.42万元；</w:t>
      </w:r>
    </w:p>
    <w:p w14:paraId="11B7D6D9">
      <w:pPr>
        <w:widowControl/>
        <w:spacing w:line="600" w:lineRule="exact"/>
        <w:ind w:firstLine="645"/>
        <w:jc w:val="left"/>
        <w:rPr>
          <w:rFonts w:hint="eastAsia" w:eastAsia="黑体"/>
          <w:color w:val="auto"/>
          <w:sz w:val="32"/>
          <w:szCs w:val="32"/>
        </w:rPr>
      </w:pPr>
      <w:r>
        <w:rPr>
          <w:rFonts w:hint="eastAsia" w:eastAsia="黑体"/>
          <w:color w:val="auto"/>
          <w:sz w:val="32"/>
          <w:szCs w:val="32"/>
        </w:rPr>
        <w:t>六、部门整体支出绩效情况</w:t>
      </w:r>
    </w:p>
    <w:p w14:paraId="584AC81B">
      <w:pPr>
        <w:widowControl/>
        <w:spacing w:line="600" w:lineRule="exact"/>
        <w:ind w:firstLine="645"/>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（一）综合评价结论。</w:t>
      </w:r>
    </w:p>
    <w:p w14:paraId="13C8E39C">
      <w:pPr>
        <w:widowControl/>
        <w:spacing w:line="600" w:lineRule="exact"/>
        <w:ind w:firstLine="645"/>
        <w:jc w:val="left"/>
        <w:rPr>
          <w:rFonts w:hint="default" w:ascii="楷体_GB2312" w:eastAsia="楷体_GB2312" w:cs="楷体_GB2312"/>
          <w:i w:val="0"/>
          <w:iCs w:val="0"/>
          <w:caps w:val="0"/>
          <w:color w:val="auto"/>
          <w:spacing w:val="0"/>
          <w:sz w:val="32"/>
          <w:szCs w:val="32"/>
          <w:shd w:val="clear" w:fill="FFFFFF"/>
          <w:lang w:val="en-US" w:eastAsia="zh-CN"/>
        </w:rPr>
      </w:pPr>
      <w:r>
        <w:rPr>
          <w:rFonts w:hint="eastAsia" w:ascii="楷体_GB2312" w:eastAsia="楷体_GB2312" w:cs="楷体_GB2312"/>
          <w:i w:val="0"/>
          <w:iCs w:val="0"/>
          <w:caps w:val="0"/>
          <w:color w:val="auto"/>
          <w:spacing w:val="0"/>
          <w:sz w:val="32"/>
          <w:szCs w:val="32"/>
          <w:shd w:val="clear" w:fill="FFFFFF"/>
          <w:lang w:eastAsia="zh-CN"/>
        </w:rPr>
        <w:t>部门整体支出绩效自评</w:t>
      </w:r>
      <w:r>
        <w:rPr>
          <w:rFonts w:hint="eastAsia" w:ascii="楷体_GB2312" w:eastAsia="楷体_GB2312" w:cs="楷体_GB2312"/>
          <w:i w:val="0"/>
          <w:iCs w:val="0"/>
          <w:caps w:val="0"/>
          <w:color w:val="auto"/>
          <w:spacing w:val="0"/>
          <w:sz w:val="32"/>
          <w:szCs w:val="32"/>
          <w:shd w:val="clear" w:fill="FFFFFF"/>
          <w:lang w:val="en-US" w:eastAsia="zh-CN"/>
        </w:rPr>
        <w:t>100分。</w:t>
      </w:r>
    </w:p>
    <w:p w14:paraId="5D3F74BB">
      <w:pPr>
        <w:widowControl/>
        <w:spacing w:line="600" w:lineRule="exact"/>
        <w:ind w:firstLine="645"/>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rPr>
        <w:t>（二）评价指标分析</w:t>
      </w:r>
      <w:r>
        <w:rPr>
          <w:rFonts w:hint="eastAsia" w:ascii="楷体" w:hAnsi="楷体" w:eastAsia="楷体" w:cs="楷体"/>
          <w:b/>
          <w:bCs/>
          <w:color w:val="auto"/>
          <w:sz w:val="32"/>
          <w:szCs w:val="32"/>
          <w:lang w:val="en-US" w:eastAsia="zh-CN"/>
        </w:rPr>
        <w:t xml:space="preserve">  </w:t>
      </w:r>
    </w:p>
    <w:p w14:paraId="76A29551">
      <w:pPr>
        <w:widowControl/>
        <w:spacing w:line="600" w:lineRule="exact"/>
        <w:ind w:firstLine="645"/>
        <w:jc w:val="left"/>
        <w:rPr>
          <w:rFonts w:hint="default" w:ascii="仿宋_GB2312" w:hAnsi="仿宋_GB2312" w:eastAsia="仿宋_GB2312" w:cs="仿宋_GB2312"/>
          <w:color w:val="auto"/>
          <w:sz w:val="32"/>
          <w:szCs w:val="32"/>
          <w:lang w:val="en-US"/>
        </w:rPr>
      </w:pPr>
      <w:r>
        <w:rPr>
          <w:rFonts w:hint="eastAsia" w:ascii="楷体_GB2312" w:eastAsia="楷体_GB2312" w:cs="楷体_GB2312"/>
          <w:i w:val="0"/>
          <w:iCs w:val="0"/>
          <w:caps w:val="0"/>
          <w:color w:val="auto"/>
          <w:spacing w:val="0"/>
          <w:sz w:val="32"/>
          <w:szCs w:val="32"/>
          <w:shd w:val="clear" w:fill="FFFFFF"/>
          <w:lang w:eastAsia="zh-CN"/>
        </w:rPr>
        <w:t>我单位部门整体支出预算的安排符合《预算法》的要求和单位工作实际情况，严格执行预算，控制各项经费支出，无预算不支出。单位在预算的申报、管理和评价各环节科学、合理，资金使用管理规范，资金效益最大化，完成年初预期目标，产生了显著的社会效益和生态效益，改善人民生活，</w:t>
      </w:r>
      <w:r>
        <w:rPr>
          <w:rFonts w:hint="eastAsia" w:ascii="楷体_GB2312" w:eastAsia="楷体_GB2312" w:cs="楷体_GB2312"/>
          <w:i w:val="0"/>
          <w:iCs w:val="0"/>
          <w:caps w:val="0"/>
          <w:color w:val="auto"/>
          <w:spacing w:val="0"/>
          <w:sz w:val="32"/>
          <w:szCs w:val="32"/>
          <w:shd w:val="clear" w:fill="FFFFFF"/>
          <w:lang w:val="en-US" w:eastAsia="zh-CN"/>
        </w:rPr>
        <w:t>提高农民收入。</w:t>
      </w:r>
    </w:p>
    <w:p w14:paraId="336619CF">
      <w:pPr>
        <w:pStyle w:val="11"/>
        <w:rPr>
          <w:rFonts w:hint="eastAsia"/>
          <w:color w:val="auto"/>
          <w:lang w:val="en-US" w:eastAsia="zh-CN"/>
        </w:rPr>
      </w:pPr>
    </w:p>
    <w:p w14:paraId="3223638E">
      <w:pPr>
        <w:widowControl/>
        <w:numPr>
          <w:ilvl w:val="0"/>
          <w:numId w:val="6"/>
        </w:numPr>
        <w:spacing w:line="600" w:lineRule="exact"/>
        <w:ind w:firstLine="645"/>
        <w:jc w:val="left"/>
        <w:rPr>
          <w:rFonts w:hint="eastAsia" w:eastAsia="黑体"/>
          <w:color w:val="auto"/>
          <w:sz w:val="32"/>
          <w:szCs w:val="32"/>
        </w:rPr>
      </w:pPr>
      <w:r>
        <w:rPr>
          <w:rFonts w:hint="eastAsia" w:eastAsia="黑体"/>
          <w:color w:val="auto"/>
          <w:sz w:val="32"/>
          <w:szCs w:val="32"/>
        </w:rPr>
        <w:t>存在的问题及原因分析</w:t>
      </w:r>
    </w:p>
    <w:p w14:paraId="3AA662BA">
      <w:pPr>
        <w:adjustRightInd w:val="0"/>
        <w:snapToGrid w:val="0"/>
        <w:spacing w:line="360" w:lineRule="auto"/>
        <w:ind w:firstLine="640" w:firstLineChars="200"/>
        <w:rPr>
          <w:rFonts w:hint="eastAsia" w:ascii="楷体_GB2312" w:hAnsi="宋体" w:eastAsia="楷体_GB2312"/>
          <w:color w:val="auto"/>
          <w:sz w:val="32"/>
          <w:szCs w:val="32"/>
        </w:rPr>
      </w:pPr>
      <w:r>
        <w:rPr>
          <w:rFonts w:hint="eastAsia" w:ascii="楷体_GB2312" w:hAnsi="宋体" w:eastAsia="楷体_GB2312"/>
          <w:color w:val="auto"/>
          <w:sz w:val="32"/>
          <w:szCs w:val="32"/>
          <w:lang w:val="en-US" w:eastAsia="zh-CN"/>
        </w:rPr>
        <w:t>1、</w:t>
      </w:r>
      <w:r>
        <w:rPr>
          <w:rFonts w:hint="eastAsia" w:ascii="楷体_GB2312" w:hAnsi="宋体" w:eastAsia="楷体_GB2312"/>
          <w:color w:val="auto"/>
          <w:sz w:val="32"/>
          <w:szCs w:val="32"/>
        </w:rPr>
        <w:t>资金使用效益有待进一步提高。</w:t>
      </w:r>
    </w:p>
    <w:p w14:paraId="09E69C49">
      <w:pPr>
        <w:adjustRightInd w:val="0"/>
        <w:snapToGrid w:val="0"/>
        <w:spacing w:line="360" w:lineRule="auto"/>
        <w:ind w:firstLine="640" w:firstLineChars="200"/>
        <w:rPr>
          <w:rFonts w:hint="eastAsia" w:ascii="楷体_GB2312" w:hAnsi="宋体" w:eastAsia="楷体_GB2312"/>
          <w:color w:val="auto"/>
          <w:sz w:val="32"/>
          <w:szCs w:val="32"/>
        </w:rPr>
      </w:pPr>
      <w:r>
        <w:rPr>
          <w:rFonts w:hint="eastAsia" w:ascii="楷体_GB2312" w:hAnsi="宋体" w:eastAsia="楷体_GB2312"/>
          <w:color w:val="auto"/>
          <w:sz w:val="32"/>
          <w:szCs w:val="32"/>
          <w:lang w:val="en-US" w:eastAsia="zh-CN"/>
        </w:rPr>
        <w:t>2、</w:t>
      </w:r>
      <w:r>
        <w:rPr>
          <w:rFonts w:hint="eastAsia" w:ascii="楷体_GB2312" w:hAnsi="宋体" w:eastAsia="楷体_GB2312"/>
          <w:color w:val="auto"/>
          <w:sz w:val="32"/>
          <w:szCs w:val="32"/>
        </w:rPr>
        <w:t>绩效目标设立不够明确、细化和量化。项目单位虽然设立了项目资金绩效目标，但目标不够明确、细化和量化。</w:t>
      </w:r>
    </w:p>
    <w:p w14:paraId="681BF295">
      <w:pPr>
        <w:pStyle w:val="11"/>
        <w:numPr>
          <w:ilvl w:val="0"/>
          <w:numId w:val="0"/>
        </w:numPr>
        <w:rPr>
          <w:rFonts w:hint="eastAsia"/>
          <w:color w:val="auto"/>
        </w:rPr>
      </w:pPr>
    </w:p>
    <w:p w14:paraId="3B259629">
      <w:pPr>
        <w:pStyle w:val="5"/>
        <w:widowControl/>
        <w:numPr>
          <w:ilvl w:val="0"/>
          <w:numId w:val="7"/>
        </w:numPr>
        <w:shd w:val="clear" w:color="auto" w:fill="FFFFFF"/>
        <w:spacing w:beforeAutospacing="0" w:afterAutospacing="0" w:line="555" w:lineRule="atLeast"/>
        <w:ind w:firstLine="645"/>
        <w:jc w:val="both"/>
        <w:rPr>
          <w:rFonts w:hint="eastAsia" w:eastAsia="黑体"/>
          <w:color w:val="auto"/>
          <w:sz w:val="32"/>
          <w:szCs w:val="32"/>
        </w:rPr>
      </w:pPr>
      <w:r>
        <w:rPr>
          <w:rFonts w:hint="eastAsia" w:eastAsia="黑体"/>
          <w:color w:val="auto"/>
          <w:sz w:val="32"/>
          <w:szCs w:val="32"/>
        </w:rPr>
        <w:t>下一步改进措施</w:t>
      </w:r>
    </w:p>
    <w:p w14:paraId="7C5B77BE">
      <w:pPr>
        <w:spacing w:line="360" w:lineRule="auto"/>
        <w:ind w:firstLine="640" w:firstLineChars="200"/>
        <w:rPr>
          <w:rFonts w:hint="eastAsia" w:eastAsia="黑体"/>
          <w:color w:val="auto"/>
          <w:sz w:val="32"/>
          <w:szCs w:val="32"/>
        </w:rPr>
      </w:pPr>
      <w:r>
        <w:rPr>
          <w:rFonts w:hint="eastAsia" w:ascii="楷体_GB2312" w:hAnsi="宋体" w:eastAsia="楷体_GB2312" w:cs="仿宋_GB2312"/>
          <w:color w:val="auto"/>
          <w:sz w:val="32"/>
          <w:szCs w:val="32"/>
        </w:rPr>
        <w:t>对存在的问题能进一步设定明确的绩效考核目标，以便于更好地开展工作。</w:t>
      </w:r>
    </w:p>
    <w:p w14:paraId="41B9B3D0">
      <w:pPr>
        <w:widowControl/>
        <w:spacing w:line="600" w:lineRule="exact"/>
        <w:ind w:firstLine="645"/>
        <w:jc w:val="left"/>
        <w:rPr>
          <w:rFonts w:hint="eastAsia" w:eastAsia="仿宋_GB2312"/>
          <w:color w:val="auto"/>
          <w:sz w:val="32"/>
          <w:szCs w:val="32"/>
          <w:lang w:eastAsia="zh-CN"/>
        </w:rPr>
      </w:pPr>
      <w:r>
        <w:rPr>
          <w:rFonts w:hint="eastAsia" w:eastAsia="黑体"/>
          <w:color w:val="auto"/>
          <w:sz w:val="32"/>
          <w:szCs w:val="32"/>
        </w:rPr>
        <w:t>九、其他需要说明的情况</w:t>
      </w:r>
    </w:p>
    <w:p w14:paraId="40B18959">
      <w:pPr>
        <w:spacing w:line="360" w:lineRule="auto"/>
        <w:ind w:firstLine="640" w:firstLineChars="200"/>
        <w:rPr>
          <w:rFonts w:hint="eastAsia" w:ascii="楷体_GB2312" w:hAnsi="宋体" w:eastAsia="楷体_GB2312" w:cs="仿宋_GB2312"/>
          <w:color w:val="auto"/>
          <w:sz w:val="32"/>
          <w:szCs w:val="32"/>
          <w:lang w:val="en-US" w:eastAsia="zh-CN"/>
        </w:rPr>
      </w:pPr>
      <w:r>
        <w:rPr>
          <w:rFonts w:hint="eastAsia" w:ascii="楷体_GB2312" w:hAnsi="宋体" w:eastAsia="楷体_GB2312" w:cs="仿宋_GB2312"/>
          <w:color w:val="auto"/>
          <w:sz w:val="32"/>
          <w:szCs w:val="32"/>
          <w:lang w:val="en-US" w:eastAsia="zh-CN"/>
        </w:rPr>
        <w:t>无。</w:t>
      </w:r>
    </w:p>
    <w:p w14:paraId="67872DF2">
      <w:pPr>
        <w:widowControl/>
        <w:spacing w:line="560" w:lineRule="exact"/>
        <w:ind w:firstLine="645"/>
        <w:jc w:val="left"/>
        <w:rPr>
          <w:rFonts w:eastAsia="仿宋_GB2312"/>
          <w:color w:val="auto"/>
          <w:sz w:val="32"/>
          <w:szCs w:val="32"/>
        </w:rPr>
      </w:pPr>
      <w:r>
        <w:rPr>
          <w:rFonts w:hint="eastAsia" w:eastAsia="仿宋_GB2312"/>
          <w:color w:val="auto"/>
          <w:sz w:val="32"/>
          <w:szCs w:val="32"/>
        </w:rPr>
        <w:t>报告应包括以下附件：</w:t>
      </w:r>
    </w:p>
    <w:p w14:paraId="4D9F5DD3">
      <w:pPr>
        <w:widowControl/>
        <w:spacing w:line="560" w:lineRule="exact"/>
        <w:ind w:firstLine="640" w:firstLineChars="200"/>
        <w:jc w:val="left"/>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、部门整体支出绩效评价基础数据表</w:t>
      </w:r>
    </w:p>
    <w:p w14:paraId="15F46076">
      <w:pPr>
        <w:widowControl/>
        <w:spacing w:line="560" w:lineRule="exact"/>
        <w:ind w:firstLine="640" w:firstLineChars="200"/>
        <w:jc w:val="left"/>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、部门整体支出绩效自评表</w:t>
      </w:r>
    </w:p>
    <w:p w14:paraId="392BA09A">
      <w:pPr>
        <w:rPr>
          <w:rFonts w:ascii="仿宋" w:hAnsi="仿宋" w:eastAsia="仿宋" w:cs="仿宋"/>
          <w:color w:val="auto"/>
          <w:sz w:val="32"/>
          <w:szCs w:val="32"/>
        </w:rPr>
      </w:pPr>
    </w:p>
    <w:p w14:paraId="2251887F">
      <w:pPr>
        <w:rPr>
          <w:rFonts w:ascii="仿宋" w:hAnsi="仿宋" w:eastAsia="仿宋" w:cs="仿宋"/>
          <w:color w:val="auto"/>
          <w:sz w:val="32"/>
          <w:szCs w:val="32"/>
        </w:rPr>
      </w:pPr>
    </w:p>
    <w:p w14:paraId="46954B14">
      <w:pPr>
        <w:rPr>
          <w:rFonts w:ascii="仿宋" w:hAnsi="仿宋" w:eastAsia="仿宋" w:cs="仿宋"/>
          <w:color w:val="auto"/>
          <w:sz w:val="32"/>
          <w:szCs w:val="32"/>
        </w:rPr>
      </w:pPr>
    </w:p>
    <w:p w14:paraId="7BD8F6A0">
      <w:pPr>
        <w:rPr>
          <w:rFonts w:ascii="仿宋" w:hAnsi="仿宋" w:eastAsia="仿宋" w:cs="仿宋"/>
          <w:color w:val="auto"/>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14:paraId="5A0D396C">
      <w:pPr>
        <w:spacing w:line="600" w:lineRule="exact"/>
        <w:rPr>
          <w:rFonts w:hint="eastAsia" w:ascii="黑体" w:hAnsi="宋体" w:eastAsia="黑体" w:cs="宋体"/>
          <w:color w:val="auto"/>
          <w:kern w:val="0"/>
          <w:sz w:val="32"/>
          <w:szCs w:val="32"/>
          <w:lang w:eastAsia="zh-CN"/>
        </w:rPr>
      </w:pPr>
      <w:r>
        <w:rPr>
          <w:rFonts w:hint="eastAsia" w:ascii="黑体" w:hAnsi="宋体" w:eastAsia="黑体" w:cs="宋体"/>
          <w:color w:val="auto"/>
          <w:kern w:val="0"/>
          <w:sz w:val="32"/>
          <w:szCs w:val="32"/>
        </w:rPr>
        <w:t>附件</w:t>
      </w:r>
      <w:r>
        <w:rPr>
          <w:rFonts w:hint="eastAsia" w:ascii="黑体" w:hAnsi="宋体" w:eastAsia="黑体" w:cs="宋体"/>
          <w:color w:val="auto"/>
          <w:kern w:val="0"/>
          <w:sz w:val="32"/>
          <w:szCs w:val="32"/>
          <w:lang w:val="en-US" w:eastAsia="zh-CN"/>
        </w:rPr>
        <w:t>3</w:t>
      </w:r>
    </w:p>
    <w:p w14:paraId="25789ECB">
      <w:pPr>
        <w:spacing w:line="600" w:lineRule="exact"/>
        <w:jc w:val="center"/>
        <w:rPr>
          <w:rFonts w:hint="eastAsia" w:ascii="黑体" w:hAnsi="宋体" w:eastAsia="黑体" w:cs="宋体"/>
          <w:color w:val="auto"/>
          <w:kern w:val="0"/>
          <w:sz w:val="32"/>
          <w:szCs w:val="32"/>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870"/>
        <w:gridCol w:w="1050"/>
        <w:gridCol w:w="495"/>
        <w:gridCol w:w="2570"/>
        <w:gridCol w:w="5112"/>
        <w:gridCol w:w="2115"/>
        <w:gridCol w:w="586"/>
      </w:tblGrid>
      <w:tr w14:paraId="5C34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317F7C15">
            <w:pPr>
              <w:keepNext w:val="0"/>
              <w:keepLines w:val="0"/>
              <w:widowControl/>
              <w:suppressLineNumbers w:val="0"/>
              <w:jc w:val="center"/>
              <w:textAlignment w:val="center"/>
              <w:rPr>
                <w:rFonts w:hint="eastAsia" w:ascii="黑体" w:hAnsi="宋体" w:eastAsia="黑体" w:cs="黑体"/>
                <w:i w:val="0"/>
                <w:iCs w:val="0"/>
                <w:color w:val="auto"/>
                <w:kern w:val="0"/>
                <w:sz w:val="20"/>
                <w:szCs w:val="20"/>
                <w:u w:val="none"/>
                <w:lang w:val="en-US" w:eastAsia="zh-CN" w:bidi="ar"/>
              </w:rPr>
            </w:pPr>
            <w:r>
              <w:rPr>
                <w:rFonts w:hint="eastAsia" w:ascii="黑体" w:hAnsi="宋体" w:eastAsia="黑体" w:cs="黑体"/>
                <w:i w:val="0"/>
                <w:iCs w:val="0"/>
                <w:color w:val="auto"/>
                <w:kern w:val="0"/>
                <w:sz w:val="20"/>
                <w:szCs w:val="20"/>
                <w:u w:val="none"/>
                <w:lang w:val="en-US" w:eastAsia="zh-CN" w:bidi="ar"/>
              </w:rPr>
              <w:t>一级</w:t>
            </w:r>
          </w:p>
          <w:p w14:paraId="289D5FFA">
            <w:pPr>
              <w:keepNext w:val="0"/>
              <w:keepLines w:val="0"/>
              <w:widowControl/>
              <w:suppressLineNumbers w:val="0"/>
              <w:jc w:val="center"/>
              <w:textAlignment w:val="center"/>
              <w:rPr>
                <w:rFonts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指标</w:t>
            </w:r>
          </w:p>
        </w:tc>
        <w:tc>
          <w:tcPr>
            <w:tcW w:w="870" w:type="dxa"/>
            <w:tcBorders>
              <w:tl2br w:val="nil"/>
              <w:tr2bl w:val="nil"/>
            </w:tcBorders>
            <w:noWrap w:val="0"/>
            <w:vAlign w:val="center"/>
          </w:tcPr>
          <w:p w14:paraId="4D5F5FE5">
            <w:pPr>
              <w:keepNext w:val="0"/>
              <w:keepLines w:val="0"/>
              <w:widowControl/>
              <w:suppressLineNumbers w:val="0"/>
              <w:jc w:val="center"/>
              <w:textAlignment w:val="center"/>
              <w:rPr>
                <w:rFonts w:hint="eastAsia" w:ascii="黑体" w:hAnsi="宋体" w:eastAsia="黑体" w:cs="黑体"/>
                <w:i w:val="0"/>
                <w:iCs w:val="0"/>
                <w:color w:val="auto"/>
                <w:kern w:val="0"/>
                <w:sz w:val="20"/>
                <w:szCs w:val="20"/>
                <w:u w:val="none"/>
                <w:lang w:val="en-US" w:eastAsia="zh-CN" w:bidi="ar"/>
              </w:rPr>
            </w:pPr>
            <w:r>
              <w:rPr>
                <w:rFonts w:hint="eastAsia" w:ascii="黑体" w:hAnsi="宋体" w:eastAsia="黑体" w:cs="黑体"/>
                <w:i w:val="0"/>
                <w:iCs w:val="0"/>
                <w:color w:val="auto"/>
                <w:kern w:val="0"/>
                <w:sz w:val="20"/>
                <w:szCs w:val="20"/>
                <w:u w:val="none"/>
                <w:lang w:val="en-US" w:eastAsia="zh-CN" w:bidi="ar"/>
              </w:rPr>
              <w:t>二级</w:t>
            </w:r>
          </w:p>
          <w:p w14:paraId="390AAD57">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指标</w:t>
            </w:r>
          </w:p>
        </w:tc>
        <w:tc>
          <w:tcPr>
            <w:tcW w:w="1050" w:type="dxa"/>
            <w:tcBorders>
              <w:tl2br w:val="nil"/>
              <w:tr2bl w:val="nil"/>
            </w:tcBorders>
            <w:noWrap w:val="0"/>
            <w:vAlign w:val="center"/>
          </w:tcPr>
          <w:p w14:paraId="1AD2D02C">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三级指标</w:t>
            </w:r>
          </w:p>
        </w:tc>
        <w:tc>
          <w:tcPr>
            <w:tcW w:w="495" w:type="dxa"/>
            <w:tcBorders>
              <w:tl2br w:val="nil"/>
              <w:tr2bl w:val="nil"/>
            </w:tcBorders>
            <w:noWrap w:val="0"/>
            <w:vAlign w:val="center"/>
          </w:tcPr>
          <w:p w14:paraId="18F1A2F8">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分值</w:t>
            </w:r>
          </w:p>
        </w:tc>
        <w:tc>
          <w:tcPr>
            <w:tcW w:w="2570" w:type="dxa"/>
            <w:tcBorders>
              <w:tl2br w:val="nil"/>
              <w:tr2bl w:val="nil"/>
            </w:tcBorders>
            <w:noWrap w:val="0"/>
            <w:vAlign w:val="center"/>
          </w:tcPr>
          <w:p w14:paraId="0C698A23">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指标说明</w:t>
            </w:r>
          </w:p>
        </w:tc>
        <w:tc>
          <w:tcPr>
            <w:tcW w:w="5112" w:type="dxa"/>
            <w:tcBorders>
              <w:tl2br w:val="nil"/>
              <w:tr2bl w:val="nil"/>
            </w:tcBorders>
            <w:noWrap w:val="0"/>
            <w:vAlign w:val="center"/>
          </w:tcPr>
          <w:p w14:paraId="10E26CF4">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评分标准</w:t>
            </w:r>
          </w:p>
        </w:tc>
        <w:tc>
          <w:tcPr>
            <w:tcW w:w="2115" w:type="dxa"/>
            <w:tcBorders>
              <w:tl2br w:val="nil"/>
              <w:tr2bl w:val="nil"/>
            </w:tcBorders>
            <w:noWrap w:val="0"/>
            <w:vAlign w:val="center"/>
          </w:tcPr>
          <w:p w14:paraId="4150DC55">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评价依据</w:t>
            </w:r>
          </w:p>
        </w:tc>
        <w:tc>
          <w:tcPr>
            <w:tcW w:w="586" w:type="dxa"/>
            <w:tcBorders>
              <w:tl2br w:val="nil"/>
              <w:tr2bl w:val="nil"/>
            </w:tcBorders>
            <w:noWrap w:val="0"/>
            <w:vAlign w:val="center"/>
          </w:tcPr>
          <w:p w14:paraId="5FB559A2">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自评分</w:t>
            </w:r>
          </w:p>
        </w:tc>
      </w:tr>
      <w:tr w14:paraId="3BFC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3B43B0F8">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投入</w:t>
            </w:r>
          </w:p>
          <w:p w14:paraId="42C854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14"/>
                <w:color w:val="auto"/>
                <w:lang w:val="en-US" w:eastAsia="zh-CN" w:bidi="ar"/>
              </w:rPr>
              <w:t>（</w:t>
            </w:r>
            <w:r>
              <w:rPr>
                <w:rStyle w:val="15"/>
                <w:rFonts w:eastAsia="宋体"/>
                <w:color w:val="auto"/>
                <w:lang w:val="en-US" w:eastAsia="zh-CN" w:bidi="ar"/>
              </w:rPr>
              <w:t>14</w:t>
            </w:r>
            <w:r>
              <w:rPr>
                <w:rStyle w:val="14"/>
                <w:color w:val="auto"/>
                <w:lang w:val="en-US" w:eastAsia="zh-CN" w:bidi="ar"/>
              </w:rPr>
              <w:t>分）</w:t>
            </w:r>
          </w:p>
        </w:tc>
        <w:tc>
          <w:tcPr>
            <w:tcW w:w="870" w:type="dxa"/>
            <w:vMerge w:val="restart"/>
            <w:tcBorders>
              <w:tl2br w:val="nil"/>
              <w:tr2bl w:val="nil"/>
            </w:tcBorders>
            <w:noWrap w:val="0"/>
            <w:vAlign w:val="center"/>
          </w:tcPr>
          <w:p w14:paraId="7BA59ACE">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目标</w:t>
            </w:r>
          </w:p>
          <w:p w14:paraId="4A4FE321">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设定</w:t>
            </w:r>
          </w:p>
          <w:p w14:paraId="31C990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w:t>
            </w:r>
            <w:r>
              <w:rPr>
                <w:rStyle w:val="15"/>
                <w:rFonts w:eastAsia="宋体"/>
                <w:color w:val="auto"/>
                <w:lang w:val="en-US" w:eastAsia="zh-CN" w:bidi="ar"/>
              </w:rPr>
              <w:t>7</w:t>
            </w:r>
            <w:r>
              <w:rPr>
                <w:rStyle w:val="14"/>
                <w:color w:val="auto"/>
                <w:lang w:val="en-US" w:eastAsia="zh-CN" w:bidi="ar"/>
              </w:rPr>
              <w:t>分）</w:t>
            </w:r>
          </w:p>
        </w:tc>
        <w:tc>
          <w:tcPr>
            <w:tcW w:w="1050" w:type="dxa"/>
            <w:tcBorders>
              <w:tl2br w:val="nil"/>
              <w:tr2bl w:val="nil"/>
            </w:tcBorders>
            <w:noWrap w:val="0"/>
            <w:vAlign w:val="center"/>
          </w:tcPr>
          <w:p w14:paraId="3B2292A7">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绩效目标</w:t>
            </w:r>
          </w:p>
          <w:p w14:paraId="63F0C0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合理性</w:t>
            </w:r>
          </w:p>
        </w:tc>
        <w:tc>
          <w:tcPr>
            <w:tcW w:w="495" w:type="dxa"/>
            <w:tcBorders>
              <w:tl2br w:val="nil"/>
              <w:tr2bl w:val="nil"/>
            </w:tcBorders>
            <w:noWrap w:val="0"/>
            <w:vAlign w:val="center"/>
          </w:tcPr>
          <w:p w14:paraId="02FA7A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2570" w:type="dxa"/>
            <w:tcBorders>
              <w:tl2br w:val="nil"/>
              <w:tr2bl w:val="nil"/>
            </w:tcBorders>
            <w:noWrap w:val="0"/>
            <w:vAlign w:val="center"/>
          </w:tcPr>
          <w:p w14:paraId="651FF4F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18634BB7">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①是否符合国家法律法规、国民经济和社会发展总体规划；</w:t>
            </w:r>
          </w:p>
          <w:p w14:paraId="14DD36C2">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②是否符合部门</w:t>
            </w:r>
            <w:r>
              <w:rPr>
                <w:rStyle w:val="15"/>
                <w:rFonts w:eastAsia="宋体"/>
                <w:color w:val="auto"/>
                <w:lang w:val="en-US" w:eastAsia="zh-CN" w:bidi="ar"/>
              </w:rPr>
              <w:t>“</w:t>
            </w:r>
            <w:r>
              <w:rPr>
                <w:rStyle w:val="14"/>
                <w:color w:val="auto"/>
                <w:lang w:val="en-US" w:eastAsia="zh-CN" w:bidi="ar"/>
              </w:rPr>
              <w:t>三定</w:t>
            </w:r>
            <w:r>
              <w:rPr>
                <w:rStyle w:val="15"/>
                <w:rFonts w:eastAsia="宋体"/>
                <w:color w:val="auto"/>
                <w:lang w:val="en-US" w:eastAsia="zh-CN" w:bidi="ar"/>
              </w:rPr>
              <w:t>”</w:t>
            </w:r>
            <w:r>
              <w:rPr>
                <w:rStyle w:val="14"/>
                <w:color w:val="auto"/>
                <w:lang w:val="en-US" w:eastAsia="zh-CN" w:bidi="ar"/>
              </w:rPr>
              <w:t>方案确定的职责；</w:t>
            </w:r>
          </w:p>
          <w:p w14:paraId="71793352">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③是否符合部门制定的中长期实施规划。</w:t>
            </w:r>
          </w:p>
          <w:p w14:paraId="5BA674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以上各项每发现一起不符合要求扣</w:t>
            </w:r>
            <w:r>
              <w:rPr>
                <w:rStyle w:val="15"/>
                <w:rFonts w:eastAsia="宋体"/>
                <w:color w:val="auto"/>
                <w:lang w:val="en-US" w:eastAsia="zh-CN" w:bidi="ar"/>
              </w:rPr>
              <w:t>1</w:t>
            </w:r>
            <w:r>
              <w:rPr>
                <w:rStyle w:val="14"/>
                <w:color w:val="auto"/>
                <w:lang w:val="en-US" w:eastAsia="zh-CN" w:bidi="ar"/>
              </w:rPr>
              <w:t>分，扣完为止。</w:t>
            </w:r>
          </w:p>
        </w:tc>
        <w:tc>
          <w:tcPr>
            <w:tcW w:w="2115" w:type="dxa"/>
            <w:tcBorders>
              <w:tl2br w:val="nil"/>
              <w:tr2bl w:val="nil"/>
            </w:tcBorders>
            <w:noWrap w:val="0"/>
            <w:vAlign w:val="center"/>
          </w:tcPr>
          <w:p w14:paraId="2861D1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绩效目标申报表；本县国民经济和社会发展规划；</w:t>
            </w:r>
            <w:r>
              <w:rPr>
                <w:rStyle w:val="15"/>
                <w:rFonts w:eastAsia="宋体"/>
                <w:color w:val="auto"/>
                <w:lang w:val="en-US" w:eastAsia="zh-CN" w:bidi="ar"/>
              </w:rPr>
              <w:t>“</w:t>
            </w:r>
            <w:r>
              <w:rPr>
                <w:rStyle w:val="14"/>
                <w:color w:val="auto"/>
                <w:lang w:val="en-US" w:eastAsia="zh-CN" w:bidi="ar"/>
              </w:rPr>
              <w:t>三定</w:t>
            </w:r>
            <w:r>
              <w:rPr>
                <w:rStyle w:val="15"/>
                <w:rFonts w:eastAsia="宋体"/>
                <w:color w:val="auto"/>
                <w:lang w:val="en-US" w:eastAsia="zh-CN" w:bidi="ar"/>
              </w:rPr>
              <w:t>”</w:t>
            </w:r>
            <w:r>
              <w:rPr>
                <w:rStyle w:val="14"/>
                <w:color w:val="auto"/>
                <w:lang w:val="en-US" w:eastAsia="zh-CN" w:bidi="ar"/>
              </w:rPr>
              <w:t>方案；部门职责；部门制定的中长期实施规划等。</w:t>
            </w:r>
          </w:p>
        </w:tc>
        <w:tc>
          <w:tcPr>
            <w:tcW w:w="586" w:type="dxa"/>
            <w:tcBorders>
              <w:tl2br w:val="nil"/>
              <w:tr2bl w:val="nil"/>
            </w:tcBorders>
            <w:noWrap w:val="0"/>
            <w:vAlign w:val="center"/>
          </w:tcPr>
          <w:p w14:paraId="031938A5">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3</w:t>
            </w:r>
          </w:p>
        </w:tc>
      </w:tr>
      <w:tr w14:paraId="68EF0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505EA0B4">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3C25D519">
            <w:pPr>
              <w:jc w:val="center"/>
              <w:rPr>
                <w:rFonts w:hint="default" w:ascii="Times New Roman" w:hAnsi="Times New Roman" w:eastAsia="宋体" w:cs="Times New Roman"/>
                <w:i w:val="0"/>
                <w:iCs w:val="0"/>
                <w:color w:val="auto"/>
                <w:sz w:val="18"/>
                <w:szCs w:val="18"/>
                <w:u w:val="none"/>
              </w:rPr>
            </w:pPr>
          </w:p>
        </w:tc>
        <w:tc>
          <w:tcPr>
            <w:tcW w:w="1050" w:type="dxa"/>
            <w:tcBorders>
              <w:tl2br w:val="nil"/>
              <w:tr2bl w:val="nil"/>
            </w:tcBorders>
            <w:noWrap w:val="0"/>
            <w:vAlign w:val="center"/>
          </w:tcPr>
          <w:p w14:paraId="37282361">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绩效指标</w:t>
            </w:r>
          </w:p>
          <w:p w14:paraId="23E409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明确性</w:t>
            </w:r>
          </w:p>
        </w:tc>
        <w:tc>
          <w:tcPr>
            <w:tcW w:w="495" w:type="dxa"/>
            <w:tcBorders>
              <w:tl2br w:val="nil"/>
              <w:tr2bl w:val="nil"/>
            </w:tcBorders>
            <w:noWrap w:val="0"/>
            <w:vAlign w:val="center"/>
          </w:tcPr>
          <w:p w14:paraId="0A44C2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2570" w:type="dxa"/>
            <w:tcBorders>
              <w:tl2br w:val="nil"/>
              <w:tr2bl w:val="nil"/>
            </w:tcBorders>
            <w:noWrap w:val="0"/>
            <w:vAlign w:val="center"/>
          </w:tcPr>
          <w:p w14:paraId="6302F87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1AB36FC1">
            <w:pPr>
              <w:keepNext w:val="0"/>
              <w:keepLines w:val="0"/>
              <w:widowControl/>
              <w:suppressLineNumbers w:val="0"/>
              <w:jc w:val="left"/>
              <w:textAlignment w:val="center"/>
              <w:rPr>
                <w:rStyle w:val="14"/>
                <w:color w:val="auto"/>
                <w:lang w:val="en-US" w:eastAsia="zh-CN" w:bidi="ar"/>
              </w:rPr>
            </w:pPr>
            <w:bookmarkStart w:id="0" w:name="_GoBack"/>
            <w:bookmarkEnd w:id="0"/>
          </w:p>
          <w:p w14:paraId="363E9BB4">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①有目标，计</w:t>
            </w:r>
            <w:r>
              <w:rPr>
                <w:rStyle w:val="15"/>
                <w:rFonts w:eastAsia="宋体"/>
                <w:color w:val="auto"/>
                <w:lang w:val="en-US" w:eastAsia="zh-CN" w:bidi="ar"/>
              </w:rPr>
              <w:t>1</w:t>
            </w:r>
            <w:r>
              <w:rPr>
                <w:rStyle w:val="14"/>
                <w:color w:val="auto"/>
                <w:lang w:val="en-US" w:eastAsia="zh-CN" w:bidi="ar"/>
              </w:rPr>
              <w:t>分，否则不得分；</w:t>
            </w:r>
          </w:p>
          <w:p w14:paraId="390C1C40">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②目标明确，细化量化良好，个性指标中量化指标超过</w:t>
            </w:r>
            <w:r>
              <w:rPr>
                <w:rStyle w:val="15"/>
                <w:rFonts w:eastAsia="宋体"/>
                <w:color w:val="auto"/>
                <w:lang w:val="en-US" w:eastAsia="zh-CN" w:bidi="ar"/>
              </w:rPr>
              <w:t>3</w:t>
            </w:r>
            <w:r>
              <w:rPr>
                <w:rStyle w:val="14"/>
                <w:color w:val="auto"/>
                <w:lang w:val="en-US" w:eastAsia="zh-CN" w:bidi="ar"/>
              </w:rPr>
              <w:t>个，计</w:t>
            </w:r>
            <w:r>
              <w:rPr>
                <w:rStyle w:val="15"/>
                <w:rFonts w:eastAsia="宋体"/>
                <w:color w:val="auto"/>
                <w:lang w:val="en-US" w:eastAsia="zh-CN" w:bidi="ar"/>
              </w:rPr>
              <w:t>1</w:t>
            </w:r>
            <w:r>
              <w:rPr>
                <w:rStyle w:val="14"/>
                <w:color w:val="auto"/>
                <w:lang w:val="en-US" w:eastAsia="zh-CN" w:bidi="ar"/>
              </w:rPr>
              <w:t>分，量化指标为</w:t>
            </w:r>
            <w:r>
              <w:rPr>
                <w:rStyle w:val="15"/>
                <w:rFonts w:eastAsia="宋体"/>
                <w:color w:val="auto"/>
                <w:lang w:val="en-US" w:eastAsia="zh-CN" w:bidi="ar"/>
              </w:rPr>
              <w:t>2</w:t>
            </w:r>
            <w:r>
              <w:rPr>
                <w:rStyle w:val="14"/>
                <w:color w:val="auto"/>
                <w:lang w:val="en-US" w:eastAsia="zh-CN" w:bidi="ar"/>
              </w:rPr>
              <w:t>个，计</w:t>
            </w:r>
            <w:r>
              <w:rPr>
                <w:rStyle w:val="15"/>
                <w:rFonts w:eastAsia="宋体"/>
                <w:color w:val="auto"/>
                <w:lang w:val="en-US" w:eastAsia="zh-CN" w:bidi="ar"/>
              </w:rPr>
              <w:t>0.5</w:t>
            </w:r>
            <w:r>
              <w:rPr>
                <w:rStyle w:val="14"/>
                <w:color w:val="auto"/>
                <w:lang w:val="en-US" w:eastAsia="zh-CN" w:bidi="ar"/>
              </w:rPr>
              <w:t>分，</w:t>
            </w:r>
            <w:r>
              <w:rPr>
                <w:rStyle w:val="15"/>
                <w:rFonts w:eastAsia="宋体"/>
                <w:color w:val="auto"/>
                <w:lang w:val="en-US" w:eastAsia="zh-CN" w:bidi="ar"/>
              </w:rPr>
              <w:t>2</w:t>
            </w:r>
            <w:r>
              <w:rPr>
                <w:rStyle w:val="14"/>
                <w:color w:val="auto"/>
                <w:lang w:val="en-US" w:eastAsia="zh-CN" w:bidi="ar"/>
              </w:rPr>
              <w:t>个以下不得分；</w:t>
            </w:r>
          </w:p>
          <w:p w14:paraId="10433D13">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③与年度任务数或计划数相对应，计</w:t>
            </w:r>
            <w:r>
              <w:rPr>
                <w:rStyle w:val="15"/>
                <w:rFonts w:eastAsia="宋体"/>
                <w:color w:val="auto"/>
                <w:lang w:val="en-US" w:eastAsia="zh-CN" w:bidi="ar"/>
              </w:rPr>
              <w:t>1</w:t>
            </w:r>
            <w:r>
              <w:rPr>
                <w:rStyle w:val="14"/>
                <w:color w:val="auto"/>
                <w:lang w:val="en-US" w:eastAsia="zh-CN" w:bidi="ar"/>
              </w:rPr>
              <w:t>分，大于</w:t>
            </w:r>
            <w:r>
              <w:rPr>
                <w:rStyle w:val="15"/>
                <w:rFonts w:eastAsia="宋体"/>
                <w:color w:val="auto"/>
                <w:lang w:val="en-US" w:eastAsia="zh-CN" w:bidi="ar"/>
              </w:rPr>
              <w:t>50%</w:t>
            </w:r>
            <w:r>
              <w:rPr>
                <w:rStyle w:val="14"/>
                <w:color w:val="auto"/>
                <w:lang w:val="en-US" w:eastAsia="zh-CN" w:bidi="ar"/>
              </w:rPr>
              <w:t>计</w:t>
            </w:r>
            <w:r>
              <w:rPr>
                <w:rStyle w:val="15"/>
                <w:rFonts w:eastAsia="宋体"/>
                <w:color w:val="auto"/>
                <w:lang w:val="en-US" w:eastAsia="zh-CN" w:bidi="ar"/>
              </w:rPr>
              <w:t>0.5</w:t>
            </w:r>
            <w:r>
              <w:rPr>
                <w:rStyle w:val="14"/>
                <w:color w:val="auto"/>
                <w:lang w:val="en-US" w:eastAsia="zh-CN" w:bidi="ar"/>
              </w:rPr>
              <w:t>分，对应低于</w:t>
            </w:r>
            <w:r>
              <w:rPr>
                <w:rStyle w:val="15"/>
                <w:rFonts w:eastAsia="宋体"/>
                <w:color w:val="auto"/>
                <w:lang w:val="en-US" w:eastAsia="zh-CN" w:bidi="ar"/>
              </w:rPr>
              <w:t>50%</w:t>
            </w:r>
            <w:r>
              <w:rPr>
                <w:rStyle w:val="14"/>
                <w:color w:val="auto"/>
                <w:lang w:val="en-US" w:eastAsia="zh-CN" w:bidi="ar"/>
              </w:rPr>
              <w:t>不计分；</w:t>
            </w:r>
          </w:p>
          <w:p w14:paraId="7E33C62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④目标与资金匹配良好，逻辑关系明确，计</w:t>
            </w:r>
            <w:r>
              <w:rPr>
                <w:rStyle w:val="15"/>
                <w:rFonts w:eastAsia="宋体"/>
                <w:color w:val="auto"/>
                <w:lang w:val="en-US" w:eastAsia="zh-CN" w:bidi="ar"/>
              </w:rPr>
              <w:t>1</w:t>
            </w:r>
            <w:r>
              <w:rPr>
                <w:rStyle w:val="14"/>
                <w:color w:val="auto"/>
                <w:lang w:val="en-US" w:eastAsia="zh-CN" w:bidi="ar"/>
              </w:rPr>
              <w:t>分，否则不得分。</w:t>
            </w:r>
          </w:p>
        </w:tc>
        <w:tc>
          <w:tcPr>
            <w:tcW w:w="2115" w:type="dxa"/>
            <w:tcBorders>
              <w:tl2br w:val="nil"/>
              <w:tr2bl w:val="nil"/>
            </w:tcBorders>
            <w:noWrap w:val="0"/>
            <w:vAlign w:val="center"/>
          </w:tcPr>
          <w:p w14:paraId="42CCC20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绩效目标申报表；年度任务数或计划数；预算批复等。</w:t>
            </w:r>
          </w:p>
        </w:tc>
        <w:tc>
          <w:tcPr>
            <w:tcW w:w="586" w:type="dxa"/>
            <w:tcBorders>
              <w:tl2br w:val="nil"/>
              <w:tr2bl w:val="nil"/>
            </w:tcBorders>
            <w:noWrap w:val="0"/>
            <w:vAlign w:val="center"/>
          </w:tcPr>
          <w:p w14:paraId="3FEB3843">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4</w:t>
            </w:r>
          </w:p>
        </w:tc>
      </w:tr>
      <w:tr w14:paraId="71BBD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46F5E982">
            <w:pPr>
              <w:jc w:val="center"/>
              <w:rPr>
                <w:rFonts w:hint="eastAsia" w:ascii="宋体" w:hAnsi="宋体" w:eastAsia="宋体" w:cs="宋体"/>
                <w:i w:val="0"/>
                <w:iCs w:val="0"/>
                <w:color w:val="auto"/>
                <w:sz w:val="18"/>
                <w:szCs w:val="18"/>
                <w:u w:val="none"/>
              </w:rPr>
            </w:pPr>
          </w:p>
        </w:tc>
        <w:tc>
          <w:tcPr>
            <w:tcW w:w="870" w:type="dxa"/>
            <w:vMerge w:val="restart"/>
            <w:tcBorders>
              <w:tl2br w:val="nil"/>
              <w:tr2bl w:val="nil"/>
            </w:tcBorders>
            <w:noWrap w:val="0"/>
            <w:vAlign w:val="center"/>
          </w:tcPr>
          <w:p w14:paraId="09523988">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预算</w:t>
            </w:r>
          </w:p>
          <w:p w14:paraId="6CB61C1D">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配置</w:t>
            </w:r>
          </w:p>
          <w:p w14:paraId="5DBD06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14"/>
                <w:color w:val="auto"/>
                <w:lang w:val="en-US" w:eastAsia="zh-CN" w:bidi="ar"/>
              </w:rPr>
              <w:t>（</w:t>
            </w:r>
            <w:r>
              <w:rPr>
                <w:rStyle w:val="15"/>
                <w:rFonts w:eastAsia="宋体"/>
                <w:color w:val="auto"/>
                <w:lang w:val="en-US" w:eastAsia="zh-CN" w:bidi="ar"/>
              </w:rPr>
              <w:t>7</w:t>
            </w:r>
            <w:r>
              <w:rPr>
                <w:rStyle w:val="14"/>
                <w:color w:val="auto"/>
                <w:lang w:val="en-US" w:eastAsia="zh-CN" w:bidi="ar"/>
              </w:rPr>
              <w:t>分）</w:t>
            </w:r>
          </w:p>
        </w:tc>
        <w:tc>
          <w:tcPr>
            <w:tcW w:w="1050" w:type="dxa"/>
            <w:tcBorders>
              <w:tl2br w:val="nil"/>
              <w:tr2bl w:val="nil"/>
            </w:tcBorders>
            <w:noWrap w:val="0"/>
            <w:vAlign w:val="center"/>
          </w:tcPr>
          <w:p w14:paraId="0648431E">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人员</w:t>
            </w:r>
          </w:p>
          <w:p w14:paraId="5AFDFD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控制率</w:t>
            </w:r>
          </w:p>
        </w:tc>
        <w:tc>
          <w:tcPr>
            <w:tcW w:w="495" w:type="dxa"/>
            <w:tcBorders>
              <w:tl2br w:val="nil"/>
              <w:tr2bl w:val="nil"/>
            </w:tcBorders>
            <w:noWrap w:val="0"/>
            <w:vAlign w:val="center"/>
          </w:tcPr>
          <w:p w14:paraId="3F7F08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2570" w:type="dxa"/>
            <w:tcBorders>
              <w:tl2br w:val="nil"/>
              <w:tr2bl w:val="nil"/>
            </w:tcBorders>
            <w:noWrap w:val="0"/>
            <w:vAlign w:val="center"/>
          </w:tcPr>
          <w:p w14:paraId="03F1BFC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16EA779B">
            <w:pPr>
              <w:keepNext w:val="0"/>
              <w:keepLines w:val="0"/>
              <w:widowControl/>
              <w:suppressLineNumbers w:val="0"/>
              <w:jc w:val="left"/>
              <w:textAlignment w:val="center"/>
              <w:rPr>
                <w:rStyle w:val="14"/>
                <w:color w:val="auto"/>
                <w:lang w:val="en-US" w:eastAsia="zh-CN" w:bidi="ar"/>
              </w:rPr>
            </w:pPr>
          </w:p>
          <w:p w14:paraId="38080BF0">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在职人员控制率</w:t>
            </w:r>
            <w:r>
              <w:rPr>
                <w:rStyle w:val="15"/>
                <w:rFonts w:eastAsia="宋体"/>
                <w:color w:val="auto"/>
                <w:lang w:val="en-US" w:eastAsia="zh-CN" w:bidi="ar"/>
              </w:rPr>
              <w:t>=</w:t>
            </w:r>
            <w:r>
              <w:rPr>
                <w:rStyle w:val="14"/>
                <w:color w:val="auto"/>
                <w:lang w:val="en-US" w:eastAsia="zh-CN" w:bidi="ar"/>
              </w:rPr>
              <w:t>（在职人员数</w:t>
            </w:r>
            <w:r>
              <w:rPr>
                <w:rStyle w:val="15"/>
                <w:rFonts w:eastAsia="宋体"/>
                <w:color w:val="auto"/>
                <w:lang w:val="en-US" w:eastAsia="zh-CN" w:bidi="ar"/>
              </w:rPr>
              <w:t>/</w:t>
            </w:r>
            <w:r>
              <w:rPr>
                <w:rStyle w:val="14"/>
                <w:color w:val="auto"/>
                <w:lang w:val="en-US" w:eastAsia="zh-CN" w:bidi="ar"/>
              </w:rPr>
              <w:t>编制数）</w:t>
            </w:r>
            <w:r>
              <w:rPr>
                <w:rStyle w:val="15"/>
                <w:rFonts w:eastAsia="宋体"/>
                <w:color w:val="auto"/>
                <w:lang w:val="en-US" w:eastAsia="zh-CN" w:bidi="ar"/>
              </w:rPr>
              <w:t>×100%</w:t>
            </w:r>
            <w:r>
              <w:rPr>
                <w:rStyle w:val="14"/>
                <w:color w:val="auto"/>
                <w:lang w:val="en-US" w:eastAsia="zh-CN" w:bidi="ar"/>
              </w:rPr>
              <w:t>。</w:t>
            </w:r>
          </w:p>
          <w:p w14:paraId="240CFDB4">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在职人员数：部门（单位）实际在职人数</w:t>
            </w:r>
            <w:r>
              <w:rPr>
                <w:rStyle w:val="15"/>
                <w:rFonts w:eastAsia="宋体"/>
                <w:color w:val="auto"/>
                <w:lang w:val="en-US" w:eastAsia="zh-CN" w:bidi="ar"/>
              </w:rPr>
              <w:t>,</w:t>
            </w:r>
            <w:r>
              <w:rPr>
                <w:rStyle w:val="14"/>
                <w:color w:val="auto"/>
                <w:lang w:val="en-US" w:eastAsia="zh-CN" w:bidi="ar"/>
              </w:rPr>
              <w:t>以财政部门确定的部门决算编制口径为准。</w:t>
            </w:r>
          </w:p>
          <w:p w14:paraId="31B49505">
            <w:pPr>
              <w:keepNext w:val="0"/>
              <w:keepLines w:val="0"/>
              <w:widowControl/>
              <w:suppressLineNumbers w:val="0"/>
              <w:jc w:val="left"/>
              <w:textAlignment w:val="center"/>
              <w:rPr>
                <w:rStyle w:val="15"/>
                <w:rFonts w:eastAsia="宋体"/>
                <w:color w:val="auto"/>
                <w:lang w:val="en-US" w:eastAsia="zh-CN" w:bidi="ar"/>
              </w:rPr>
            </w:pPr>
            <w:r>
              <w:rPr>
                <w:rStyle w:val="14"/>
                <w:color w:val="auto"/>
                <w:lang w:val="en-US" w:eastAsia="zh-CN" w:bidi="ar"/>
              </w:rPr>
              <w:t>编制数：机构编制部门核定批复的部门（单位）人员编制数。</w:t>
            </w:r>
            <w:r>
              <w:rPr>
                <w:rStyle w:val="15"/>
                <w:rFonts w:eastAsia="宋体"/>
                <w:color w:val="auto"/>
                <w:lang w:val="en-US" w:eastAsia="zh-CN" w:bidi="ar"/>
              </w:rPr>
              <w:t xml:space="preserve">   </w:t>
            </w:r>
          </w:p>
          <w:p w14:paraId="1E6AC1C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在职人员控制率≦</w:t>
            </w:r>
            <w:r>
              <w:rPr>
                <w:rStyle w:val="15"/>
                <w:rFonts w:eastAsia="宋体"/>
                <w:color w:val="auto"/>
                <w:lang w:val="en-US" w:eastAsia="zh-CN" w:bidi="ar"/>
              </w:rPr>
              <w:t>100%</w:t>
            </w:r>
            <w:r>
              <w:rPr>
                <w:rStyle w:val="14"/>
                <w:color w:val="auto"/>
                <w:lang w:val="en-US" w:eastAsia="zh-CN" w:bidi="ar"/>
              </w:rPr>
              <w:t>计</w:t>
            </w:r>
            <w:r>
              <w:rPr>
                <w:rStyle w:val="15"/>
                <w:rFonts w:eastAsia="宋体"/>
                <w:color w:val="auto"/>
                <w:lang w:val="en-US" w:eastAsia="zh-CN" w:bidi="ar"/>
              </w:rPr>
              <w:t>2</w:t>
            </w:r>
            <w:r>
              <w:rPr>
                <w:rStyle w:val="14"/>
                <w:color w:val="auto"/>
                <w:lang w:val="en-US" w:eastAsia="zh-CN" w:bidi="ar"/>
              </w:rPr>
              <w:t>分，每超出</w:t>
            </w:r>
            <w:r>
              <w:rPr>
                <w:rStyle w:val="15"/>
                <w:rFonts w:eastAsia="宋体"/>
                <w:color w:val="auto"/>
                <w:lang w:val="en-US" w:eastAsia="zh-CN" w:bidi="ar"/>
              </w:rPr>
              <w:t>1%</w:t>
            </w:r>
            <w:r>
              <w:rPr>
                <w:rStyle w:val="14"/>
                <w:color w:val="auto"/>
                <w:lang w:val="en-US" w:eastAsia="zh-CN" w:bidi="ar"/>
              </w:rPr>
              <w:t>扣</w:t>
            </w:r>
            <w:r>
              <w:rPr>
                <w:rStyle w:val="15"/>
                <w:rFonts w:eastAsia="宋体"/>
                <w:color w:val="auto"/>
                <w:lang w:val="en-US" w:eastAsia="zh-CN" w:bidi="ar"/>
              </w:rPr>
              <w:t>0.2</w:t>
            </w:r>
            <w:r>
              <w:rPr>
                <w:rStyle w:val="14"/>
                <w:color w:val="auto"/>
                <w:lang w:val="en-US" w:eastAsia="zh-CN" w:bidi="ar"/>
              </w:rPr>
              <w:t>分，扣完为止。</w:t>
            </w:r>
          </w:p>
        </w:tc>
        <w:tc>
          <w:tcPr>
            <w:tcW w:w="2115" w:type="dxa"/>
            <w:tcBorders>
              <w:tl2br w:val="nil"/>
              <w:tr2bl w:val="nil"/>
            </w:tcBorders>
            <w:noWrap w:val="0"/>
            <w:vAlign w:val="center"/>
          </w:tcPr>
          <w:p w14:paraId="69BAD53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部门（单位）决算报表；机构编制部门核定批复的部门（单位）的人员编制数。</w:t>
            </w:r>
          </w:p>
        </w:tc>
        <w:tc>
          <w:tcPr>
            <w:tcW w:w="586" w:type="dxa"/>
            <w:tcBorders>
              <w:tl2br w:val="nil"/>
              <w:tr2bl w:val="nil"/>
            </w:tcBorders>
            <w:noWrap w:val="0"/>
            <w:vAlign w:val="center"/>
          </w:tcPr>
          <w:p w14:paraId="713A8B8A">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2</w:t>
            </w:r>
          </w:p>
        </w:tc>
      </w:tr>
      <w:tr w14:paraId="6CFB2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7430FADE">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34A9309F">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339D05F9">
            <w:pPr>
              <w:keepNext w:val="0"/>
              <w:keepLines w:val="0"/>
              <w:widowControl/>
              <w:suppressLineNumbers w:val="0"/>
              <w:jc w:val="center"/>
              <w:textAlignment w:val="center"/>
              <w:rPr>
                <w:rStyle w:val="15"/>
                <w:rFonts w:eastAsia="宋体"/>
                <w:color w:val="auto"/>
                <w:lang w:val="en-US" w:eastAsia="zh-CN" w:bidi="ar"/>
              </w:rPr>
            </w:pP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p>
          <w:p w14:paraId="1094FF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变动率</w:t>
            </w:r>
          </w:p>
        </w:tc>
        <w:tc>
          <w:tcPr>
            <w:tcW w:w="495" w:type="dxa"/>
            <w:tcBorders>
              <w:tl2br w:val="nil"/>
              <w:tr2bl w:val="nil"/>
            </w:tcBorders>
            <w:noWrap w:val="0"/>
            <w:vAlign w:val="center"/>
          </w:tcPr>
          <w:p w14:paraId="40ED63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2570" w:type="dxa"/>
            <w:tcBorders>
              <w:tl2br w:val="nil"/>
              <w:tr2bl w:val="nil"/>
            </w:tcBorders>
            <w:noWrap w:val="0"/>
            <w:vAlign w:val="center"/>
          </w:tcPr>
          <w:p w14:paraId="1F3E57D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部门本年度</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预算数与上年度</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698361CE">
            <w:pPr>
              <w:keepNext w:val="0"/>
              <w:keepLines w:val="0"/>
              <w:widowControl/>
              <w:suppressLineNumbers w:val="0"/>
              <w:jc w:val="left"/>
              <w:textAlignment w:val="center"/>
              <w:rPr>
                <w:rStyle w:val="15"/>
                <w:rFonts w:eastAsia="宋体"/>
                <w:color w:val="auto"/>
                <w:lang w:val="en-US" w:eastAsia="zh-CN" w:bidi="ar"/>
              </w:rPr>
            </w:pPr>
          </w:p>
          <w:p w14:paraId="59B5AD77">
            <w:pPr>
              <w:keepNext w:val="0"/>
              <w:keepLines w:val="0"/>
              <w:widowControl/>
              <w:suppressLineNumbers w:val="0"/>
              <w:jc w:val="left"/>
              <w:textAlignment w:val="center"/>
              <w:rPr>
                <w:rStyle w:val="14"/>
                <w:color w:val="auto"/>
                <w:lang w:val="en-US" w:eastAsia="zh-CN" w:bidi="ar"/>
              </w:rPr>
            </w:pP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变动率</w:t>
            </w:r>
            <w:r>
              <w:rPr>
                <w:rStyle w:val="15"/>
                <w:rFonts w:eastAsia="宋体"/>
                <w:color w:val="auto"/>
                <w:lang w:val="en-US" w:eastAsia="zh-CN" w:bidi="ar"/>
              </w:rPr>
              <w:t>=[</w:t>
            </w:r>
            <w:r>
              <w:rPr>
                <w:rStyle w:val="14"/>
                <w:color w:val="auto"/>
                <w:lang w:val="en-US" w:eastAsia="zh-CN" w:bidi="ar"/>
              </w:rPr>
              <w:t>（本年度</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总额</w:t>
            </w:r>
            <w:r>
              <w:rPr>
                <w:rStyle w:val="15"/>
                <w:rFonts w:eastAsia="宋体"/>
                <w:color w:val="auto"/>
                <w:lang w:val="en-US" w:eastAsia="zh-CN" w:bidi="ar"/>
              </w:rPr>
              <w:t>-</w:t>
            </w:r>
            <w:r>
              <w:rPr>
                <w:rStyle w:val="14"/>
                <w:color w:val="auto"/>
                <w:lang w:val="en-US" w:eastAsia="zh-CN" w:bidi="ar"/>
              </w:rPr>
              <w:t>上年度</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总额）</w:t>
            </w:r>
            <w:r>
              <w:rPr>
                <w:rStyle w:val="15"/>
                <w:rFonts w:eastAsia="宋体"/>
                <w:color w:val="auto"/>
                <w:lang w:val="en-US" w:eastAsia="zh-CN" w:bidi="ar"/>
              </w:rPr>
              <w:t>/</w:t>
            </w:r>
            <w:r>
              <w:rPr>
                <w:rStyle w:val="14"/>
                <w:color w:val="auto"/>
                <w:lang w:val="en-US" w:eastAsia="zh-CN" w:bidi="ar"/>
              </w:rPr>
              <w:t>上年度</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总额</w:t>
            </w:r>
            <w:r>
              <w:rPr>
                <w:rStyle w:val="15"/>
                <w:rFonts w:eastAsia="宋体"/>
                <w:color w:val="auto"/>
                <w:lang w:val="en-US" w:eastAsia="zh-CN" w:bidi="ar"/>
              </w:rPr>
              <w:t>]×100%</w:t>
            </w:r>
            <w:r>
              <w:rPr>
                <w:rStyle w:val="14"/>
                <w:color w:val="auto"/>
                <w:lang w:val="en-US" w:eastAsia="zh-CN" w:bidi="ar"/>
              </w:rPr>
              <w:t>。</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：年度预算安排的因公出国（境）费、公务车辆购置及运行费和公务招待费。</w:t>
            </w:r>
          </w:p>
          <w:p w14:paraId="78058C7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该项得分，变动率为负数，计</w:t>
            </w:r>
            <w:r>
              <w:rPr>
                <w:rStyle w:val="15"/>
                <w:rFonts w:eastAsia="宋体"/>
                <w:color w:val="auto"/>
                <w:lang w:val="en-US" w:eastAsia="zh-CN" w:bidi="ar"/>
              </w:rPr>
              <w:t>2</w:t>
            </w:r>
            <w:r>
              <w:rPr>
                <w:rStyle w:val="14"/>
                <w:color w:val="auto"/>
                <w:lang w:val="en-US" w:eastAsia="zh-CN" w:bidi="ar"/>
              </w:rPr>
              <w:t>分，变动率为正数，计</w:t>
            </w:r>
            <w:r>
              <w:rPr>
                <w:rStyle w:val="15"/>
                <w:rFonts w:eastAsia="宋体"/>
                <w:color w:val="auto"/>
                <w:lang w:val="en-US" w:eastAsia="zh-CN" w:bidi="ar"/>
              </w:rPr>
              <w:t>0</w:t>
            </w:r>
            <w:r>
              <w:rPr>
                <w:rStyle w:val="14"/>
                <w:color w:val="auto"/>
                <w:lang w:val="en-US" w:eastAsia="zh-CN" w:bidi="ar"/>
              </w:rPr>
              <w:t>分。年度内</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完成数超过预算数，则该项计</w:t>
            </w:r>
            <w:r>
              <w:rPr>
                <w:rStyle w:val="15"/>
                <w:rFonts w:eastAsia="宋体"/>
                <w:color w:val="auto"/>
                <w:lang w:val="en-US" w:eastAsia="zh-CN" w:bidi="ar"/>
              </w:rPr>
              <w:t>0</w:t>
            </w:r>
            <w:r>
              <w:rPr>
                <w:rStyle w:val="14"/>
                <w:color w:val="auto"/>
                <w:lang w:val="en-US" w:eastAsia="zh-CN" w:bidi="ar"/>
              </w:rPr>
              <w:t>分。</w:t>
            </w:r>
          </w:p>
        </w:tc>
        <w:tc>
          <w:tcPr>
            <w:tcW w:w="2115" w:type="dxa"/>
            <w:tcBorders>
              <w:tl2br w:val="nil"/>
              <w:tr2bl w:val="nil"/>
            </w:tcBorders>
            <w:noWrap w:val="0"/>
            <w:vAlign w:val="center"/>
          </w:tcPr>
          <w:p w14:paraId="67CEAEE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本年度和上年度部门（单位）预算</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报表；</w:t>
            </w:r>
          </w:p>
        </w:tc>
        <w:tc>
          <w:tcPr>
            <w:tcW w:w="586" w:type="dxa"/>
            <w:tcBorders>
              <w:tl2br w:val="nil"/>
              <w:tr2bl w:val="nil"/>
            </w:tcBorders>
            <w:noWrap w:val="0"/>
            <w:vAlign w:val="center"/>
          </w:tcPr>
          <w:p w14:paraId="14BE6424">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2</w:t>
            </w:r>
          </w:p>
        </w:tc>
      </w:tr>
      <w:tr w14:paraId="0A688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14:paraId="77477FEF">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3C2421FC">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67BCB258">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重点</w:t>
            </w:r>
          </w:p>
          <w:p w14:paraId="2608ED54">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支出</w:t>
            </w:r>
          </w:p>
          <w:p w14:paraId="076460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安排率</w:t>
            </w:r>
          </w:p>
        </w:tc>
        <w:tc>
          <w:tcPr>
            <w:tcW w:w="495" w:type="dxa"/>
            <w:tcBorders>
              <w:tl2br w:val="nil"/>
              <w:tr2bl w:val="nil"/>
            </w:tcBorders>
            <w:noWrap w:val="0"/>
            <w:vAlign w:val="center"/>
          </w:tcPr>
          <w:p w14:paraId="778648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2570" w:type="dxa"/>
            <w:tcBorders>
              <w:tl2br w:val="nil"/>
              <w:tr2bl w:val="nil"/>
            </w:tcBorders>
            <w:noWrap w:val="0"/>
            <w:vAlign w:val="center"/>
          </w:tcPr>
          <w:p w14:paraId="29CA84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7593AFE7">
            <w:pPr>
              <w:keepNext w:val="0"/>
              <w:keepLines w:val="0"/>
              <w:widowControl/>
              <w:suppressLineNumbers w:val="0"/>
              <w:jc w:val="left"/>
              <w:textAlignment w:val="center"/>
              <w:rPr>
                <w:rStyle w:val="14"/>
                <w:color w:val="auto"/>
                <w:lang w:val="en-US" w:eastAsia="zh-CN" w:bidi="ar"/>
              </w:rPr>
            </w:pPr>
          </w:p>
          <w:p w14:paraId="5DD37091">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重点支出安排率</w:t>
            </w:r>
            <w:r>
              <w:rPr>
                <w:rStyle w:val="15"/>
                <w:rFonts w:eastAsia="宋体"/>
                <w:color w:val="auto"/>
                <w:lang w:val="en-US" w:eastAsia="zh-CN" w:bidi="ar"/>
              </w:rPr>
              <w:t>=</w:t>
            </w:r>
            <w:r>
              <w:rPr>
                <w:rStyle w:val="14"/>
                <w:color w:val="auto"/>
                <w:lang w:val="en-US" w:eastAsia="zh-CN" w:bidi="ar"/>
              </w:rPr>
              <w:t>（重点实际支出</w:t>
            </w:r>
            <w:r>
              <w:rPr>
                <w:rStyle w:val="15"/>
                <w:rFonts w:eastAsia="宋体"/>
                <w:color w:val="auto"/>
                <w:lang w:val="en-US" w:eastAsia="zh-CN" w:bidi="ar"/>
              </w:rPr>
              <w:t>/</w:t>
            </w:r>
            <w:r>
              <w:rPr>
                <w:rStyle w:val="14"/>
                <w:color w:val="auto"/>
                <w:lang w:val="en-US" w:eastAsia="zh-CN" w:bidi="ar"/>
              </w:rPr>
              <w:t>重点预算支出）</w:t>
            </w:r>
            <w:r>
              <w:rPr>
                <w:rStyle w:val="15"/>
                <w:rFonts w:eastAsia="宋体"/>
                <w:color w:val="auto"/>
                <w:lang w:val="en-US" w:eastAsia="zh-CN" w:bidi="ar"/>
              </w:rPr>
              <w:t>×100%</w:t>
            </w:r>
            <w:r>
              <w:rPr>
                <w:rStyle w:val="14"/>
                <w:color w:val="auto"/>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p>
          <w:p w14:paraId="2A269D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该项得分</w:t>
            </w:r>
            <w:r>
              <w:rPr>
                <w:rStyle w:val="15"/>
                <w:rFonts w:eastAsia="宋体"/>
                <w:color w:val="auto"/>
                <w:lang w:val="en-US" w:eastAsia="zh-CN" w:bidi="ar"/>
              </w:rPr>
              <w:t>=</w:t>
            </w:r>
            <w:r>
              <w:rPr>
                <w:rStyle w:val="14"/>
                <w:color w:val="auto"/>
                <w:lang w:val="en-US" w:eastAsia="zh-CN" w:bidi="ar"/>
              </w:rPr>
              <w:t>安排率</w:t>
            </w:r>
            <w:r>
              <w:rPr>
                <w:rStyle w:val="15"/>
                <w:rFonts w:eastAsia="宋体"/>
                <w:color w:val="auto"/>
                <w:lang w:val="en-US" w:eastAsia="zh-CN" w:bidi="ar"/>
              </w:rPr>
              <w:t>×2</w:t>
            </w:r>
            <w:r>
              <w:rPr>
                <w:rStyle w:val="14"/>
                <w:color w:val="auto"/>
                <w:lang w:val="en-US" w:eastAsia="zh-CN" w:bidi="ar"/>
              </w:rPr>
              <w:t>分。每超出</w:t>
            </w:r>
            <w:r>
              <w:rPr>
                <w:rStyle w:val="15"/>
                <w:rFonts w:eastAsia="宋体"/>
                <w:color w:val="auto"/>
                <w:lang w:val="en-US" w:eastAsia="zh-CN" w:bidi="ar"/>
              </w:rPr>
              <w:t>5</w:t>
            </w:r>
            <w:r>
              <w:rPr>
                <w:rStyle w:val="14"/>
                <w:color w:val="auto"/>
                <w:lang w:val="en-US" w:eastAsia="zh-CN" w:bidi="ar"/>
              </w:rPr>
              <w:t>%扣</w:t>
            </w:r>
            <w:r>
              <w:rPr>
                <w:rStyle w:val="15"/>
                <w:rFonts w:eastAsia="宋体"/>
                <w:color w:val="auto"/>
                <w:lang w:val="en-US" w:eastAsia="zh-CN" w:bidi="ar"/>
              </w:rPr>
              <w:t>0.5</w:t>
            </w:r>
            <w:r>
              <w:rPr>
                <w:rStyle w:val="14"/>
                <w:color w:val="auto"/>
                <w:lang w:val="en-US" w:eastAsia="zh-CN" w:bidi="ar"/>
              </w:rPr>
              <w:t>分，扣完为止。</w:t>
            </w:r>
          </w:p>
        </w:tc>
        <w:tc>
          <w:tcPr>
            <w:tcW w:w="2115" w:type="dxa"/>
            <w:tcBorders>
              <w:tl2br w:val="nil"/>
              <w:tr2bl w:val="nil"/>
            </w:tcBorders>
            <w:noWrap w:val="0"/>
            <w:vAlign w:val="center"/>
          </w:tcPr>
          <w:p w14:paraId="0F9E50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283FF61C">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2</w:t>
            </w:r>
          </w:p>
        </w:tc>
      </w:tr>
      <w:tr w14:paraId="0AD94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555829BC">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3C0DB5EC">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3D418D30">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非税</w:t>
            </w:r>
          </w:p>
          <w:p w14:paraId="5E57D513">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收入</w:t>
            </w:r>
          </w:p>
          <w:p w14:paraId="093E64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安排率</w:t>
            </w:r>
          </w:p>
        </w:tc>
        <w:tc>
          <w:tcPr>
            <w:tcW w:w="495" w:type="dxa"/>
            <w:tcBorders>
              <w:tl2br w:val="nil"/>
              <w:tr2bl w:val="nil"/>
            </w:tcBorders>
            <w:noWrap w:val="0"/>
            <w:vAlign w:val="center"/>
          </w:tcPr>
          <w:p w14:paraId="56DA26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2570" w:type="dxa"/>
            <w:tcBorders>
              <w:tl2br w:val="nil"/>
              <w:tr2bl w:val="nil"/>
            </w:tcBorders>
            <w:noWrap w:val="0"/>
            <w:vAlign w:val="center"/>
          </w:tcPr>
          <w:p w14:paraId="611FE6F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反映部门本年度非税收入完成情况。</w:t>
            </w:r>
          </w:p>
        </w:tc>
        <w:tc>
          <w:tcPr>
            <w:tcW w:w="5112" w:type="dxa"/>
            <w:tcBorders>
              <w:tl2br w:val="nil"/>
              <w:tr2bl w:val="nil"/>
            </w:tcBorders>
            <w:noWrap w:val="0"/>
            <w:vAlign w:val="center"/>
          </w:tcPr>
          <w:p w14:paraId="545C2990">
            <w:pPr>
              <w:keepNext w:val="0"/>
              <w:keepLines w:val="0"/>
              <w:widowControl/>
              <w:suppressLineNumbers w:val="0"/>
              <w:jc w:val="left"/>
              <w:textAlignment w:val="center"/>
              <w:rPr>
                <w:rStyle w:val="14"/>
                <w:color w:val="auto"/>
                <w:lang w:val="en-US" w:eastAsia="zh-CN" w:bidi="ar"/>
              </w:rPr>
            </w:pPr>
          </w:p>
          <w:p w14:paraId="0883B07D">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非税收入完成率</w:t>
            </w:r>
            <w:r>
              <w:rPr>
                <w:rStyle w:val="15"/>
                <w:rFonts w:eastAsia="宋体"/>
                <w:color w:val="auto"/>
                <w:lang w:val="en-US" w:eastAsia="zh-CN" w:bidi="ar"/>
              </w:rPr>
              <w:t>=</w:t>
            </w:r>
            <w:r>
              <w:rPr>
                <w:rStyle w:val="14"/>
                <w:color w:val="auto"/>
                <w:lang w:val="en-US" w:eastAsia="zh-CN" w:bidi="ar"/>
              </w:rPr>
              <w:t>（非税实际收入完成数</w:t>
            </w:r>
            <w:r>
              <w:rPr>
                <w:rStyle w:val="15"/>
                <w:rFonts w:eastAsia="宋体"/>
                <w:color w:val="auto"/>
                <w:lang w:val="en-US" w:eastAsia="zh-CN" w:bidi="ar"/>
              </w:rPr>
              <w:t>/</w:t>
            </w:r>
            <w:r>
              <w:rPr>
                <w:rStyle w:val="14"/>
                <w:color w:val="auto"/>
                <w:lang w:val="en-US" w:eastAsia="zh-CN" w:bidi="ar"/>
              </w:rPr>
              <w:t>非税收入预算数）</w:t>
            </w:r>
            <w:r>
              <w:rPr>
                <w:rStyle w:val="15"/>
                <w:rFonts w:eastAsia="宋体"/>
                <w:color w:val="auto"/>
                <w:lang w:val="en-US" w:eastAsia="zh-CN" w:bidi="ar"/>
              </w:rPr>
              <w:t>×100%</w:t>
            </w:r>
            <w:r>
              <w:rPr>
                <w:rStyle w:val="14"/>
                <w:color w:val="auto"/>
                <w:lang w:val="en-US" w:eastAsia="zh-CN" w:bidi="ar"/>
              </w:rPr>
              <w:t>，有减免因素的，以财政事务中心确定的为准。</w:t>
            </w:r>
          </w:p>
          <w:p w14:paraId="2D70EB9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该项得分</w:t>
            </w:r>
            <w:r>
              <w:rPr>
                <w:rStyle w:val="15"/>
                <w:rFonts w:eastAsia="宋体"/>
                <w:color w:val="auto"/>
                <w:lang w:val="en-US" w:eastAsia="zh-CN" w:bidi="ar"/>
              </w:rPr>
              <w:t>=</w:t>
            </w:r>
            <w:r>
              <w:rPr>
                <w:rStyle w:val="14"/>
                <w:color w:val="auto"/>
                <w:lang w:val="en-US" w:eastAsia="zh-CN" w:bidi="ar"/>
              </w:rPr>
              <w:t>完成率</w:t>
            </w:r>
            <w:r>
              <w:rPr>
                <w:rStyle w:val="15"/>
                <w:rFonts w:eastAsia="宋体"/>
                <w:color w:val="auto"/>
                <w:lang w:val="en-US" w:eastAsia="zh-CN" w:bidi="ar"/>
              </w:rPr>
              <w:t>×1</w:t>
            </w:r>
            <w:r>
              <w:rPr>
                <w:rStyle w:val="14"/>
                <w:color w:val="auto"/>
                <w:lang w:val="en-US" w:eastAsia="zh-CN" w:bidi="ar"/>
              </w:rPr>
              <w:t>分。</w:t>
            </w:r>
          </w:p>
        </w:tc>
        <w:tc>
          <w:tcPr>
            <w:tcW w:w="2115" w:type="dxa"/>
            <w:tcBorders>
              <w:tl2br w:val="nil"/>
              <w:tr2bl w:val="nil"/>
            </w:tcBorders>
            <w:noWrap w:val="0"/>
            <w:vAlign w:val="center"/>
          </w:tcPr>
          <w:p w14:paraId="3A8207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0972187F">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1</w:t>
            </w:r>
          </w:p>
        </w:tc>
      </w:tr>
      <w:tr w14:paraId="1CE5D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332070F9">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过程</w:t>
            </w:r>
          </w:p>
          <w:p w14:paraId="6F0D2B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14"/>
                <w:color w:val="auto"/>
                <w:lang w:val="en-US" w:eastAsia="zh-CN" w:bidi="ar"/>
              </w:rPr>
              <w:t>（</w:t>
            </w:r>
            <w:r>
              <w:rPr>
                <w:rStyle w:val="15"/>
                <w:rFonts w:eastAsia="宋体"/>
                <w:color w:val="auto"/>
                <w:lang w:val="en-US" w:eastAsia="zh-CN" w:bidi="ar"/>
              </w:rPr>
              <w:t>47</w:t>
            </w:r>
            <w:r>
              <w:rPr>
                <w:rStyle w:val="14"/>
                <w:color w:val="auto"/>
                <w:lang w:val="en-US" w:eastAsia="zh-CN" w:bidi="ar"/>
              </w:rPr>
              <w:t>分）</w:t>
            </w:r>
          </w:p>
        </w:tc>
        <w:tc>
          <w:tcPr>
            <w:tcW w:w="870" w:type="dxa"/>
            <w:vMerge w:val="restart"/>
            <w:tcBorders>
              <w:tl2br w:val="nil"/>
              <w:tr2bl w:val="nil"/>
            </w:tcBorders>
            <w:noWrap w:val="0"/>
            <w:vAlign w:val="center"/>
          </w:tcPr>
          <w:p w14:paraId="3AD86B59">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预算</w:t>
            </w:r>
          </w:p>
          <w:p w14:paraId="4705B12F">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执行</w:t>
            </w:r>
          </w:p>
          <w:p w14:paraId="65E6C4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15"/>
                <w:rFonts w:eastAsia="宋体"/>
                <w:color w:val="auto"/>
                <w:lang w:val="en-US" w:eastAsia="zh-CN" w:bidi="ar"/>
              </w:rPr>
              <w:t>(13</w:t>
            </w:r>
            <w:r>
              <w:rPr>
                <w:rStyle w:val="14"/>
                <w:color w:val="auto"/>
                <w:lang w:val="en-US" w:eastAsia="zh-CN" w:bidi="ar"/>
              </w:rPr>
              <w:t>分）</w:t>
            </w:r>
          </w:p>
        </w:tc>
        <w:tc>
          <w:tcPr>
            <w:tcW w:w="1050" w:type="dxa"/>
            <w:tcBorders>
              <w:tl2br w:val="nil"/>
              <w:tr2bl w:val="nil"/>
            </w:tcBorders>
            <w:noWrap w:val="0"/>
            <w:vAlign w:val="center"/>
          </w:tcPr>
          <w:p w14:paraId="5123A04D">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预算</w:t>
            </w:r>
          </w:p>
          <w:p w14:paraId="75AD28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执行率</w:t>
            </w:r>
          </w:p>
        </w:tc>
        <w:tc>
          <w:tcPr>
            <w:tcW w:w="495" w:type="dxa"/>
            <w:tcBorders>
              <w:tl2br w:val="nil"/>
              <w:tr2bl w:val="nil"/>
            </w:tcBorders>
            <w:noWrap w:val="0"/>
            <w:vAlign w:val="center"/>
          </w:tcPr>
          <w:p w14:paraId="2FFFDA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2570" w:type="dxa"/>
            <w:tcBorders>
              <w:tl2br w:val="nil"/>
              <w:tr2bl w:val="nil"/>
            </w:tcBorders>
            <w:noWrap w:val="0"/>
            <w:vAlign w:val="center"/>
          </w:tcPr>
          <w:p w14:paraId="79AD4E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031621EA">
            <w:pPr>
              <w:keepNext w:val="0"/>
              <w:keepLines w:val="0"/>
              <w:widowControl/>
              <w:suppressLineNumbers w:val="0"/>
              <w:jc w:val="left"/>
              <w:textAlignment w:val="center"/>
              <w:rPr>
                <w:rStyle w:val="14"/>
                <w:color w:val="auto"/>
                <w:lang w:val="en-US" w:eastAsia="zh-CN" w:bidi="ar"/>
              </w:rPr>
            </w:pPr>
          </w:p>
          <w:p w14:paraId="11986B2B">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①预算执行率</w:t>
            </w:r>
            <w:r>
              <w:rPr>
                <w:rStyle w:val="15"/>
                <w:rFonts w:eastAsia="宋体"/>
                <w:color w:val="auto"/>
                <w:lang w:val="en-US" w:eastAsia="zh-CN" w:bidi="ar"/>
              </w:rPr>
              <w:t>=</w:t>
            </w:r>
            <w:r>
              <w:rPr>
                <w:rStyle w:val="14"/>
                <w:color w:val="auto"/>
                <w:lang w:val="en-US" w:eastAsia="zh-CN" w:bidi="ar"/>
              </w:rPr>
              <w:t>（预算完成数</w:t>
            </w:r>
            <w:r>
              <w:rPr>
                <w:rStyle w:val="15"/>
                <w:rFonts w:eastAsia="宋体"/>
                <w:color w:val="auto"/>
                <w:lang w:val="en-US" w:eastAsia="zh-CN" w:bidi="ar"/>
              </w:rPr>
              <w:t>/</w:t>
            </w:r>
            <w:r>
              <w:rPr>
                <w:rStyle w:val="14"/>
                <w:color w:val="auto"/>
                <w:lang w:val="en-US" w:eastAsia="zh-CN" w:bidi="ar"/>
              </w:rPr>
              <w:t>预算数）</w:t>
            </w:r>
            <w:r>
              <w:rPr>
                <w:rStyle w:val="15"/>
                <w:rFonts w:eastAsia="宋体"/>
                <w:color w:val="auto"/>
                <w:lang w:val="en-US" w:eastAsia="zh-CN" w:bidi="ar"/>
              </w:rPr>
              <w:t>×100%</w:t>
            </w:r>
            <w:r>
              <w:rPr>
                <w:rStyle w:val="14"/>
                <w:color w:val="auto"/>
                <w:lang w:val="en-US" w:eastAsia="zh-CN" w:bidi="ar"/>
              </w:rPr>
              <w:t>。</w:t>
            </w:r>
          </w:p>
          <w:p w14:paraId="025D684A">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预算执行数：部门（单位）本年度实际完成的预算数。</w:t>
            </w:r>
          </w:p>
          <w:p w14:paraId="4E1EBD5B">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预算数：财政部门批复的本年度部门（单位）预算数及追加的预算数。</w:t>
            </w:r>
          </w:p>
          <w:p w14:paraId="11B94CEC">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该项得分，全年预算执行率</w:t>
            </w:r>
            <w:r>
              <w:rPr>
                <w:rStyle w:val="15"/>
                <w:rFonts w:eastAsia="宋体"/>
                <w:color w:val="auto"/>
                <w:lang w:val="en-US" w:eastAsia="zh-CN" w:bidi="ar"/>
              </w:rPr>
              <w:t>95%</w:t>
            </w:r>
            <w:r>
              <w:rPr>
                <w:rStyle w:val="14"/>
                <w:color w:val="auto"/>
                <w:lang w:val="en-US" w:eastAsia="zh-CN" w:bidi="ar"/>
              </w:rPr>
              <w:t>以上计</w:t>
            </w:r>
            <w:r>
              <w:rPr>
                <w:rStyle w:val="15"/>
                <w:rFonts w:eastAsia="宋体"/>
                <w:color w:val="auto"/>
                <w:lang w:val="en-US" w:eastAsia="zh-CN" w:bidi="ar"/>
              </w:rPr>
              <w:t>2</w:t>
            </w:r>
            <w:r>
              <w:rPr>
                <w:rStyle w:val="14"/>
                <w:color w:val="auto"/>
                <w:lang w:val="en-US" w:eastAsia="zh-CN" w:bidi="ar"/>
              </w:rPr>
              <w:t>分，</w:t>
            </w:r>
            <w:r>
              <w:rPr>
                <w:rStyle w:val="15"/>
                <w:rFonts w:eastAsia="宋体"/>
                <w:color w:val="auto"/>
                <w:lang w:val="en-US" w:eastAsia="zh-CN" w:bidi="ar"/>
              </w:rPr>
              <w:t>95-90%</w:t>
            </w:r>
            <w:r>
              <w:rPr>
                <w:rStyle w:val="14"/>
                <w:color w:val="auto"/>
                <w:lang w:val="en-US" w:eastAsia="zh-CN" w:bidi="ar"/>
              </w:rPr>
              <w:t>（含），计</w:t>
            </w:r>
            <w:r>
              <w:rPr>
                <w:rStyle w:val="15"/>
                <w:rFonts w:eastAsia="宋体"/>
                <w:color w:val="auto"/>
                <w:lang w:val="en-US" w:eastAsia="zh-CN" w:bidi="ar"/>
              </w:rPr>
              <w:t>1</w:t>
            </w:r>
            <w:r>
              <w:rPr>
                <w:rStyle w:val="14"/>
                <w:color w:val="auto"/>
                <w:lang w:val="en-US" w:eastAsia="zh-CN" w:bidi="ar"/>
              </w:rPr>
              <w:t>分，</w:t>
            </w:r>
            <w:r>
              <w:rPr>
                <w:rStyle w:val="15"/>
                <w:rFonts w:eastAsia="宋体"/>
                <w:color w:val="auto"/>
                <w:lang w:val="en-US" w:eastAsia="zh-CN" w:bidi="ar"/>
              </w:rPr>
              <w:t>90-80%</w:t>
            </w:r>
            <w:r>
              <w:rPr>
                <w:rStyle w:val="14"/>
                <w:color w:val="auto"/>
                <w:lang w:val="en-US" w:eastAsia="zh-CN" w:bidi="ar"/>
              </w:rPr>
              <w:t>（含），计</w:t>
            </w:r>
            <w:r>
              <w:rPr>
                <w:rStyle w:val="15"/>
                <w:rFonts w:eastAsia="宋体"/>
                <w:color w:val="auto"/>
                <w:lang w:val="en-US" w:eastAsia="zh-CN" w:bidi="ar"/>
              </w:rPr>
              <w:t>0.5</w:t>
            </w:r>
            <w:r>
              <w:rPr>
                <w:rStyle w:val="14"/>
                <w:color w:val="auto"/>
                <w:lang w:val="en-US" w:eastAsia="zh-CN" w:bidi="ar"/>
              </w:rPr>
              <w:t>分，小于</w:t>
            </w:r>
            <w:r>
              <w:rPr>
                <w:rStyle w:val="15"/>
                <w:rFonts w:eastAsia="宋体"/>
                <w:color w:val="auto"/>
                <w:lang w:val="en-US" w:eastAsia="zh-CN" w:bidi="ar"/>
              </w:rPr>
              <w:t>80%</w:t>
            </w:r>
            <w:r>
              <w:rPr>
                <w:rStyle w:val="14"/>
                <w:color w:val="auto"/>
                <w:lang w:val="en-US" w:eastAsia="zh-CN" w:bidi="ar"/>
              </w:rPr>
              <w:t>不得分；</w:t>
            </w:r>
          </w:p>
          <w:p w14:paraId="14A33840">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②绩效目标执行监控是否按要求完成。</w:t>
            </w:r>
          </w:p>
          <w:p w14:paraId="06D99E4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该项得分，实施项目资金运行监控的得</w:t>
            </w:r>
            <w:r>
              <w:rPr>
                <w:rStyle w:val="15"/>
                <w:rFonts w:eastAsia="宋体"/>
                <w:color w:val="auto"/>
                <w:lang w:val="en-US" w:eastAsia="zh-CN" w:bidi="ar"/>
              </w:rPr>
              <w:t>2</w:t>
            </w:r>
            <w:r>
              <w:rPr>
                <w:rStyle w:val="14"/>
                <w:color w:val="auto"/>
                <w:lang w:val="en-US" w:eastAsia="zh-CN" w:bidi="ar"/>
              </w:rPr>
              <w:t>分，未实施的不得分。</w:t>
            </w:r>
          </w:p>
        </w:tc>
        <w:tc>
          <w:tcPr>
            <w:tcW w:w="2115" w:type="dxa"/>
            <w:tcBorders>
              <w:tl2br w:val="nil"/>
              <w:tr2bl w:val="nil"/>
            </w:tcBorders>
            <w:noWrap w:val="0"/>
            <w:vAlign w:val="center"/>
          </w:tcPr>
          <w:p w14:paraId="4F11CF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0589EB79">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4</w:t>
            </w:r>
          </w:p>
        </w:tc>
      </w:tr>
      <w:tr w14:paraId="4B29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5B9E6B4B">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02DB8908">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39ED5997">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预算</w:t>
            </w:r>
          </w:p>
          <w:p w14:paraId="6D835B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调整率</w:t>
            </w:r>
          </w:p>
        </w:tc>
        <w:tc>
          <w:tcPr>
            <w:tcW w:w="495" w:type="dxa"/>
            <w:tcBorders>
              <w:tl2br w:val="nil"/>
              <w:tr2bl w:val="nil"/>
            </w:tcBorders>
            <w:noWrap w:val="0"/>
            <w:vAlign w:val="center"/>
          </w:tcPr>
          <w:p w14:paraId="3CB385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2570" w:type="dxa"/>
            <w:tcBorders>
              <w:tl2br w:val="nil"/>
              <w:tr2bl w:val="nil"/>
            </w:tcBorders>
            <w:noWrap w:val="0"/>
            <w:vAlign w:val="center"/>
          </w:tcPr>
          <w:p w14:paraId="45216A7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4C3590A1">
            <w:pPr>
              <w:keepNext w:val="0"/>
              <w:keepLines w:val="0"/>
              <w:widowControl/>
              <w:suppressLineNumbers w:val="0"/>
              <w:jc w:val="left"/>
              <w:textAlignment w:val="center"/>
              <w:rPr>
                <w:rStyle w:val="14"/>
                <w:color w:val="auto"/>
                <w:lang w:val="en-US" w:eastAsia="zh-CN" w:bidi="ar"/>
              </w:rPr>
            </w:pPr>
          </w:p>
          <w:p w14:paraId="767639FD">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预算调整率</w:t>
            </w:r>
            <w:r>
              <w:rPr>
                <w:rStyle w:val="15"/>
                <w:rFonts w:eastAsia="宋体"/>
                <w:color w:val="auto"/>
                <w:lang w:val="en-US" w:eastAsia="zh-CN" w:bidi="ar"/>
              </w:rPr>
              <w:t>=</w:t>
            </w:r>
            <w:r>
              <w:rPr>
                <w:rStyle w:val="14"/>
                <w:color w:val="auto"/>
                <w:lang w:val="en-US" w:eastAsia="zh-CN" w:bidi="ar"/>
              </w:rPr>
              <w:t>（预算调整数</w:t>
            </w:r>
            <w:r>
              <w:rPr>
                <w:rStyle w:val="15"/>
                <w:rFonts w:eastAsia="宋体"/>
                <w:color w:val="auto"/>
                <w:lang w:val="en-US" w:eastAsia="zh-CN" w:bidi="ar"/>
              </w:rPr>
              <w:t>/</w:t>
            </w:r>
            <w:r>
              <w:rPr>
                <w:rStyle w:val="14"/>
                <w:color w:val="auto"/>
                <w:lang w:val="en-US" w:eastAsia="zh-CN" w:bidi="ar"/>
              </w:rPr>
              <w:t>预算数）</w:t>
            </w:r>
            <w:r>
              <w:rPr>
                <w:rStyle w:val="15"/>
                <w:rFonts w:eastAsia="宋体"/>
                <w:color w:val="auto"/>
                <w:lang w:val="en-US" w:eastAsia="zh-CN" w:bidi="ar"/>
              </w:rPr>
              <w:t>×100%</w:t>
            </w:r>
            <w:r>
              <w:rPr>
                <w:rStyle w:val="14"/>
                <w:color w:val="auto"/>
                <w:lang w:val="en-US" w:eastAsia="zh-CN" w:bidi="ar"/>
              </w:rPr>
              <w:t>。</w:t>
            </w:r>
          </w:p>
          <w:p w14:paraId="089F7AA1">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预算调整数：部门（单位）在本年度内涉及预算的追加、追减或结构调整的资金总和（因落实国家政策、发生不可抗力，市委、市政府临时交办而产生的调整及经济科目非跨类调整除外）。</w:t>
            </w:r>
          </w:p>
          <w:p w14:paraId="119AB9E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该项得分，预算调整率</w:t>
            </w:r>
            <w:r>
              <w:rPr>
                <w:rStyle w:val="15"/>
                <w:rFonts w:eastAsia="宋体"/>
                <w:color w:val="auto"/>
                <w:lang w:val="en-US" w:eastAsia="zh-CN" w:bidi="ar"/>
              </w:rPr>
              <w:t>&lt;5%</w:t>
            </w:r>
            <w:r>
              <w:rPr>
                <w:rStyle w:val="14"/>
                <w:color w:val="auto"/>
                <w:lang w:val="en-US" w:eastAsia="zh-CN" w:bidi="ar"/>
              </w:rPr>
              <w:t>，计</w:t>
            </w:r>
            <w:r>
              <w:rPr>
                <w:rStyle w:val="15"/>
                <w:rFonts w:eastAsia="宋体"/>
                <w:color w:val="auto"/>
                <w:lang w:val="en-US" w:eastAsia="zh-CN" w:bidi="ar"/>
              </w:rPr>
              <w:t>2</w:t>
            </w:r>
            <w:r>
              <w:rPr>
                <w:rStyle w:val="14"/>
                <w:color w:val="auto"/>
                <w:lang w:val="en-US" w:eastAsia="zh-CN" w:bidi="ar"/>
              </w:rPr>
              <w:t>分；</w:t>
            </w:r>
            <w:r>
              <w:rPr>
                <w:rStyle w:val="15"/>
                <w:rFonts w:eastAsia="宋体"/>
                <w:color w:val="auto"/>
                <w:lang w:val="en-US" w:eastAsia="zh-CN" w:bidi="ar"/>
              </w:rPr>
              <w:t>5-10%</w:t>
            </w:r>
            <w:r>
              <w:rPr>
                <w:rStyle w:val="14"/>
                <w:color w:val="auto"/>
                <w:lang w:val="en-US" w:eastAsia="zh-CN" w:bidi="ar"/>
              </w:rPr>
              <w:t>（含），计</w:t>
            </w:r>
            <w:r>
              <w:rPr>
                <w:rStyle w:val="15"/>
                <w:rFonts w:eastAsia="宋体"/>
                <w:color w:val="auto"/>
                <w:lang w:val="en-US" w:eastAsia="zh-CN" w:bidi="ar"/>
              </w:rPr>
              <w:t>1</w:t>
            </w:r>
            <w:r>
              <w:rPr>
                <w:rStyle w:val="14"/>
                <w:color w:val="auto"/>
                <w:lang w:val="en-US" w:eastAsia="zh-CN" w:bidi="ar"/>
              </w:rPr>
              <w:t>分；大于</w:t>
            </w:r>
            <w:r>
              <w:rPr>
                <w:rStyle w:val="15"/>
                <w:rFonts w:eastAsia="宋体"/>
                <w:color w:val="auto"/>
                <w:lang w:val="en-US" w:eastAsia="zh-CN" w:bidi="ar"/>
              </w:rPr>
              <w:t>10%</w:t>
            </w:r>
            <w:r>
              <w:rPr>
                <w:rStyle w:val="14"/>
                <w:color w:val="auto"/>
                <w:lang w:val="en-US" w:eastAsia="zh-CN" w:bidi="ar"/>
              </w:rPr>
              <w:t>不得分。</w:t>
            </w:r>
          </w:p>
        </w:tc>
        <w:tc>
          <w:tcPr>
            <w:tcW w:w="2115" w:type="dxa"/>
            <w:tcBorders>
              <w:tl2br w:val="nil"/>
              <w:tr2bl w:val="nil"/>
            </w:tcBorders>
            <w:noWrap w:val="0"/>
            <w:vAlign w:val="center"/>
          </w:tcPr>
          <w:p w14:paraId="726FC4B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3ACB2090">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2</w:t>
            </w:r>
          </w:p>
        </w:tc>
      </w:tr>
      <w:tr w14:paraId="44849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225A2F76">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3C9C2DEA">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75A5286B">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结转</w:t>
            </w:r>
          </w:p>
          <w:p w14:paraId="7F5CF3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结余</w:t>
            </w:r>
          </w:p>
        </w:tc>
        <w:tc>
          <w:tcPr>
            <w:tcW w:w="495" w:type="dxa"/>
            <w:tcBorders>
              <w:tl2br w:val="nil"/>
              <w:tr2bl w:val="nil"/>
            </w:tcBorders>
            <w:noWrap w:val="0"/>
            <w:vAlign w:val="center"/>
          </w:tcPr>
          <w:p w14:paraId="007319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2570" w:type="dxa"/>
            <w:tcBorders>
              <w:tl2br w:val="nil"/>
              <w:tr2bl w:val="nil"/>
            </w:tcBorders>
            <w:noWrap w:val="0"/>
            <w:vAlign w:val="center"/>
          </w:tcPr>
          <w:p w14:paraId="371F0BB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0245A387">
            <w:pPr>
              <w:keepNext w:val="0"/>
              <w:keepLines w:val="0"/>
              <w:widowControl/>
              <w:suppressLineNumbers w:val="0"/>
              <w:spacing w:after="180" w:afterAutospacing="0"/>
              <w:jc w:val="left"/>
              <w:textAlignment w:val="center"/>
              <w:rPr>
                <w:rStyle w:val="14"/>
                <w:color w:val="auto"/>
                <w:lang w:val="en-US" w:eastAsia="zh-CN" w:bidi="ar"/>
              </w:rPr>
            </w:pPr>
          </w:p>
          <w:p w14:paraId="7FD34D3E">
            <w:pPr>
              <w:keepNext w:val="0"/>
              <w:keepLines w:val="0"/>
              <w:widowControl/>
              <w:suppressLineNumbers w:val="0"/>
              <w:spacing w:after="180" w:afterAutospacing="0"/>
              <w:jc w:val="left"/>
              <w:textAlignment w:val="center"/>
              <w:rPr>
                <w:rStyle w:val="14"/>
                <w:color w:val="auto"/>
                <w:lang w:val="en-US" w:eastAsia="zh-CN" w:bidi="ar"/>
              </w:rPr>
            </w:pPr>
            <w:r>
              <w:rPr>
                <w:rStyle w:val="14"/>
                <w:color w:val="auto"/>
                <w:lang w:val="en-US" w:eastAsia="zh-CN" w:bidi="ar"/>
              </w:rPr>
              <w:t>结转结余率</w:t>
            </w:r>
            <w:r>
              <w:rPr>
                <w:rStyle w:val="15"/>
                <w:rFonts w:eastAsia="宋体"/>
                <w:color w:val="auto"/>
                <w:lang w:val="en-US" w:eastAsia="zh-CN" w:bidi="ar"/>
              </w:rPr>
              <w:t>=</w:t>
            </w:r>
            <w:r>
              <w:rPr>
                <w:rStyle w:val="14"/>
                <w:color w:val="auto"/>
                <w:lang w:val="en-US" w:eastAsia="zh-CN" w:bidi="ar"/>
              </w:rPr>
              <w:t>结转结余总额</w:t>
            </w:r>
            <w:r>
              <w:rPr>
                <w:rStyle w:val="15"/>
                <w:rFonts w:eastAsia="宋体"/>
                <w:color w:val="auto"/>
                <w:lang w:val="en-US" w:eastAsia="zh-CN" w:bidi="ar"/>
              </w:rPr>
              <w:t>/</w:t>
            </w:r>
            <w:r>
              <w:rPr>
                <w:rStyle w:val="14"/>
                <w:color w:val="auto"/>
                <w:lang w:val="en-US" w:eastAsia="zh-CN" w:bidi="ar"/>
              </w:rPr>
              <w:t>支出预算数</w:t>
            </w:r>
            <w:r>
              <w:rPr>
                <w:rStyle w:val="15"/>
                <w:rFonts w:eastAsia="宋体"/>
                <w:color w:val="auto"/>
                <w:lang w:val="en-US" w:eastAsia="zh-CN" w:bidi="ar"/>
              </w:rPr>
              <w:t>×100%</w:t>
            </w:r>
            <w:r>
              <w:rPr>
                <w:rStyle w:val="14"/>
                <w:color w:val="auto"/>
                <w:lang w:val="en-US" w:eastAsia="zh-CN" w:bidi="ar"/>
              </w:rPr>
              <w:t>。结转结余总额：部门本年度的结转资金与结余资金之和（以决算数为准）。</w:t>
            </w:r>
          </w:p>
          <w:p w14:paraId="1C24BD45">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该项得分，结余率</w:t>
            </w:r>
            <w:r>
              <w:rPr>
                <w:rStyle w:val="15"/>
                <w:rFonts w:eastAsia="宋体"/>
                <w:color w:val="auto"/>
                <w:lang w:val="en-US" w:eastAsia="zh-CN" w:bidi="ar"/>
              </w:rPr>
              <w:t>≤10%</w:t>
            </w:r>
            <w:r>
              <w:rPr>
                <w:rStyle w:val="14"/>
                <w:color w:val="auto"/>
                <w:lang w:val="en-US" w:eastAsia="zh-CN" w:bidi="ar"/>
              </w:rPr>
              <w:t>的，计</w:t>
            </w:r>
            <w:r>
              <w:rPr>
                <w:rStyle w:val="15"/>
                <w:rFonts w:eastAsia="宋体"/>
                <w:color w:val="auto"/>
                <w:lang w:val="en-US" w:eastAsia="zh-CN" w:bidi="ar"/>
              </w:rPr>
              <w:t>1</w:t>
            </w:r>
            <w:r>
              <w:rPr>
                <w:rStyle w:val="14"/>
                <w:color w:val="auto"/>
                <w:lang w:val="en-US" w:eastAsia="zh-CN" w:bidi="ar"/>
              </w:rPr>
              <w:t>分；结余率</w:t>
            </w:r>
            <w:r>
              <w:rPr>
                <w:rStyle w:val="15"/>
                <w:rFonts w:eastAsia="宋体"/>
                <w:color w:val="auto"/>
                <w:lang w:val="en-US" w:eastAsia="zh-CN" w:bidi="ar"/>
              </w:rPr>
              <w:t>&gt;10%</w:t>
            </w:r>
            <w:r>
              <w:rPr>
                <w:rStyle w:val="14"/>
                <w:color w:val="auto"/>
                <w:lang w:val="en-US" w:eastAsia="zh-CN" w:bidi="ar"/>
              </w:rPr>
              <w:t>（不含），</w:t>
            </w:r>
            <w:r>
              <w:rPr>
                <w:rStyle w:val="15"/>
                <w:rFonts w:eastAsia="宋体"/>
                <w:color w:val="auto"/>
                <w:lang w:val="en-US" w:eastAsia="zh-CN" w:bidi="ar"/>
              </w:rPr>
              <w:t>0.5</w:t>
            </w:r>
            <w:r>
              <w:rPr>
                <w:rStyle w:val="14"/>
                <w:color w:val="auto"/>
                <w:lang w:val="en-US" w:eastAsia="zh-CN" w:bidi="ar"/>
              </w:rPr>
              <w:t>分；本年超支的，计</w:t>
            </w:r>
            <w:r>
              <w:rPr>
                <w:rStyle w:val="15"/>
                <w:rFonts w:eastAsia="宋体"/>
                <w:color w:val="auto"/>
                <w:lang w:val="en-US" w:eastAsia="zh-CN" w:bidi="ar"/>
              </w:rPr>
              <w:t>0</w:t>
            </w:r>
            <w:r>
              <w:rPr>
                <w:rStyle w:val="14"/>
                <w:color w:val="auto"/>
                <w:lang w:val="en-US" w:eastAsia="zh-CN" w:bidi="ar"/>
              </w:rPr>
              <w:t>分。</w:t>
            </w:r>
          </w:p>
        </w:tc>
        <w:tc>
          <w:tcPr>
            <w:tcW w:w="2115" w:type="dxa"/>
            <w:tcBorders>
              <w:tl2br w:val="nil"/>
              <w:tr2bl w:val="nil"/>
            </w:tcBorders>
            <w:noWrap w:val="0"/>
            <w:vAlign w:val="center"/>
          </w:tcPr>
          <w:p w14:paraId="47308F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FADBD44">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1</w:t>
            </w:r>
          </w:p>
        </w:tc>
      </w:tr>
      <w:tr w14:paraId="5253F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118B1602">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2C6B0343">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50B4611D">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公用经费</w:t>
            </w:r>
          </w:p>
          <w:p w14:paraId="038C6F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控制率</w:t>
            </w:r>
          </w:p>
        </w:tc>
        <w:tc>
          <w:tcPr>
            <w:tcW w:w="495" w:type="dxa"/>
            <w:tcBorders>
              <w:tl2br w:val="nil"/>
              <w:tr2bl w:val="nil"/>
            </w:tcBorders>
            <w:noWrap w:val="0"/>
            <w:vAlign w:val="center"/>
          </w:tcPr>
          <w:p w14:paraId="620094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2570" w:type="dxa"/>
            <w:tcBorders>
              <w:tl2br w:val="nil"/>
              <w:tr2bl w:val="nil"/>
            </w:tcBorders>
            <w:noWrap w:val="0"/>
            <w:vAlign w:val="center"/>
          </w:tcPr>
          <w:p w14:paraId="583EC72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47795039">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公用经费控制率</w:t>
            </w:r>
            <w:r>
              <w:rPr>
                <w:rStyle w:val="15"/>
                <w:rFonts w:eastAsia="宋体"/>
                <w:color w:val="auto"/>
                <w:lang w:val="en-US" w:eastAsia="zh-CN" w:bidi="ar"/>
              </w:rPr>
              <w:t>=</w:t>
            </w:r>
            <w:r>
              <w:rPr>
                <w:rStyle w:val="14"/>
                <w:color w:val="auto"/>
                <w:lang w:val="en-US" w:eastAsia="zh-CN" w:bidi="ar"/>
              </w:rPr>
              <w:t>（实际支出公用经费总额</w:t>
            </w:r>
            <w:r>
              <w:rPr>
                <w:rStyle w:val="15"/>
                <w:rFonts w:eastAsia="宋体"/>
                <w:color w:val="auto"/>
                <w:lang w:val="en-US" w:eastAsia="zh-CN" w:bidi="ar"/>
              </w:rPr>
              <w:t>/</w:t>
            </w:r>
            <w:r>
              <w:rPr>
                <w:rStyle w:val="14"/>
                <w:color w:val="auto"/>
                <w:lang w:val="en-US" w:eastAsia="zh-CN" w:bidi="ar"/>
              </w:rPr>
              <w:t>预算安排公用经费总额）</w:t>
            </w:r>
            <w:r>
              <w:rPr>
                <w:rStyle w:val="15"/>
                <w:rFonts w:eastAsia="宋体"/>
                <w:color w:val="auto"/>
                <w:lang w:val="en-US" w:eastAsia="zh-CN" w:bidi="ar"/>
              </w:rPr>
              <w:t>×100%</w:t>
            </w:r>
            <w:r>
              <w:rPr>
                <w:rStyle w:val="14"/>
                <w:color w:val="auto"/>
                <w:lang w:val="en-US" w:eastAsia="zh-CN" w:bidi="ar"/>
              </w:rPr>
              <w:t>。</w:t>
            </w:r>
          </w:p>
          <w:p w14:paraId="7A3983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该项得分，控制率</w:t>
            </w:r>
            <w:r>
              <w:rPr>
                <w:rStyle w:val="15"/>
                <w:rFonts w:eastAsia="宋体"/>
                <w:color w:val="auto"/>
                <w:lang w:val="en-US" w:eastAsia="zh-CN" w:bidi="ar"/>
              </w:rPr>
              <w:t>≤100%</w:t>
            </w:r>
            <w:r>
              <w:rPr>
                <w:rStyle w:val="14"/>
                <w:color w:val="auto"/>
                <w:lang w:val="en-US" w:eastAsia="zh-CN" w:bidi="ar"/>
              </w:rPr>
              <w:t>，计</w:t>
            </w:r>
            <w:r>
              <w:rPr>
                <w:rStyle w:val="15"/>
                <w:rFonts w:eastAsia="宋体"/>
                <w:color w:val="auto"/>
                <w:lang w:val="en-US" w:eastAsia="zh-CN" w:bidi="ar"/>
              </w:rPr>
              <w:t>2</w:t>
            </w:r>
            <w:r>
              <w:rPr>
                <w:rStyle w:val="14"/>
                <w:color w:val="auto"/>
                <w:lang w:val="en-US" w:eastAsia="zh-CN" w:bidi="ar"/>
              </w:rPr>
              <w:t>分，控制率</w:t>
            </w:r>
            <w:r>
              <w:rPr>
                <w:rStyle w:val="15"/>
                <w:rFonts w:eastAsia="宋体"/>
                <w:color w:val="auto"/>
                <w:lang w:val="en-US" w:eastAsia="zh-CN" w:bidi="ar"/>
              </w:rPr>
              <w:t>&gt;100%</w:t>
            </w:r>
            <w:r>
              <w:rPr>
                <w:rStyle w:val="14"/>
                <w:color w:val="auto"/>
                <w:lang w:val="en-US" w:eastAsia="zh-CN" w:bidi="ar"/>
              </w:rPr>
              <w:t>，计</w:t>
            </w:r>
            <w:r>
              <w:rPr>
                <w:rStyle w:val="15"/>
                <w:rFonts w:eastAsia="宋体"/>
                <w:color w:val="auto"/>
                <w:lang w:val="en-US" w:eastAsia="zh-CN" w:bidi="ar"/>
              </w:rPr>
              <w:t>0</w:t>
            </w:r>
            <w:r>
              <w:rPr>
                <w:rStyle w:val="14"/>
                <w:color w:val="auto"/>
                <w:lang w:val="en-US" w:eastAsia="zh-CN" w:bidi="ar"/>
              </w:rPr>
              <w:t>分。</w:t>
            </w:r>
          </w:p>
        </w:tc>
        <w:tc>
          <w:tcPr>
            <w:tcW w:w="2115" w:type="dxa"/>
            <w:tcBorders>
              <w:tl2br w:val="nil"/>
              <w:tr2bl w:val="nil"/>
            </w:tcBorders>
            <w:noWrap w:val="0"/>
            <w:vAlign w:val="center"/>
          </w:tcPr>
          <w:p w14:paraId="4631B7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493057E">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2</w:t>
            </w:r>
          </w:p>
        </w:tc>
      </w:tr>
      <w:tr w14:paraId="3218D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0B83E91B">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1E2AA8CE">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4F820CF9">
            <w:pPr>
              <w:keepNext w:val="0"/>
              <w:keepLines w:val="0"/>
              <w:widowControl/>
              <w:suppressLineNumbers w:val="0"/>
              <w:jc w:val="center"/>
              <w:textAlignment w:val="center"/>
              <w:rPr>
                <w:rStyle w:val="15"/>
                <w:rFonts w:eastAsia="宋体"/>
                <w:color w:val="auto"/>
                <w:lang w:val="en-US" w:eastAsia="zh-CN" w:bidi="ar"/>
              </w:rPr>
            </w:pP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p>
          <w:p w14:paraId="73FA10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控制率</w:t>
            </w:r>
          </w:p>
        </w:tc>
        <w:tc>
          <w:tcPr>
            <w:tcW w:w="495" w:type="dxa"/>
            <w:tcBorders>
              <w:tl2br w:val="nil"/>
              <w:tr2bl w:val="nil"/>
            </w:tcBorders>
            <w:noWrap w:val="0"/>
            <w:vAlign w:val="center"/>
          </w:tcPr>
          <w:p w14:paraId="204296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2570" w:type="dxa"/>
            <w:tcBorders>
              <w:tl2br w:val="nil"/>
              <w:tr2bl w:val="nil"/>
            </w:tcBorders>
            <w:noWrap w:val="0"/>
            <w:vAlign w:val="center"/>
          </w:tcPr>
          <w:p w14:paraId="17C27EF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部门（单位）本年度</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实际支出数与预算安排数的比率，用以反映和考核部门（单位）对</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的实际控制程度。</w:t>
            </w:r>
          </w:p>
        </w:tc>
        <w:tc>
          <w:tcPr>
            <w:tcW w:w="5112" w:type="dxa"/>
            <w:tcBorders>
              <w:tl2br w:val="nil"/>
              <w:tr2bl w:val="nil"/>
            </w:tcBorders>
            <w:noWrap w:val="0"/>
            <w:vAlign w:val="center"/>
          </w:tcPr>
          <w:p w14:paraId="0CF83F43">
            <w:pPr>
              <w:keepNext w:val="0"/>
              <w:keepLines w:val="0"/>
              <w:widowControl/>
              <w:suppressLineNumbers w:val="0"/>
              <w:jc w:val="left"/>
              <w:textAlignment w:val="center"/>
              <w:rPr>
                <w:rStyle w:val="14"/>
                <w:color w:val="auto"/>
                <w:lang w:val="en-US" w:eastAsia="zh-CN" w:bidi="ar"/>
              </w:rPr>
            </w:pP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控制率</w:t>
            </w:r>
            <w:r>
              <w:rPr>
                <w:rStyle w:val="15"/>
                <w:rFonts w:eastAsia="宋体"/>
                <w:color w:val="auto"/>
                <w:lang w:val="en-US" w:eastAsia="zh-CN" w:bidi="ar"/>
              </w:rPr>
              <w:t>=</w:t>
            </w:r>
            <w:r>
              <w:rPr>
                <w:rStyle w:val="14"/>
                <w:color w:val="auto"/>
                <w:lang w:val="en-US" w:eastAsia="zh-CN" w:bidi="ar"/>
              </w:rPr>
              <w:t>（</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实际支出数</w:t>
            </w:r>
            <w:r>
              <w:rPr>
                <w:rStyle w:val="15"/>
                <w:rFonts w:eastAsia="宋体"/>
                <w:color w:val="auto"/>
                <w:lang w:val="en-US" w:eastAsia="zh-CN" w:bidi="ar"/>
              </w:rPr>
              <w:t>/“</w:t>
            </w:r>
            <w:r>
              <w:rPr>
                <w:rStyle w:val="14"/>
                <w:color w:val="auto"/>
                <w:lang w:val="en-US" w:eastAsia="zh-CN" w:bidi="ar"/>
              </w:rPr>
              <w:t>三公经费</w:t>
            </w:r>
            <w:r>
              <w:rPr>
                <w:rStyle w:val="15"/>
                <w:rFonts w:eastAsia="宋体"/>
                <w:color w:val="auto"/>
                <w:lang w:val="en-US" w:eastAsia="zh-CN" w:bidi="ar"/>
              </w:rPr>
              <w:t>”</w:t>
            </w:r>
            <w:r>
              <w:rPr>
                <w:rStyle w:val="14"/>
                <w:color w:val="auto"/>
                <w:lang w:val="en-US" w:eastAsia="zh-CN" w:bidi="ar"/>
              </w:rPr>
              <w:t>预算安排数）</w:t>
            </w:r>
            <w:r>
              <w:rPr>
                <w:rStyle w:val="15"/>
                <w:rFonts w:eastAsia="宋体"/>
                <w:color w:val="auto"/>
                <w:lang w:val="en-US" w:eastAsia="zh-CN" w:bidi="ar"/>
              </w:rPr>
              <w:t>×100%</w:t>
            </w:r>
            <w:r>
              <w:rPr>
                <w:rStyle w:val="14"/>
                <w:color w:val="auto"/>
                <w:lang w:val="en-US" w:eastAsia="zh-CN" w:bidi="ar"/>
              </w:rPr>
              <w:t>。</w:t>
            </w:r>
          </w:p>
          <w:p w14:paraId="751598E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该项得分，控制率</w:t>
            </w:r>
            <w:r>
              <w:rPr>
                <w:rStyle w:val="15"/>
                <w:rFonts w:eastAsia="宋体"/>
                <w:color w:val="auto"/>
                <w:lang w:val="en-US" w:eastAsia="zh-CN" w:bidi="ar"/>
              </w:rPr>
              <w:t>≤100%</w:t>
            </w:r>
            <w:r>
              <w:rPr>
                <w:rStyle w:val="14"/>
                <w:color w:val="auto"/>
                <w:lang w:val="en-US" w:eastAsia="zh-CN" w:bidi="ar"/>
              </w:rPr>
              <w:t>，计</w:t>
            </w:r>
            <w:r>
              <w:rPr>
                <w:rStyle w:val="15"/>
                <w:rFonts w:eastAsia="宋体"/>
                <w:color w:val="auto"/>
                <w:lang w:val="en-US" w:eastAsia="zh-CN" w:bidi="ar"/>
              </w:rPr>
              <w:t>2</w:t>
            </w:r>
            <w:r>
              <w:rPr>
                <w:rStyle w:val="14"/>
                <w:color w:val="auto"/>
                <w:lang w:val="en-US" w:eastAsia="zh-CN" w:bidi="ar"/>
              </w:rPr>
              <w:t>分，控制率</w:t>
            </w:r>
            <w:r>
              <w:rPr>
                <w:rStyle w:val="15"/>
                <w:rFonts w:eastAsia="宋体"/>
                <w:color w:val="auto"/>
                <w:lang w:val="en-US" w:eastAsia="zh-CN" w:bidi="ar"/>
              </w:rPr>
              <w:t>&gt;100%</w:t>
            </w:r>
            <w:r>
              <w:rPr>
                <w:rStyle w:val="14"/>
                <w:color w:val="auto"/>
                <w:lang w:val="en-US" w:eastAsia="zh-CN" w:bidi="ar"/>
              </w:rPr>
              <w:t>，计</w:t>
            </w:r>
            <w:r>
              <w:rPr>
                <w:rStyle w:val="15"/>
                <w:rFonts w:eastAsia="宋体"/>
                <w:color w:val="auto"/>
                <w:lang w:val="en-US" w:eastAsia="zh-CN" w:bidi="ar"/>
              </w:rPr>
              <w:t>0</w:t>
            </w:r>
            <w:r>
              <w:rPr>
                <w:rStyle w:val="14"/>
                <w:color w:val="auto"/>
                <w:lang w:val="en-US" w:eastAsia="zh-CN" w:bidi="ar"/>
              </w:rPr>
              <w:t>分。</w:t>
            </w:r>
          </w:p>
        </w:tc>
        <w:tc>
          <w:tcPr>
            <w:tcW w:w="2115" w:type="dxa"/>
            <w:tcBorders>
              <w:tl2br w:val="nil"/>
              <w:tr2bl w:val="nil"/>
            </w:tcBorders>
            <w:noWrap w:val="0"/>
            <w:vAlign w:val="center"/>
          </w:tcPr>
          <w:p w14:paraId="7C1BA0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275D424C">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2</w:t>
            </w:r>
          </w:p>
        </w:tc>
      </w:tr>
      <w:tr w14:paraId="68C6A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3FB51D20">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54536AEA">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30F33CFC">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政府采购</w:t>
            </w:r>
          </w:p>
          <w:p w14:paraId="0AF46099">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执行率和</w:t>
            </w:r>
          </w:p>
          <w:p w14:paraId="6D7B4F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规范性</w:t>
            </w:r>
          </w:p>
        </w:tc>
        <w:tc>
          <w:tcPr>
            <w:tcW w:w="495" w:type="dxa"/>
            <w:tcBorders>
              <w:tl2br w:val="nil"/>
              <w:tr2bl w:val="nil"/>
            </w:tcBorders>
            <w:noWrap w:val="0"/>
            <w:vAlign w:val="center"/>
          </w:tcPr>
          <w:p w14:paraId="64F87F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2570" w:type="dxa"/>
            <w:tcBorders>
              <w:tl2br w:val="nil"/>
              <w:tr2bl w:val="nil"/>
            </w:tcBorders>
            <w:noWrap w:val="0"/>
            <w:vAlign w:val="center"/>
          </w:tcPr>
          <w:p w14:paraId="012B9B7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60F6205F">
            <w:pPr>
              <w:keepNext w:val="0"/>
              <w:keepLines w:val="0"/>
              <w:widowControl/>
              <w:suppressLineNumbers w:val="0"/>
              <w:jc w:val="left"/>
              <w:textAlignment w:val="center"/>
              <w:rPr>
                <w:rStyle w:val="14"/>
                <w:color w:val="auto"/>
                <w:lang w:val="en-US" w:eastAsia="zh-CN" w:bidi="ar"/>
              </w:rPr>
            </w:pPr>
          </w:p>
          <w:p w14:paraId="1B05C1E8">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①政府采购预算执行率</w:t>
            </w:r>
            <w:r>
              <w:rPr>
                <w:rStyle w:val="15"/>
                <w:rFonts w:eastAsia="宋体"/>
                <w:color w:val="auto"/>
                <w:lang w:val="en-US" w:eastAsia="zh-CN" w:bidi="ar"/>
              </w:rPr>
              <w:t>=</w:t>
            </w:r>
            <w:r>
              <w:rPr>
                <w:rStyle w:val="14"/>
                <w:color w:val="auto"/>
                <w:lang w:val="en-US" w:eastAsia="zh-CN" w:bidi="ar"/>
              </w:rPr>
              <w:t>（实际政府采购金额</w:t>
            </w:r>
            <w:r>
              <w:rPr>
                <w:rStyle w:val="15"/>
                <w:rFonts w:eastAsia="宋体"/>
                <w:color w:val="auto"/>
                <w:lang w:val="en-US" w:eastAsia="zh-CN" w:bidi="ar"/>
              </w:rPr>
              <w:t>/</w:t>
            </w:r>
            <w:r>
              <w:rPr>
                <w:rStyle w:val="14"/>
                <w:color w:val="auto"/>
                <w:lang w:val="en-US" w:eastAsia="zh-CN" w:bidi="ar"/>
              </w:rPr>
              <w:t>政府采购预算数）</w:t>
            </w:r>
            <w:r>
              <w:rPr>
                <w:rStyle w:val="15"/>
                <w:rFonts w:eastAsia="宋体"/>
                <w:color w:val="auto"/>
                <w:lang w:val="en-US" w:eastAsia="zh-CN" w:bidi="ar"/>
              </w:rPr>
              <w:t>×100%</w:t>
            </w:r>
            <w:r>
              <w:rPr>
                <w:rStyle w:val="14"/>
                <w:color w:val="auto"/>
                <w:lang w:val="en-US" w:eastAsia="zh-CN" w:bidi="ar"/>
              </w:rPr>
              <w:t>；</w:t>
            </w:r>
          </w:p>
          <w:p w14:paraId="1BEF53C6">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政府采购预算：采购机关根据事业发展计划和行政任务编制的、并经过规定程序批准的年度政府采购计划。</w:t>
            </w:r>
          </w:p>
          <w:p w14:paraId="3B365EAD">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该项得分，完成本年度采购计划的，政府采购执行率≤</w:t>
            </w:r>
            <w:r>
              <w:rPr>
                <w:rStyle w:val="15"/>
                <w:rFonts w:eastAsia="宋体"/>
                <w:color w:val="auto"/>
                <w:lang w:val="en-US" w:eastAsia="zh-CN" w:bidi="ar"/>
              </w:rPr>
              <w:t>100%</w:t>
            </w:r>
            <w:r>
              <w:rPr>
                <w:rStyle w:val="14"/>
                <w:color w:val="auto"/>
                <w:lang w:val="en-US" w:eastAsia="zh-CN" w:bidi="ar"/>
              </w:rPr>
              <w:t>，计</w:t>
            </w:r>
            <w:r>
              <w:rPr>
                <w:rStyle w:val="15"/>
                <w:rFonts w:eastAsia="宋体"/>
                <w:color w:val="auto"/>
                <w:lang w:val="en-US" w:eastAsia="zh-CN" w:bidi="ar"/>
              </w:rPr>
              <w:t>1</w:t>
            </w:r>
            <w:r>
              <w:rPr>
                <w:rStyle w:val="14"/>
                <w:color w:val="auto"/>
                <w:lang w:val="en-US" w:eastAsia="zh-CN" w:bidi="ar"/>
              </w:rPr>
              <w:t>分，每超过</w:t>
            </w:r>
            <w:r>
              <w:rPr>
                <w:rStyle w:val="15"/>
                <w:rFonts w:eastAsia="宋体"/>
                <w:color w:val="auto"/>
                <w:lang w:val="en-US" w:eastAsia="zh-CN" w:bidi="ar"/>
              </w:rPr>
              <w:t>1%</w:t>
            </w:r>
            <w:r>
              <w:rPr>
                <w:rStyle w:val="14"/>
                <w:color w:val="auto"/>
                <w:lang w:val="en-US" w:eastAsia="zh-CN" w:bidi="ar"/>
              </w:rPr>
              <w:t>扣</w:t>
            </w:r>
            <w:r>
              <w:rPr>
                <w:rStyle w:val="15"/>
                <w:rFonts w:eastAsia="宋体"/>
                <w:color w:val="auto"/>
                <w:lang w:val="en-US" w:eastAsia="zh-CN" w:bidi="ar"/>
              </w:rPr>
              <w:t>0.1</w:t>
            </w:r>
            <w:r>
              <w:rPr>
                <w:rStyle w:val="14"/>
                <w:color w:val="auto"/>
                <w:lang w:val="en-US" w:eastAsia="zh-CN" w:bidi="ar"/>
              </w:rPr>
              <w:t>分，扣完为止；</w:t>
            </w:r>
          </w:p>
          <w:p w14:paraId="050C83E0">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②所有项目依法采购，无规避政府采购或化整为零进行政府采购的行为，并履行验收手续，计0.5分，否则不得分；</w:t>
            </w:r>
          </w:p>
          <w:p w14:paraId="11C51A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③预算单位建立了政府采购内控制度，计0.5分，否则不得分。</w:t>
            </w:r>
          </w:p>
        </w:tc>
        <w:tc>
          <w:tcPr>
            <w:tcW w:w="2115" w:type="dxa"/>
            <w:tcBorders>
              <w:tl2br w:val="nil"/>
              <w:tr2bl w:val="nil"/>
            </w:tcBorders>
            <w:noWrap w:val="0"/>
            <w:vAlign w:val="center"/>
          </w:tcPr>
          <w:p w14:paraId="587D809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00045290">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2</w:t>
            </w:r>
          </w:p>
        </w:tc>
      </w:tr>
      <w:tr w14:paraId="50D1D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4BCCFCC7">
            <w:pPr>
              <w:jc w:val="center"/>
              <w:rPr>
                <w:rFonts w:hint="eastAsia" w:ascii="宋体" w:hAnsi="宋体" w:eastAsia="宋体" w:cs="宋体"/>
                <w:i w:val="0"/>
                <w:iCs w:val="0"/>
                <w:color w:val="auto"/>
                <w:sz w:val="18"/>
                <w:szCs w:val="18"/>
                <w:u w:val="none"/>
              </w:rPr>
            </w:pPr>
          </w:p>
        </w:tc>
        <w:tc>
          <w:tcPr>
            <w:tcW w:w="870" w:type="dxa"/>
            <w:vMerge w:val="restart"/>
            <w:tcBorders>
              <w:tl2br w:val="nil"/>
              <w:tr2bl w:val="nil"/>
            </w:tcBorders>
            <w:noWrap w:val="0"/>
            <w:vAlign w:val="center"/>
          </w:tcPr>
          <w:p w14:paraId="435DC2C7">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预算</w:t>
            </w:r>
          </w:p>
          <w:p w14:paraId="6C0B82DE">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管理</w:t>
            </w:r>
          </w:p>
          <w:p w14:paraId="6147D2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14"/>
                <w:color w:val="auto"/>
                <w:lang w:val="en-US" w:eastAsia="zh-CN" w:bidi="ar"/>
              </w:rPr>
              <w:t>（</w:t>
            </w:r>
            <w:r>
              <w:rPr>
                <w:rStyle w:val="15"/>
                <w:rFonts w:eastAsia="宋体"/>
                <w:color w:val="auto"/>
                <w:lang w:val="en-US" w:eastAsia="zh-CN" w:bidi="ar"/>
              </w:rPr>
              <w:t>29</w:t>
            </w:r>
            <w:r>
              <w:rPr>
                <w:rStyle w:val="14"/>
                <w:color w:val="auto"/>
                <w:lang w:val="en-US" w:eastAsia="zh-CN" w:bidi="ar"/>
              </w:rPr>
              <w:t>分）</w:t>
            </w:r>
          </w:p>
        </w:tc>
        <w:tc>
          <w:tcPr>
            <w:tcW w:w="1050" w:type="dxa"/>
            <w:tcBorders>
              <w:tl2br w:val="nil"/>
              <w:tr2bl w:val="nil"/>
            </w:tcBorders>
            <w:noWrap w:val="0"/>
            <w:vAlign w:val="center"/>
          </w:tcPr>
          <w:p w14:paraId="23A90632">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管理制度</w:t>
            </w:r>
          </w:p>
          <w:p w14:paraId="0B0230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健全性</w:t>
            </w:r>
          </w:p>
        </w:tc>
        <w:tc>
          <w:tcPr>
            <w:tcW w:w="495" w:type="dxa"/>
            <w:tcBorders>
              <w:tl2br w:val="nil"/>
              <w:tr2bl w:val="nil"/>
            </w:tcBorders>
            <w:noWrap w:val="0"/>
            <w:vAlign w:val="center"/>
          </w:tcPr>
          <w:p w14:paraId="3DA154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2570" w:type="dxa"/>
            <w:tcBorders>
              <w:tl2br w:val="nil"/>
              <w:tr2bl w:val="nil"/>
            </w:tcBorders>
            <w:noWrap w:val="0"/>
            <w:vAlign w:val="center"/>
          </w:tcPr>
          <w:p w14:paraId="313DD0F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4057912D">
            <w:pPr>
              <w:keepNext w:val="0"/>
              <w:keepLines w:val="0"/>
              <w:widowControl/>
              <w:suppressLineNumbers w:val="0"/>
              <w:jc w:val="left"/>
              <w:textAlignment w:val="center"/>
              <w:rPr>
                <w:rStyle w:val="14"/>
                <w:color w:val="auto"/>
                <w:lang w:val="en-US" w:eastAsia="zh-CN" w:bidi="ar"/>
              </w:rPr>
            </w:pPr>
          </w:p>
          <w:p w14:paraId="20CF4948">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①是否已制定或具有预算资金管理办法、内部财务管理制度、会计核算制度等管理制度；</w:t>
            </w:r>
          </w:p>
          <w:p w14:paraId="158FBB5C">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②相关管理制度是否合法、合规、完整；</w:t>
            </w:r>
          </w:p>
          <w:p w14:paraId="244BC498">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③相关管理制度是否得到有效执行。</w:t>
            </w:r>
          </w:p>
          <w:p w14:paraId="25D77416">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④会计人员、机构是否按规定设置；</w:t>
            </w:r>
          </w:p>
          <w:p w14:paraId="401660F5">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⑤会计基础工作是否健全；</w:t>
            </w:r>
          </w:p>
          <w:p w14:paraId="49831730">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⑥会计档案是否符合规定要求；</w:t>
            </w:r>
          </w:p>
          <w:p w14:paraId="2B62A53A">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⑦项目管理是否规范（包括项目立项、申报、招投标、合同或协议要素、制度建立、按时完工等）。</w:t>
            </w:r>
          </w:p>
          <w:p w14:paraId="1B3F20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以上情况每发现一例不符合要求的扣</w:t>
            </w:r>
            <w:r>
              <w:rPr>
                <w:rStyle w:val="15"/>
                <w:rFonts w:eastAsia="宋体"/>
                <w:color w:val="auto"/>
                <w:lang w:val="en-US" w:eastAsia="zh-CN" w:bidi="ar"/>
              </w:rPr>
              <w:t>1</w:t>
            </w:r>
            <w:r>
              <w:rPr>
                <w:rStyle w:val="14"/>
                <w:color w:val="auto"/>
                <w:lang w:val="en-US" w:eastAsia="zh-CN" w:bidi="ar"/>
              </w:rPr>
              <w:t>分，扣完为止。</w:t>
            </w:r>
          </w:p>
        </w:tc>
        <w:tc>
          <w:tcPr>
            <w:tcW w:w="2115" w:type="dxa"/>
            <w:tcBorders>
              <w:tl2br w:val="nil"/>
              <w:tr2bl w:val="nil"/>
            </w:tcBorders>
            <w:noWrap w:val="0"/>
            <w:vAlign w:val="center"/>
          </w:tcPr>
          <w:p w14:paraId="5878D0E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部门（单位）管理制度。</w:t>
            </w:r>
          </w:p>
        </w:tc>
        <w:tc>
          <w:tcPr>
            <w:tcW w:w="586" w:type="dxa"/>
            <w:tcBorders>
              <w:tl2br w:val="nil"/>
              <w:tr2bl w:val="nil"/>
            </w:tcBorders>
            <w:noWrap w:val="0"/>
            <w:vAlign w:val="center"/>
          </w:tcPr>
          <w:p w14:paraId="28ECB507">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6</w:t>
            </w:r>
          </w:p>
        </w:tc>
      </w:tr>
      <w:tr w14:paraId="5B1C2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03F1F716">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3D4E8B34">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380FB8C4">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资金使用</w:t>
            </w:r>
          </w:p>
          <w:p w14:paraId="077493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合规性</w:t>
            </w:r>
          </w:p>
        </w:tc>
        <w:tc>
          <w:tcPr>
            <w:tcW w:w="495" w:type="dxa"/>
            <w:tcBorders>
              <w:tl2br w:val="nil"/>
              <w:tr2bl w:val="nil"/>
            </w:tcBorders>
            <w:noWrap w:val="0"/>
            <w:vAlign w:val="center"/>
          </w:tcPr>
          <w:p w14:paraId="441963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2570" w:type="dxa"/>
            <w:tcBorders>
              <w:tl2br w:val="nil"/>
              <w:tr2bl w:val="nil"/>
            </w:tcBorders>
            <w:noWrap w:val="0"/>
            <w:vAlign w:val="center"/>
          </w:tcPr>
          <w:p w14:paraId="068C921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34F52B97">
            <w:pPr>
              <w:keepNext w:val="0"/>
              <w:keepLines w:val="0"/>
              <w:widowControl/>
              <w:suppressLineNumbers w:val="0"/>
              <w:jc w:val="left"/>
              <w:textAlignment w:val="center"/>
              <w:rPr>
                <w:rStyle w:val="14"/>
                <w:color w:val="auto"/>
                <w:lang w:val="en-US" w:eastAsia="zh-CN" w:bidi="ar"/>
              </w:rPr>
            </w:pPr>
          </w:p>
          <w:p w14:paraId="3649974E">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①符合国家财经法规和财务管理制度以及有关专项资金管理办法的规定，计</w:t>
            </w:r>
            <w:r>
              <w:rPr>
                <w:rStyle w:val="15"/>
                <w:rFonts w:eastAsia="宋体"/>
                <w:color w:val="auto"/>
                <w:lang w:val="en-US" w:eastAsia="zh-CN" w:bidi="ar"/>
              </w:rPr>
              <w:t>1</w:t>
            </w:r>
            <w:r>
              <w:rPr>
                <w:rStyle w:val="14"/>
                <w:color w:val="auto"/>
                <w:lang w:val="en-US" w:eastAsia="zh-CN" w:bidi="ar"/>
              </w:rPr>
              <w:t>分，</w:t>
            </w:r>
            <w:r>
              <w:rPr>
                <w:rStyle w:val="15"/>
                <w:rFonts w:eastAsia="宋体"/>
                <w:color w:val="auto"/>
                <w:lang w:val="en-US" w:eastAsia="zh-CN" w:bidi="ar"/>
              </w:rPr>
              <w:t>1</w:t>
            </w:r>
            <w:r>
              <w:rPr>
                <w:rStyle w:val="14"/>
                <w:color w:val="auto"/>
                <w:lang w:val="en-US" w:eastAsia="zh-CN" w:bidi="ar"/>
              </w:rPr>
              <w:t>例不符合扣</w:t>
            </w:r>
            <w:r>
              <w:rPr>
                <w:rStyle w:val="15"/>
                <w:rFonts w:eastAsia="宋体"/>
                <w:color w:val="auto"/>
                <w:lang w:val="en-US" w:eastAsia="zh-CN" w:bidi="ar"/>
              </w:rPr>
              <w:t>0.5</w:t>
            </w:r>
            <w:r>
              <w:rPr>
                <w:rStyle w:val="14"/>
                <w:color w:val="auto"/>
                <w:lang w:val="en-US" w:eastAsia="zh-CN" w:bidi="ar"/>
              </w:rPr>
              <w:t>分；</w:t>
            </w:r>
          </w:p>
          <w:p w14:paraId="03635AE0">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②资金的支付有完整的审批程序和手续，计</w:t>
            </w:r>
            <w:r>
              <w:rPr>
                <w:rStyle w:val="15"/>
                <w:rFonts w:eastAsia="宋体"/>
                <w:color w:val="auto"/>
                <w:lang w:val="en-US" w:eastAsia="zh-CN" w:bidi="ar"/>
              </w:rPr>
              <w:t>1</w:t>
            </w:r>
            <w:r>
              <w:rPr>
                <w:rStyle w:val="14"/>
                <w:color w:val="auto"/>
                <w:lang w:val="en-US" w:eastAsia="zh-CN" w:bidi="ar"/>
              </w:rPr>
              <w:t>分，</w:t>
            </w:r>
            <w:r>
              <w:rPr>
                <w:rStyle w:val="15"/>
                <w:rFonts w:eastAsia="宋体"/>
                <w:color w:val="auto"/>
                <w:lang w:val="en-US" w:eastAsia="zh-CN" w:bidi="ar"/>
              </w:rPr>
              <w:t>1</w:t>
            </w:r>
            <w:r>
              <w:rPr>
                <w:rStyle w:val="14"/>
                <w:color w:val="auto"/>
                <w:lang w:val="en-US" w:eastAsia="zh-CN" w:bidi="ar"/>
              </w:rPr>
              <w:t>例不符合扣</w:t>
            </w:r>
            <w:r>
              <w:rPr>
                <w:rStyle w:val="15"/>
                <w:rFonts w:eastAsia="宋体"/>
                <w:color w:val="auto"/>
                <w:lang w:val="en-US" w:eastAsia="zh-CN" w:bidi="ar"/>
              </w:rPr>
              <w:t>0.5</w:t>
            </w:r>
            <w:r>
              <w:rPr>
                <w:rStyle w:val="14"/>
                <w:color w:val="auto"/>
                <w:lang w:val="en-US" w:eastAsia="zh-CN" w:bidi="ar"/>
              </w:rPr>
              <w:t>分；</w:t>
            </w:r>
          </w:p>
          <w:p w14:paraId="2DE3D358">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③重大项目开支和大额资金使用经过单位党组集体研究决策，计</w:t>
            </w:r>
            <w:r>
              <w:rPr>
                <w:rStyle w:val="15"/>
                <w:rFonts w:eastAsia="宋体"/>
                <w:color w:val="auto"/>
                <w:lang w:val="en-US" w:eastAsia="zh-CN" w:bidi="ar"/>
              </w:rPr>
              <w:t>1</w:t>
            </w:r>
            <w:r>
              <w:rPr>
                <w:rStyle w:val="14"/>
                <w:color w:val="auto"/>
                <w:lang w:val="en-US" w:eastAsia="zh-CN" w:bidi="ar"/>
              </w:rPr>
              <w:t>分，</w:t>
            </w:r>
            <w:r>
              <w:rPr>
                <w:rStyle w:val="15"/>
                <w:rFonts w:eastAsia="宋体"/>
                <w:color w:val="auto"/>
                <w:lang w:val="en-US" w:eastAsia="zh-CN" w:bidi="ar"/>
              </w:rPr>
              <w:t>1</w:t>
            </w:r>
            <w:r>
              <w:rPr>
                <w:rStyle w:val="14"/>
                <w:color w:val="auto"/>
                <w:lang w:val="en-US" w:eastAsia="zh-CN" w:bidi="ar"/>
              </w:rPr>
              <w:t>例不符合扣</w:t>
            </w:r>
            <w:r>
              <w:rPr>
                <w:rStyle w:val="15"/>
                <w:rFonts w:eastAsia="宋体"/>
                <w:color w:val="auto"/>
                <w:lang w:val="en-US" w:eastAsia="zh-CN" w:bidi="ar"/>
              </w:rPr>
              <w:t>0.5</w:t>
            </w:r>
            <w:r>
              <w:rPr>
                <w:rStyle w:val="14"/>
                <w:color w:val="auto"/>
                <w:lang w:val="en-US" w:eastAsia="zh-CN" w:bidi="ar"/>
              </w:rPr>
              <w:t>分；</w:t>
            </w:r>
          </w:p>
          <w:p w14:paraId="200F49DA">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④符合项目预算批复或合同规定的用途，计</w:t>
            </w:r>
            <w:r>
              <w:rPr>
                <w:rStyle w:val="15"/>
                <w:rFonts w:eastAsia="宋体"/>
                <w:color w:val="auto"/>
                <w:lang w:val="en-US" w:eastAsia="zh-CN" w:bidi="ar"/>
              </w:rPr>
              <w:t>1</w:t>
            </w:r>
            <w:r>
              <w:rPr>
                <w:rStyle w:val="14"/>
                <w:color w:val="auto"/>
                <w:lang w:val="en-US" w:eastAsia="zh-CN" w:bidi="ar"/>
              </w:rPr>
              <w:t>分，</w:t>
            </w:r>
            <w:r>
              <w:rPr>
                <w:rStyle w:val="15"/>
                <w:rFonts w:eastAsia="宋体"/>
                <w:color w:val="auto"/>
                <w:lang w:val="en-US" w:eastAsia="zh-CN" w:bidi="ar"/>
              </w:rPr>
              <w:t>1</w:t>
            </w:r>
            <w:r>
              <w:rPr>
                <w:rStyle w:val="14"/>
                <w:color w:val="auto"/>
                <w:lang w:val="en-US" w:eastAsia="zh-CN" w:bidi="ar"/>
              </w:rPr>
              <w:t>例不符合扣</w:t>
            </w:r>
            <w:r>
              <w:rPr>
                <w:rStyle w:val="15"/>
                <w:rFonts w:eastAsia="宋体"/>
                <w:color w:val="auto"/>
                <w:lang w:val="en-US" w:eastAsia="zh-CN" w:bidi="ar"/>
              </w:rPr>
              <w:t>0.5</w:t>
            </w:r>
            <w:r>
              <w:rPr>
                <w:rStyle w:val="14"/>
                <w:color w:val="auto"/>
                <w:lang w:val="en-US" w:eastAsia="zh-CN" w:bidi="ar"/>
              </w:rPr>
              <w:t>分；</w:t>
            </w:r>
          </w:p>
          <w:p w14:paraId="130C562D">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⑤没有截留、挤占、挪用、虚列支出等情况，计</w:t>
            </w:r>
            <w:r>
              <w:rPr>
                <w:rStyle w:val="15"/>
                <w:rFonts w:eastAsia="宋体"/>
                <w:color w:val="auto"/>
                <w:lang w:val="en-US" w:eastAsia="zh-CN" w:bidi="ar"/>
              </w:rPr>
              <w:t>1</w:t>
            </w:r>
            <w:r>
              <w:rPr>
                <w:rStyle w:val="14"/>
                <w:color w:val="auto"/>
                <w:lang w:val="en-US" w:eastAsia="zh-CN" w:bidi="ar"/>
              </w:rPr>
              <w:t>分，发生</w:t>
            </w:r>
            <w:r>
              <w:rPr>
                <w:rStyle w:val="15"/>
                <w:rFonts w:eastAsia="宋体"/>
                <w:color w:val="auto"/>
                <w:lang w:val="en-US" w:eastAsia="zh-CN" w:bidi="ar"/>
              </w:rPr>
              <w:t>1</w:t>
            </w:r>
            <w:r>
              <w:rPr>
                <w:rStyle w:val="14"/>
                <w:color w:val="auto"/>
                <w:lang w:val="en-US" w:eastAsia="zh-CN" w:bidi="ar"/>
              </w:rPr>
              <w:t>例不符合本指标的现象</w:t>
            </w:r>
            <w:r>
              <w:rPr>
                <w:rStyle w:val="15"/>
                <w:rFonts w:eastAsia="宋体"/>
                <w:color w:val="auto"/>
                <w:lang w:val="en-US" w:eastAsia="zh-CN" w:bidi="ar"/>
              </w:rPr>
              <w:t>7</w:t>
            </w:r>
            <w:r>
              <w:rPr>
                <w:rStyle w:val="14"/>
                <w:color w:val="auto"/>
                <w:lang w:val="en-US" w:eastAsia="zh-CN" w:bidi="ar"/>
              </w:rPr>
              <w:t>分全扣；</w:t>
            </w:r>
          </w:p>
          <w:p w14:paraId="06D61C8B">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⑥原始凭证的取得真实有效，计</w:t>
            </w:r>
            <w:r>
              <w:rPr>
                <w:rStyle w:val="15"/>
                <w:rFonts w:eastAsia="宋体"/>
                <w:color w:val="auto"/>
                <w:lang w:val="en-US" w:eastAsia="zh-CN" w:bidi="ar"/>
              </w:rPr>
              <w:t>1</w:t>
            </w:r>
            <w:r>
              <w:rPr>
                <w:rStyle w:val="14"/>
                <w:color w:val="auto"/>
                <w:lang w:val="en-US" w:eastAsia="zh-CN" w:bidi="ar"/>
              </w:rPr>
              <w:t>分，</w:t>
            </w:r>
            <w:r>
              <w:rPr>
                <w:rStyle w:val="15"/>
                <w:rFonts w:eastAsia="宋体"/>
                <w:color w:val="auto"/>
                <w:lang w:val="en-US" w:eastAsia="zh-CN" w:bidi="ar"/>
              </w:rPr>
              <w:t>1</w:t>
            </w:r>
            <w:r>
              <w:rPr>
                <w:rStyle w:val="14"/>
                <w:color w:val="auto"/>
                <w:lang w:val="en-US" w:eastAsia="zh-CN" w:bidi="ar"/>
              </w:rPr>
              <w:t>例不符合扣</w:t>
            </w:r>
            <w:r>
              <w:rPr>
                <w:rStyle w:val="15"/>
                <w:rFonts w:eastAsia="宋体"/>
                <w:color w:val="auto"/>
                <w:lang w:val="en-US" w:eastAsia="zh-CN" w:bidi="ar"/>
              </w:rPr>
              <w:t>0.5</w:t>
            </w:r>
            <w:r>
              <w:rPr>
                <w:rStyle w:val="14"/>
                <w:color w:val="auto"/>
                <w:lang w:val="en-US" w:eastAsia="zh-CN" w:bidi="ar"/>
              </w:rPr>
              <w:t>分；</w:t>
            </w:r>
          </w:p>
          <w:p w14:paraId="3A071C0E">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⑦无超标准发放津补贴、奖金、无用公款支付应个人支付的款项，计</w:t>
            </w:r>
            <w:r>
              <w:rPr>
                <w:rStyle w:val="15"/>
                <w:rFonts w:eastAsia="宋体"/>
                <w:color w:val="auto"/>
                <w:lang w:val="en-US" w:eastAsia="zh-CN" w:bidi="ar"/>
              </w:rPr>
              <w:t>1</w:t>
            </w:r>
            <w:r>
              <w:rPr>
                <w:rStyle w:val="14"/>
                <w:color w:val="auto"/>
                <w:lang w:val="en-US" w:eastAsia="zh-CN" w:bidi="ar"/>
              </w:rPr>
              <w:t>分，</w:t>
            </w:r>
            <w:r>
              <w:rPr>
                <w:rStyle w:val="15"/>
                <w:rFonts w:eastAsia="宋体"/>
                <w:color w:val="auto"/>
                <w:lang w:val="en-US" w:eastAsia="zh-CN" w:bidi="ar"/>
              </w:rPr>
              <w:t>1</w:t>
            </w:r>
            <w:r>
              <w:rPr>
                <w:rStyle w:val="14"/>
                <w:color w:val="auto"/>
                <w:lang w:val="en-US" w:eastAsia="zh-CN" w:bidi="ar"/>
              </w:rPr>
              <w:t>例不符合扣</w:t>
            </w:r>
            <w:r>
              <w:rPr>
                <w:rStyle w:val="15"/>
                <w:rFonts w:eastAsia="宋体"/>
                <w:color w:val="auto"/>
                <w:lang w:val="en-US" w:eastAsia="zh-CN" w:bidi="ar"/>
              </w:rPr>
              <w:t>0.5</w:t>
            </w:r>
            <w:r>
              <w:rPr>
                <w:rStyle w:val="14"/>
                <w:color w:val="auto"/>
                <w:lang w:val="en-US" w:eastAsia="zh-CN" w:bidi="ar"/>
              </w:rPr>
              <w:t>分。</w:t>
            </w:r>
          </w:p>
          <w:p w14:paraId="139391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41250D1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51173A27">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7</w:t>
            </w:r>
          </w:p>
        </w:tc>
      </w:tr>
      <w:tr w14:paraId="5F0DE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4C8EC1CE">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344E1057">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16C056C4">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信息</w:t>
            </w:r>
          </w:p>
          <w:p w14:paraId="241D36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公开性</w:t>
            </w:r>
          </w:p>
        </w:tc>
        <w:tc>
          <w:tcPr>
            <w:tcW w:w="495" w:type="dxa"/>
            <w:tcBorders>
              <w:tl2br w:val="nil"/>
              <w:tr2bl w:val="nil"/>
            </w:tcBorders>
            <w:noWrap w:val="0"/>
            <w:vAlign w:val="center"/>
          </w:tcPr>
          <w:p w14:paraId="24F728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2570" w:type="dxa"/>
            <w:tcBorders>
              <w:tl2br w:val="nil"/>
              <w:tr2bl w:val="nil"/>
            </w:tcBorders>
            <w:noWrap w:val="0"/>
            <w:vAlign w:val="center"/>
          </w:tcPr>
          <w:p w14:paraId="2D24979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65BDB70E">
            <w:pPr>
              <w:keepNext w:val="0"/>
              <w:keepLines w:val="0"/>
              <w:widowControl/>
              <w:suppressLineNumbers w:val="0"/>
              <w:jc w:val="left"/>
              <w:textAlignment w:val="center"/>
              <w:rPr>
                <w:rStyle w:val="14"/>
                <w:color w:val="auto"/>
                <w:lang w:val="en-US" w:eastAsia="zh-CN" w:bidi="ar"/>
              </w:rPr>
            </w:pPr>
          </w:p>
          <w:p w14:paraId="2522E248">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①无涉密情况的预算单位按规定及时、准确、完整的公开预决算和绩效管理信息，计</w:t>
            </w:r>
            <w:r>
              <w:rPr>
                <w:rStyle w:val="15"/>
                <w:rFonts w:eastAsia="宋体"/>
                <w:color w:val="auto"/>
                <w:lang w:val="en-US" w:eastAsia="zh-CN" w:bidi="ar"/>
              </w:rPr>
              <w:t>1</w:t>
            </w:r>
            <w:r>
              <w:rPr>
                <w:rStyle w:val="14"/>
                <w:color w:val="auto"/>
                <w:lang w:val="en-US" w:eastAsia="zh-CN" w:bidi="ar"/>
              </w:rPr>
              <w:t>分，否则，酌情扣分；</w:t>
            </w:r>
          </w:p>
          <w:p w14:paraId="32F93F43">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②基础数据信息和会计信息资料真实、准确、完整，计</w:t>
            </w:r>
            <w:r>
              <w:rPr>
                <w:rStyle w:val="15"/>
                <w:rFonts w:eastAsia="宋体"/>
                <w:color w:val="auto"/>
                <w:lang w:val="en-US" w:eastAsia="zh-CN" w:bidi="ar"/>
              </w:rPr>
              <w:t>1</w:t>
            </w:r>
            <w:r>
              <w:rPr>
                <w:rStyle w:val="14"/>
                <w:color w:val="auto"/>
                <w:lang w:val="en-US" w:eastAsia="zh-CN" w:bidi="ar"/>
              </w:rPr>
              <w:t>分，否则，酌情扣分。</w:t>
            </w:r>
          </w:p>
          <w:p w14:paraId="0F6942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31E56D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40CF6F5C">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4</w:t>
            </w:r>
          </w:p>
        </w:tc>
      </w:tr>
      <w:tr w14:paraId="6D66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7B813B7A">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4AA1B24E">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204FA14A">
            <w:pPr>
              <w:keepNext w:val="0"/>
              <w:keepLines w:val="0"/>
              <w:widowControl/>
              <w:suppressLineNumbers w:val="0"/>
              <w:jc w:val="center"/>
              <w:textAlignment w:val="center"/>
              <w:rPr>
                <w:rStyle w:val="15"/>
                <w:rFonts w:eastAsia="宋体"/>
                <w:color w:val="auto"/>
                <w:lang w:val="en-US" w:eastAsia="zh-CN" w:bidi="ar"/>
              </w:rPr>
            </w:pPr>
            <w:r>
              <w:rPr>
                <w:rStyle w:val="14"/>
                <w:color w:val="auto"/>
                <w:lang w:val="en-US" w:eastAsia="zh-CN" w:bidi="ar"/>
              </w:rPr>
              <w:t>非税收入</w:t>
            </w:r>
            <w:r>
              <w:rPr>
                <w:rStyle w:val="15"/>
                <w:rFonts w:eastAsia="宋体"/>
                <w:color w:val="auto"/>
                <w:lang w:val="en-US" w:eastAsia="zh-CN" w:bidi="ar"/>
              </w:rPr>
              <w:t xml:space="preserve"> </w:t>
            </w:r>
          </w:p>
          <w:p w14:paraId="32176E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管理</w:t>
            </w:r>
          </w:p>
        </w:tc>
        <w:tc>
          <w:tcPr>
            <w:tcW w:w="495" w:type="dxa"/>
            <w:tcBorders>
              <w:tl2br w:val="nil"/>
              <w:tr2bl w:val="nil"/>
            </w:tcBorders>
            <w:noWrap w:val="0"/>
            <w:vAlign w:val="center"/>
          </w:tcPr>
          <w:p w14:paraId="51C6B3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2570" w:type="dxa"/>
            <w:tcBorders>
              <w:tl2br w:val="nil"/>
              <w:tr2bl w:val="nil"/>
            </w:tcBorders>
            <w:noWrap w:val="0"/>
            <w:vAlign w:val="center"/>
          </w:tcPr>
          <w:p w14:paraId="5047ED2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反映部门非税收入的使用、管理情况。</w:t>
            </w:r>
          </w:p>
        </w:tc>
        <w:tc>
          <w:tcPr>
            <w:tcW w:w="5112" w:type="dxa"/>
            <w:tcBorders>
              <w:tl2br w:val="nil"/>
              <w:tr2bl w:val="nil"/>
            </w:tcBorders>
            <w:noWrap w:val="0"/>
            <w:vAlign w:val="center"/>
          </w:tcPr>
          <w:p w14:paraId="1B87BCCD">
            <w:pPr>
              <w:keepNext w:val="0"/>
              <w:keepLines w:val="0"/>
              <w:widowControl/>
              <w:suppressLineNumbers w:val="0"/>
              <w:jc w:val="left"/>
              <w:textAlignment w:val="center"/>
              <w:rPr>
                <w:rStyle w:val="14"/>
                <w:color w:val="auto"/>
                <w:lang w:val="en-US" w:eastAsia="zh-CN" w:bidi="ar"/>
              </w:rPr>
            </w:pPr>
          </w:p>
          <w:p w14:paraId="0A75BB6C">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①实行收支两条线，计</w:t>
            </w:r>
            <w:r>
              <w:rPr>
                <w:rStyle w:val="15"/>
                <w:rFonts w:eastAsia="宋体"/>
                <w:color w:val="auto"/>
                <w:lang w:val="en-US" w:eastAsia="zh-CN" w:bidi="ar"/>
              </w:rPr>
              <w:t>0.5</w:t>
            </w:r>
            <w:r>
              <w:rPr>
                <w:rStyle w:val="14"/>
                <w:color w:val="auto"/>
                <w:lang w:val="en-US" w:eastAsia="zh-CN" w:bidi="ar"/>
              </w:rPr>
              <w:t>分，否则，计</w:t>
            </w:r>
            <w:r>
              <w:rPr>
                <w:rStyle w:val="15"/>
                <w:rFonts w:eastAsia="宋体"/>
                <w:color w:val="auto"/>
                <w:lang w:val="en-US" w:eastAsia="zh-CN" w:bidi="ar"/>
              </w:rPr>
              <w:t>0</w:t>
            </w:r>
            <w:r>
              <w:rPr>
                <w:rStyle w:val="14"/>
                <w:color w:val="auto"/>
                <w:lang w:val="en-US" w:eastAsia="zh-CN" w:bidi="ar"/>
              </w:rPr>
              <w:t>分；</w:t>
            </w:r>
          </w:p>
          <w:p w14:paraId="21EE35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②未发生截留、坐支或转移，计</w:t>
            </w:r>
            <w:r>
              <w:rPr>
                <w:rStyle w:val="15"/>
                <w:rFonts w:eastAsia="宋体"/>
                <w:color w:val="auto"/>
                <w:lang w:val="en-US" w:eastAsia="zh-CN" w:bidi="ar"/>
              </w:rPr>
              <w:t>0.5</w:t>
            </w:r>
            <w:r>
              <w:rPr>
                <w:rStyle w:val="14"/>
                <w:color w:val="auto"/>
                <w:lang w:val="en-US" w:eastAsia="zh-CN" w:bidi="ar"/>
              </w:rPr>
              <w:t>分，否则，计</w:t>
            </w:r>
            <w:r>
              <w:rPr>
                <w:rStyle w:val="15"/>
                <w:rFonts w:eastAsia="宋体"/>
                <w:color w:val="auto"/>
                <w:lang w:val="en-US" w:eastAsia="zh-CN" w:bidi="ar"/>
              </w:rPr>
              <w:t>0</w:t>
            </w:r>
            <w:r>
              <w:rPr>
                <w:rStyle w:val="14"/>
                <w:color w:val="auto"/>
                <w:lang w:val="en-US" w:eastAsia="zh-CN" w:bidi="ar"/>
              </w:rPr>
              <w:t>分。</w:t>
            </w:r>
          </w:p>
        </w:tc>
        <w:tc>
          <w:tcPr>
            <w:tcW w:w="2115" w:type="dxa"/>
            <w:tcBorders>
              <w:tl2br w:val="nil"/>
              <w:tr2bl w:val="nil"/>
            </w:tcBorders>
            <w:noWrap w:val="0"/>
            <w:vAlign w:val="center"/>
          </w:tcPr>
          <w:p w14:paraId="2995EE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本年度部门（单位）决算报表。</w:t>
            </w:r>
          </w:p>
        </w:tc>
        <w:tc>
          <w:tcPr>
            <w:tcW w:w="586" w:type="dxa"/>
            <w:tcBorders>
              <w:tl2br w:val="nil"/>
              <w:tr2bl w:val="nil"/>
            </w:tcBorders>
            <w:noWrap w:val="0"/>
            <w:vAlign w:val="center"/>
          </w:tcPr>
          <w:p w14:paraId="250E8ADE">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1</w:t>
            </w:r>
          </w:p>
        </w:tc>
      </w:tr>
      <w:tr w14:paraId="00821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1FD7901C">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32533DF2">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4D7960A8">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绩效自评</w:t>
            </w:r>
          </w:p>
          <w:p w14:paraId="37C5D7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管理情况</w:t>
            </w:r>
          </w:p>
        </w:tc>
        <w:tc>
          <w:tcPr>
            <w:tcW w:w="495" w:type="dxa"/>
            <w:tcBorders>
              <w:tl2br w:val="nil"/>
              <w:tr2bl w:val="nil"/>
            </w:tcBorders>
            <w:noWrap w:val="0"/>
            <w:vAlign w:val="center"/>
          </w:tcPr>
          <w:p w14:paraId="56E25B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2570" w:type="dxa"/>
            <w:tcBorders>
              <w:tl2br w:val="nil"/>
              <w:tr2bl w:val="nil"/>
            </w:tcBorders>
            <w:noWrap w:val="0"/>
            <w:vAlign w:val="center"/>
          </w:tcPr>
          <w:p w14:paraId="71F529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部门（单位）绩效自评管理情况。</w:t>
            </w:r>
          </w:p>
        </w:tc>
        <w:tc>
          <w:tcPr>
            <w:tcW w:w="5112" w:type="dxa"/>
            <w:tcBorders>
              <w:tl2br w:val="nil"/>
              <w:tr2bl w:val="nil"/>
            </w:tcBorders>
            <w:noWrap w:val="0"/>
            <w:vAlign w:val="center"/>
          </w:tcPr>
          <w:p w14:paraId="04D96425">
            <w:pPr>
              <w:keepNext w:val="0"/>
              <w:keepLines w:val="0"/>
              <w:widowControl/>
              <w:suppressLineNumbers w:val="0"/>
              <w:jc w:val="left"/>
              <w:textAlignment w:val="center"/>
              <w:rPr>
                <w:rStyle w:val="14"/>
                <w:color w:val="auto"/>
                <w:lang w:val="en-US" w:eastAsia="zh-CN" w:bidi="ar"/>
              </w:rPr>
            </w:pPr>
          </w:p>
          <w:p w14:paraId="6BA7CEBF">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①是否按要求开展部门（单位）整体支出绩效自评和专项资金支出自评工作。</w:t>
            </w:r>
          </w:p>
          <w:p w14:paraId="2DFB8440">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②是否及时报送绩效自评报告；</w:t>
            </w:r>
          </w:p>
          <w:p w14:paraId="60E45468">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③绩效自评报告是否完整，数据是否全面、真实、准确，绩效指标是否细化量化和科学合理；</w:t>
            </w:r>
          </w:p>
          <w:p w14:paraId="67ABAB95">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④绩效自评反映的问题是否具体，意见是否可行，自评发现的问题是否整改；</w:t>
            </w:r>
          </w:p>
          <w:p w14:paraId="630C3CE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该项得分，①、②、③、④各计</w:t>
            </w:r>
            <w:r>
              <w:rPr>
                <w:rStyle w:val="15"/>
                <w:rFonts w:eastAsia="宋体"/>
                <w:color w:val="auto"/>
                <w:lang w:val="en-US" w:eastAsia="zh-CN" w:bidi="ar"/>
              </w:rPr>
              <w:t>1</w:t>
            </w:r>
            <w:r>
              <w:rPr>
                <w:rStyle w:val="14"/>
                <w:color w:val="auto"/>
                <w:lang w:val="en-US" w:eastAsia="zh-CN" w:bidi="ar"/>
              </w:rPr>
              <w:t>分。</w:t>
            </w:r>
          </w:p>
        </w:tc>
        <w:tc>
          <w:tcPr>
            <w:tcW w:w="2115" w:type="dxa"/>
            <w:tcBorders>
              <w:tl2br w:val="nil"/>
              <w:tr2bl w:val="nil"/>
            </w:tcBorders>
            <w:noWrap w:val="0"/>
            <w:vAlign w:val="center"/>
          </w:tcPr>
          <w:p w14:paraId="055C077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08CA8114">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8</w:t>
            </w:r>
          </w:p>
        </w:tc>
      </w:tr>
      <w:tr w14:paraId="0E607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43FE7F19">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45F099BF">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5A1F23B8">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重点绩效</w:t>
            </w:r>
          </w:p>
          <w:p w14:paraId="6A62E0F4">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评价整改</w:t>
            </w:r>
          </w:p>
          <w:p w14:paraId="7B7A7E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情况</w:t>
            </w:r>
          </w:p>
        </w:tc>
        <w:tc>
          <w:tcPr>
            <w:tcW w:w="495" w:type="dxa"/>
            <w:tcBorders>
              <w:tl2br w:val="nil"/>
              <w:tr2bl w:val="nil"/>
            </w:tcBorders>
            <w:noWrap w:val="0"/>
            <w:vAlign w:val="center"/>
          </w:tcPr>
          <w:p w14:paraId="796213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2570" w:type="dxa"/>
            <w:tcBorders>
              <w:tl2br w:val="nil"/>
              <w:tr2bl w:val="nil"/>
            </w:tcBorders>
            <w:noWrap w:val="0"/>
            <w:vAlign w:val="center"/>
          </w:tcPr>
          <w:p w14:paraId="50737A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4AC6C405">
            <w:pPr>
              <w:keepNext w:val="0"/>
              <w:keepLines w:val="0"/>
              <w:widowControl/>
              <w:suppressLineNumbers w:val="0"/>
              <w:jc w:val="left"/>
              <w:textAlignment w:val="center"/>
              <w:rPr>
                <w:rStyle w:val="14"/>
                <w:color w:val="auto"/>
                <w:lang w:val="en-US" w:eastAsia="zh-CN" w:bidi="ar"/>
              </w:rPr>
            </w:pPr>
          </w:p>
          <w:p w14:paraId="698BB3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上轮重点评价问题全部整改，计3分；上轮重点评价问题部分整改，计</w:t>
            </w:r>
            <w:r>
              <w:rPr>
                <w:rStyle w:val="15"/>
                <w:rFonts w:eastAsia="宋体"/>
                <w:color w:val="auto"/>
                <w:lang w:val="en-US" w:eastAsia="zh-CN" w:bidi="ar"/>
              </w:rPr>
              <w:t>1</w:t>
            </w:r>
            <w:r>
              <w:rPr>
                <w:rStyle w:val="14"/>
                <w:color w:val="auto"/>
                <w:lang w:val="en-US" w:eastAsia="zh-CN" w:bidi="ar"/>
              </w:rPr>
              <w:t>分；上轮重点评价问题未整改且无整改情况说明的不计分。</w:t>
            </w:r>
          </w:p>
        </w:tc>
        <w:tc>
          <w:tcPr>
            <w:tcW w:w="2115" w:type="dxa"/>
            <w:tcBorders>
              <w:tl2br w:val="nil"/>
              <w:tr2bl w:val="nil"/>
            </w:tcBorders>
            <w:noWrap w:val="0"/>
            <w:vAlign w:val="center"/>
          </w:tcPr>
          <w:p w14:paraId="011C46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33BD5FDA">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3</w:t>
            </w:r>
          </w:p>
        </w:tc>
      </w:tr>
      <w:tr w14:paraId="5C8D0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316A34E8">
            <w:pPr>
              <w:jc w:val="center"/>
              <w:rPr>
                <w:rFonts w:hint="eastAsia" w:ascii="宋体" w:hAnsi="宋体" w:eastAsia="宋体" w:cs="宋体"/>
                <w:i w:val="0"/>
                <w:iCs w:val="0"/>
                <w:color w:val="auto"/>
                <w:sz w:val="18"/>
                <w:szCs w:val="18"/>
                <w:u w:val="none"/>
              </w:rPr>
            </w:pPr>
          </w:p>
        </w:tc>
        <w:tc>
          <w:tcPr>
            <w:tcW w:w="870" w:type="dxa"/>
            <w:vMerge w:val="restart"/>
            <w:tcBorders>
              <w:tl2br w:val="nil"/>
              <w:tr2bl w:val="nil"/>
            </w:tcBorders>
            <w:noWrap w:val="0"/>
            <w:vAlign w:val="center"/>
          </w:tcPr>
          <w:p w14:paraId="4E3C27D6">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资产</w:t>
            </w:r>
          </w:p>
          <w:p w14:paraId="6EE30C75">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管理</w:t>
            </w:r>
          </w:p>
          <w:p w14:paraId="67465D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14"/>
                <w:color w:val="auto"/>
                <w:lang w:val="en-US" w:eastAsia="zh-CN" w:bidi="ar"/>
              </w:rPr>
              <w:t>（5分）</w:t>
            </w:r>
          </w:p>
        </w:tc>
        <w:tc>
          <w:tcPr>
            <w:tcW w:w="1050" w:type="dxa"/>
            <w:tcBorders>
              <w:tl2br w:val="nil"/>
              <w:tr2bl w:val="nil"/>
            </w:tcBorders>
            <w:noWrap w:val="0"/>
            <w:vAlign w:val="center"/>
          </w:tcPr>
          <w:p w14:paraId="7347349F">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资产管理</w:t>
            </w:r>
          </w:p>
          <w:p w14:paraId="518B01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制度健全性</w:t>
            </w:r>
          </w:p>
        </w:tc>
        <w:tc>
          <w:tcPr>
            <w:tcW w:w="495" w:type="dxa"/>
            <w:tcBorders>
              <w:tl2br w:val="nil"/>
              <w:tr2bl w:val="nil"/>
            </w:tcBorders>
            <w:noWrap w:val="0"/>
            <w:vAlign w:val="center"/>
          </w:tcPr>
          <w:p w14:paraId="7790B5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2570" w:type="dxa"/>
            <w:tcBorders>
              <w:tl2br w:val="nil"/>
              <w:tr2bl w:val="nil"/>
            </w:tcBorders>
            <w:noWrap w:val="0"/>
            <w:vAlign w:val="center"/>
          </w:tcPr>
          <w:p w14:paraId="216F9EA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575F995C">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①已制定合法、合规、完整的资产管理制度，计</w:t>
            </w:r>
            <w:r>
              <w:rPr>
                <w:rStyle w:val="15"/>
                <w:rFonts w:eastAsia="宋体"/>
                <w:color w:val="auto"/>
                <w:lang w:val="en-US" w:eastAsia="zh-CN" w:bidi="ar"/>
              </w:rPr>
              <w:t>0.5</w:t>
            </w:r>
            <w:r>
              <w:rPr>
                <w:rStyle w:val="14"/>
                <w:color w:val="auto"/>
                <w:lang w:val="en-US" w:eastAsia="zh-CN" w:bidi="ar"/>
              </w:rPr>
              <w:t>分，否则不得分；</w:t>
            </w:r>
          </w:p>
          <w:p w14:paraId="22C99E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②相关资产管理制度得到有效执行，计</w:t>
            </w:r>
            <w:r>
              <w:rPr>
                <w:rStyle w:val="15"/>
                <w:rFonts w:eastAsia="宋体"/>
                <w:color w:val="auto"/>
                <w:lang w:val="en-US" w:eastAsia="zh-CN" w:bidi="ar"/>
              </w:rPr>
              <w:t>0.5</w:t>
            </w:r>
            <w:r>
              <w:rPr>
                <w:rStyle w:val="14"/>
                <w:color w:val="auto"/>
                <w:lang w:val="en-US" w:eastAsia="zh-CN" w:bidi="ar"/>
              </w:rPr>
              <w:t>分，否则不得分；</w:t>
            </w:r>
          </w:p>
        </w:tc>
        <w:tc>
          <w:tcPr>
            <w:tcW w:w="2115" w:type="dxa"/>
            <w:tcBorders>
              <w:tl2br w:val="nil"/>
              <w:tr2bl w:val="nil"/>
            </w:tcBorders>
            <w:noWrap w:val="0"/>
            <w:vAlign w:val="center"/>
          </w:tcPr>
          <w:p w14:paraId="4B68116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部门（单位）资产管理制度；采购资产相关资料。</w:t>
            </w:r>
          </w:p>
        </w:tc>
        <w:tc>
          <w:tcPr>
            <w:tcW w:w="586" w:type="dxa"/>
            <w:tcBorders>
              <w:tl2br w:val="nil"/>
              <w:tr2bl w:val="nil"/>
            </w:tcBorders>
            <w:noWrap w:val="0"/>
            <w:vAlign w:val="center"/>
          </w:tcPr>
          <w:p w14:paraId="53C2771B">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1</w:t>
            </w:r>
          </w:p>
        </w:tc>
      </w:tr>
      <w:tr w14:paraId="7626A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6DB2643D">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3EBF9DF3">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0F36CB86">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资产管理</w:t>
            </w:r>
          </w:p>
          <w:p w14:paraId="2083D8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安全性</w:t>
            </w:r>
          </w:p>
        </w:tc>
        <w:tc>
          <w:tcPr>
            <w:tcW w:w="495" w:type="dxa"/>
            <w:tcBorders>
              <w:tl2br w:val="nil"/>
              <w:tr2bl w:val="nil"/>
            </w:tcBorders>
            <w:noWrap w:val="0"/>
            <w:vAlign w:val="center"/>
          </w:tcPr>
          <w:p w14:paraId="0740F9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2570" w:type="dxa"/>
            <w:tcBorders>
              <w:tl2br w:val="nil"/>
              <w:tr2bl w:val="nil"/>
            </w:tcBorders>
            <w:noWrap w:val="0"/>
            <w:vAlign w:val="center"/>
          </w:tcPr>
          <w:p w14:paraId="5F9C4E8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38CA1BD1">
            <w:pPr>
              <w:keepNext w:val="0"/>
              <w:keepLines w:val="0"/>
              <w:widowControl/>
              <w:suppressLineNumbers w:val="0"/>
              <w:jc w:val="left"/>
              <w:textAlignment w:val="center"/>
              <w:rPr>
                <w:rStyle w:val="14"/>
                <w:color w:val="auto"/>
                <w:lang w:val="en-US" w:eastAsia="zh-CN" w:bidi="ar"/>
              </w:rPr>
            </w:pPr>
          </w:p>
          <w:p w14:paraId="7612600E">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①资产配置合理符合标准、保管完整，账务管理规范，定期盘点并有台账，账实相符的，计</w:t>
            </w:r>
            <w:r>
              <w:rPr>
                <w:rStyle w:val="15"/>
                <w:rFonts w:eastAsia="宋体"/>
                <w:color w:val="auto"/>
                <w:lang w:val="en-US" w:eastAsia="zh-CN" w:bidi="ar"/>
              </w:rPr>
              <w:t>0.5</w:t>
            </w:r>
            <w:r>
              <w:rPr>
                <w:rStyle w:val="14"/>
                <w:color w:val="auto"/>
                <w:lang w:val="en-US" w:eastAsia="zh-CN" w:bidi="ar"/>
              </w:rPr>
              <w:t>分，发现一例不符，扣</w:t>
            </w:r>
            <w:r>
              <w:rPr>
                <w:rStyle w:val="15"/>
                <w:rFonts w:eastAsia="宋体"/>
                <w:color w:val="auto"/>
                <w:lang w:val="en-US" w:eastAsia="zh-CN" w:bidi="ar"/>
              </w:rPr>
              <w:t>0.1</w:t>
            </w:r>
            <w:r>
              <w:rPr>
                <w:rStyle w:val="14"/>
                <w:color w:val="auto"/>
                <w:lang w:val="en-US" w:eastAsia="zh-CN" w:bidi="ar"/>
              </w:rPr>
              <w:t>分，扣完为止；</w:t>
            </w:r>
          </w:p>
          <w:p w14:paraId="0B736011">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②资产处置规范，计</w:t>
            </w:r>
            <w:r>
              <w:rPr>
                <w:rStyle w:val="15"/>
                <w:rFonts w:eastAsia="宋体"/>
                <w:color w:val="auto"/>
                <w:lang w:val="en-US" w:eastAsia="zh-CN" w:bidi="ar"/>
              </w:rPr>
              <w:t>0.5</w:t>
            </w:r>
            <w:r>
              <w:rPr>
                <w:rStyle w:val="14"/>
                <w:color w:val="auto"/>
                <w:lang w:val="en-US" w:eastAsia="zh-CN" w:bidi="ar"/>
              </w:rPr>
              <w:t>分，发现一例不符，扣</w:t>
            </w:r>
            <w:r>
              <w:rPr>
                <w:rStyle w:val="15"/>
                <w:rFonts w:eastAsia="宋体"/>
                <w:color w:val="auto"/>
                <w:lang w:val="en-US" w:eastAsia="zh-CN" w:bidi="ar"/>
              </w:rPr>
              <w:t>0.1</w:t>
            </w:r>
            <w:r>
              <w:rPr>
                <w:rStyle w:val="14"/>
                <w:color w:val="auto"/>
                <w:lang w:val="en-US" w:eastAsia="zh-CN" w:bidi="ar"/>
              </w:rPr>
              <w:t>分，扣完为止；</w:t>
            </w:r>
          </w:p>
          <w:p w14:paraId="2DEFB608">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③资产有偿使用或处置收入及时足额上缴，计</w:t>
            </w:r>
            <w:r>
              <w:rPr>
                <w:rStyle w:val="15"/>
                <w:rFonts w:eastAsia="宋体"/>
                <w:color w:val="auto"/>
                <w:lang w:val="en-US" w:eastAsia="zh-CN" w:bidi="ar"/>
              </w:rPr>
              <w:t>0.5</w:t>
            </w:r>
            <w:r>
              <w:rPr>
                <w:rStyle w:val="14"/>
                <w:color w:val="auto"/>
                <w:lang w:val="en-US" w:eastAsia="zh-CN" w:bidi="ar"/>
              </w:rPr>
              <w:t>分，发现未上缴，本项不得分；</w:t>
            </w:r>
          </w:p>
          <w:p w14:paraId="48DC67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④资产购置履行政府采购手续，计</w:t>
            </w:r>
            <w:r>
              <w:rPr>
                <w:rStyle w:val="15"/>
                <w:rFonts w:eastAsia="宋体"/>
                <w:color w:val="auto"/>
                <w:lang w:val="en-US" w:eastAsia="zh-CN" w:bidi="ar"/>
              </w:rPr>
              <w:t>0.3</w:t>
            </w:r>
            <w:r>
              <w:rPr>
                <w:rStyle w:val="14"/>
                <w:color w:val="auto"/>
                <w:lang w:val="en-US" w:eastAsia="zh-CN" w:bidi="ar"/>
              </w:rPr>
              <w:t>分，发现一例不符，扣</w:t>
            </w:r>
            <w:r>
              <w:rPr>
                <w:rStyle w:val="15"/>
                <w:rFonts w:eastAsia="宋体"/>
                <w:color w:val="auto"/>
                <w:lang w:val="en-US" w:eastAsia="zh-CN" w:bidi="ar"/>
              </w:rPr>
              <w:t>0.1</w:t>
            </w:r>
            <w:r>
              <w:rPr>
                <w:rStyle w:val="14"/>
                <w:color w:val="auto"/>
                <w:lang w:val="en-US" w:eastAsia="zh-CN" w:bidi="ar"/>
              </w:rPr>
              <w:t>分，扣完为止；外租资产全部走合规程序，计</w:t>
            </w:r>
            <w:r>
              <w:rPr>
                <w:rStyle w:val="15"/>
                <w:rFonts w:eastAsia="宋体"/>
                <w:color w:val="auto"/>
                <w:lang w:val="en-US" w:eastAsia="zh-CN" w:bidi="ar"/>
              </w:rPr>
              <w:t>0.2</w:t>
            </w:r>
            <w:r>
              <w:rPr>
                <w:rStyle w:val="14"/>
                <w:color w:val="auto"/>
                <w:lang w:val="en-US" w:eastAsia="zh-CN" w:bidi="ar"/>
              </w:rPr>
              <w:t>分，发现一例不合规，扣</w:t>
            </w:r>
            <w:r>
              <w:rPr>
                <w:rStyle w:val="15"/>
                <w:rFonts w:eastAsia="宋体"/>
                <w:color w:val="auto"/>
                <w:lang w:val="en-US" w:eastAsia="zh-CN" w:bidi="ar"/>
              </w:rPr>
              <w:t>0.1</w:t>
            </w:r>
            <w:r>
              <w:rPr>
                <w:rStyle w:val="14"/>
                <w:color w:val="auto"/>
                <w:lang w:val="en-US" w:eastAsia="zh-CN" w:bidi="ar"/>
              </w:rPr>
              <w:t>分，扣完为止；</w:t>
            </w:r>
          </w:p>
        </w:tc>
        <w:tc>
          <w:tcPr>
            <w:tcW w:w="2115" w:type="dxa"/>
            <w:tcBorders>
              <w:tl2br w:val="nil"/>
              <w:tr2bl w:val="nil"/>
            </w:tcBorders>
            <w:noWrap w:val="0"/>
            <w:vAlign w:val="center"/>
          </w:tcPr>
          <w:p w14:paraId="2D900ED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7C8F8EC9">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2</w:t>
            </w:r>
          </w:p>
        </w:tc>
      </w:tr>
      <w:tr w14:paraId="0D130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46E65EB9">
            <w:pPr>
              <w:jc w:val="center"/>
              <w:rPr>
                <w:rFonts w:hint="eastAsia" w:ascii="宋体" w:hAnsi="宋体" w:eastAsia="宋体" w:cs="宋体"/>
                <w:i w:val="0"/>
                <w:iCs w:val="0"/>
                <w:color w:val="auto"/>
                <w:sz w:val="18"/>
                <w:szCs w:val="18"/>
                <w:u w:val="none"/>
              </w:rPr>
            </w:pPr>
          </w:p>
        </w:tc>
        <w:tc>
          <w:tcPr>
            <w:tcW w:w="870" w:type="dxa"/>
            <w:vMerge w:val="continue"/>
            <w:tcBorders>
              <w:tl2br w:val="nil"/>
              <w:tr2bl w:val="nil"/>
            </w:tcBorders>
            <w:noWrap w:val="0"/>
            <w:vAlign w:val="center"/>
          </w:tcPr>
          <w:p w14:paraId="7D867C3F">
            <w:pPr>
              <w:jc w:val="center"/>
              <w:rPr>
                <w:rFonts w:hint="eastAsia" w:ascii="宋体" w:hAnsi="宋体" w:eastAsia="宋体" w:cs="宋体"/>
                <w:i w:val="0"/>
                <w:iCs w:val="0"/>
                <w:color w:val="auto"/>
                <w:sz w:val="18"/>
                <w:szCs w:val="18"/>
                <w:u w:val="none"/>
              </w:rPr>
            </w:pPr>
          </w:p>
        </w:tc>
        <w:tc>
          <w:tcPr>
            <w:tcW w:w="1050" w:type="dxa"/>
            <w:tcBorders>
              <w:tl2br w:val="nil"/>
              <w:tr2bl w:val="nil"/>
            </w:tcBorders>
            <w:noWrap w:val="0"/>
            <w:vAlign w:val="center"/>
          </w:tcPr>
          <w:p w14:paraId="1B6B2A0C">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固定资产</w:t>
            </w:r>
          </w:p>
          <w:p w14:paraId="227D67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保管和使用情况</w:t>
            </w:r>
          </w:p>
        </w:tc>
        <w:tc>
          <w:tcPr>
            <w:tcW w:w="495" w:type="dxa"/>
            <w:tcBorders>
              <w:tl2br w:val="nil"/>
              <w:tr2bl w:val="nil"/>
            </w:tcBorders>
            <w:noWrap w:val="0"/>
            <w:vAlign w:val="center"/>
          </w:tcPr>
          <w:p w14:paraId="6921E6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2570" w:type="dxa"/>
            <w:tcBorders>
              <w:tl2br w:val="nil"/>
              <w:tr2bl w:val="nil"/>
            </w:tcBorders>
            <w:noWrap w:val="0"/>
            <w:vAlign w:val="center"/>
          </w:tcPr>
          <w:p w14:paraId="503C2AC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掌握预算单位固定资产配置管理使用情况。</w:t>
            </w:r>
          </w:p>
        </w:tc>
        <w:tc>
          <w:tcPr>
            <w:tcW w:w="5112" w:type="dxa"/>
            <w:tcBorders>
              <w:tl2br w:val="nil"/>
              <w:tr2bl w:val="nil"/>
            </w:tcBorders>
            <w:noWrap w:val="0"/>
            <w:vAlign w:val="center"/>
          </w:tcPr>
          <w:p w14:paraId="627EDF18">
            <w:pPr>
              <w:keepNext w:val="0"/>
              <w:keepLines w:val="0"/>
              <w:widowControl/>
              <w:suppressLineNumbers w:val="0"/>
              <w:jc w:val="left"/>
              <w:textAlignment w:val="center"/>
              <w:rPr>
                <w:rStyle w:val="14"/>
                <w:color w:val="auto"/>
                <w:lang w:val="en-US" w:eastAsia="zh-CN" w:bidi="ar"/>
              </w:rPr>
            </w:pPr>
          </w:p>
          <w:p w14:paraId="43FB42AC">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①建了固定资产台账实行编码管理，且编码与实物完全匹配计</w:t>
            </w:r>
            <w:r>
              <w:rPr>
                <w:rStyle w:val="15"/>
                <w:rFonts w:eastAsia="宋体"/>
                <w:color w:val="auto"/>
                <w:lang w:val="en-US" w:eastAsia="zh-CN" w:bidi="ar"/>
              </w:rPr>
              <w:t>1</w:t>
            </w:r>
            <w:r>
              <w:rPr>
                <w:rStyle w:val="14"/>
                <w:color w:val="auto"/>
                <w:lang w:val="en-US" w:eastAsia="zh-CN" w:bidi="ar"/>
              </w:rPr>
              <w:t>分，否则不得分；</w:t>
            </w:r>
          </w:p>
          <w:p w14:paraId="7EC0DEE2">
            <w:pPr>
              <w:keepNext w:val="0"/>
              <w:keepLines w:val="0"/>
              <w:widowControl/>
              <w:suppressLineNumbers w:val="0"/>
              <w:jc w:val="left"/>
              <w:textAlignment w:val="center"/>
              <w:rPr>
                <w:rStyle w:val="14"/>
                <w:color w:val="auto"/>
                <w:lang w:val="en-US" w:eastAsia="zh-CN" w:bidi="ar"/>
              </w:rPr>
            </w:pPr>
            <w:r>
              <w:rPr>
                <w:rStyle w:val="14"/>
                <w:color w:val="auto"/>
                <w:lang w:val="en-US" w:eastAsia="zh-CN" w:bidi="ar"/>
              </w:rPr>
              <w:t>②建立了固定资产增减变化审批程序的计0.5分，否则不得分；</w:t>
            </w:r>
          </w:p>
          <w:p w14:paraId="1918B7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③固定资产无闲置浪费现象计0.5分，发现一处扣</w:t>
            </w:r>
            <w:r>
              <w:rPr>
                <w:rStyle w:val="15"/>
                <w:rFonts w:eastAsia="宋体"/>
                <w:color w:val="auto"/>
                <w:lang w:val="en-US" w:eastAsia="zh-CN" w:bidi="ar"/>
              </w:rPr>
              <w:t>0.1</w:t>
            </w:r>
            <w:r>
              <w:rPr>
                <w:rStyle w:val="14"/>
                <w:color w:val="auto"/>
                <w:lang w:val="en-US" w:eastAsia="zh-CN" w:bidi="ar"/>
              </w:rPr>
              <w:t>分，扣完为止。</w:t>
            </w:r>
          </w:p>
        </w:tc>
        <w:tc>
          <w:tcPr>
            <w:tcW w:w="2115" w:type="dxa"/>
            <w:tcBorders>
              <w:tl2br w:val="nil"/>
              <w:tr2bl w:val="nil"/>
            </w:tcBorders>
            <w:noWrap w:val="0"/>
            <w:vAlign w:val="center"/>
          </w:tcPr>
          <w:p w14:paraId="591E07E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部门（单位）固定资产实际使用情况；固定资产账。</w:t>
            </w:r>
          </w:p>
        </w:tc>
        <w:tc>
          <w:tcPr>
            <w:tcW w:w="586" w:type="dxa"/>
            <w:tcBorders>
              <w:tl2br w:val="nil"/>
              <w:tr2bl w:val="nil"/>
            </w:tcBorders>
            <w:noWrap w:val="0"/>
            <w:vAlign w:val="center"/>
          </w:tcPr>
          <w:p w14:paraId="492CB2C2">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2</w:t>
            </w:r>
          </w:p>
        </w:tc>
      </w:tr>
      <w:tr w14:paraId="4F197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0B47CAA6">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产出</w:t>
            </w:r>
          </w:p>
          <w:p w14:paraId="6EE88C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w:t>
            </w:r>
            <w:r>
              <w:rPr>
                <w:rStyle w:val="15"/>
                <w:rFonts w:eastAsia="宋体"/>
                <w:color w:val="auto"/>
                <w:lang w:val="en-US" w:eastAsia="zh-CN" w:bidi="ar"/>
              </w:rPr>
              <w:t>22</w:t>
            </w:r>
            <w:r>
              <w:rPr>
                <w:rStyle w:val="14"/>
                <w:color w:val="auto"/>
                <w:lang w:val="en-US" w:eastAsia="zh-CN" w:bidi="ar"/>
              </w:rPr>
              <w:t>分）</w:t>
            </w:r>
          </w:p>
        </w:tc>
        <w:tc>
          <w:tcPr>
            <w:tcW w:w="870" w:type="dxa"/>
            <w:vMerge w:val="restart"/>
            <w:tcBorders>
              <w:tl2br w:val="nil"/>
              <w:tr2bl w:val="nil"/>
            </w:tcBorders>
            <w:noWrap w:val="0"/>
            <w:vAlign w:val="center"/>
          </w:tcPr>
          <w:p w14:paraId="120F09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职责履行（</w:t>
            </w:r>
            <w:r>
              <w:rPr>
                <w:rStyle w:val="15"/>
                <w:rFonts w:eastAsia="宋体"/>
                <w:color w:val="auto"/>
                <w:lang w:val="en-US" w:eastAsia="zh-CN" w:bidi="ar"/>
              </w:rPr>
              <w:t>22</w:t>
            </w:r>
            <w:r>
              <w:rPr>
                <w:rStyle w:val="14"/>
                <w:color w:val="auto"/>
                <w:lang w:val="en-US" w:eastAsia="zh-CN" w:bidi="ar"/>
              </w:rPr>
              <w:t>分）</w:t>
            </w:r>
          </w:p>
        </w:tc>
        <w:tc>
          <w:tcPr>
            <w:tcW w:w="1050" w:type="dxa"/>
            <w:tcBorders>
              <w:tl2br w:val="nil"/>
              <w:tr2bl w:val="nil"/>
            </w:tcBorders>
            <w:noWrap w:val="0"/>
            <w:vAlign w:val="center"/>
          </w:tcPr>
          <w:p w14:paraId="465BD656">
            <w:pPr>
              <w:keepNext w:val="0"/>
              <w:keepLines w:val="0"/>
              <w:widowControl/>
              <w:suppressLineNumbers w:val="0"/>
              <w:jc w:val="center"/>
              <w:textAlignment w:val="center"/>
              <w:rPr>
                <w:rStyle w:val="15"/>
                <w:rFonts w:eastAsia="宋体"/>
                <w:color w:val="auto"/>
                <w:lang w:val="en-US" w:eastAsia="zh-CN" w:bidi="ar"/>
              </w:rPr>
            </w:pPr>
            <w:r>
              <w:rPr>
                <w:rStyle w:val="14"/>
                <w:color w:val="auto"/>
                <w:lang w:val="en-US" w:eastAsia="zh-CN" w:bidi="ar"/>
              </w:rPr>
              <w:t>部门整体</w:t>
            </w:r>
            <w:r>
              <w:rPr>
                <w:rStyle w:val="15"/>
                <w:rFonts w:eastAsia="宋体"/>
                <w:color w:val="auto"/>
                <w:lang w:val="en-US" w:eastAsia="zh-CN" w:bidi="ar"/>
              </w:rPr>
              <w:t xml:space="preserve"> </w:t>
            </w:r>
          </w:p>
          <w:p w14:paraId="74E138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工作质量</w:t>
            </w:r>
          </w:p>
        </w:tc>
        <w:tc>
          <w:tcPr>
            <w:tcW w:w="495" w:type="dxa"/>
            <w:tcBorders>
              <w:tl2br w:val="nil"/>
              <w:tr2bl w:val="nil"/>
            </w:tcBorders>
            <w:noWrap w:val="0"/>
            <w:vAlign w:val="center"/>
          </w:tcPr>
          <w:p w14:paraId="5F46D6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2570" w:type="dxa"/>
            <w:tcBorders>
              <w:tl2br w:val="nil"/>
              <w:tr2bl w:val="nil"/>
            </w:tcBorders>
            <w:noWrap w:val="0"/>
            <w:vAlign w:val="center"/>
          </w:tcPr>
          <w:p w14:paraId="66EEB34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反映部门党委政府绩效考核评估等级</w:t>
            </w:r>
          </w:p>
        </w:tc>
        <w:tc>
          <w:tcPr>
            <w:tcW w:w="5112" w:type="dxa"/>
            <w:tcBorders>
              <w:tl2br w:val="nil"/>
              <w:tr2bl w:val="nil"/>
            </w:tcBorders>
            <w:noWrap w:val="0"/>
            <w:vAlign w:val="center"/>
          </w:tcPr>
          <w:p w14:paraId="5BFC0906">
            <w:pPr>
              <w:keepNext w:val="0"/>
              <w:keepLines w:val="0"/>
              <w:widowControl/>
              <w:suppressLineNumbers w:val="0"/>
              <w:jc w:val="left"/>
              <w:textAlignment w:val="center"/>
              <w:rPr>
                <w:rStyle w:val="14"/>
                <w:color w:val="auto"/>
                <w:lang w:val="en-US" w:eastAsia="zh-CN" w:bidi="ar"/>
              </w:rPr>
            </w:pPr>
          </w:p>
          <w:p w14:paraId="43508F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4"/>
                <w:color w:val="auto"/>
                <w:lang w:val="en-US" w:eastAsia="zh-CN" w:bidi="ar"/>
              </w:rPr>
              <w:t>以市委、市政府绩效效考核评估结果为依据：优秀，计</w:t>
            </w:r>
            <w:r>
              <w:rPr>
                <w:rStyle w:val="15"/>
                <w:rFonts w:eastAsia="宋体"/>
                <w:color w:val="auto"/>
                <w:lang w:val="en-US" w:eastAsia="zh-CN" w:bidi="ar"/>
              </w:rPr>
              <w:t>6</w:t>
            </w:r>
            <w:r>
              <w:rPr>
                <w:rStyle w:val="14"/>
                <w:color w:val="auto"/>
                <w:lang w:val="en-US" w:eastAsia="zh-CN" w:bidi="ar"/>
              </w:rPr>
              <w:t>分；良好，</w:t>
            </w:r>
            <w:r>
              <w:rPr>
                <w:rStyle w:val="15"/>
                <w:rFonts w:eastAsia="宋体"/>
                <w:color w:val="auto"/>
                <w:lang w:val="en-US" w:eastAsia="zh-CN" w:bidi="ar"/>
              </w:rPr>
              <w:t>4</w:t>
            </w:r>
            <w:r>
              <w:rPr>
                <w:rStyle w:val="14"/>
                <w:color w:val="auto"/>
                <w:lang w:val="en-US" w:eastAsia="zh-CN" w:bidi="ar"/>
              </w:rPr>
              <w:t>分；合格，</w:t>
            </w:r>
            <w:r>
              <w:rPr>
                <w:rStyle w:val="15"/>
                <w:rFonts w:eastAsia="宋体"/>
                <w:color w:val="auto"/>
                <w:lang w:val="en-US" w:eastAsia="zh-CN" w:bidi="ar"/>
              </w:rPr>
              <w:t>2</w:t>
            </w:r>
            <w:r>
              <w:rPr>
                <w:rStyle w:val="14"/>
                <w:color w:val="auto"/>
                <w:lang w:val="en-US" w:eastAsia="zh-CN" w:bidi="ar"/>
              </w:rPr>
              <w:t>分；不合格，</w:t>
            </w:r>
            <w:r>
              <w:rPr>
                <w:rStyle w:val="15"/>
                <w:rFonts w:eastAsia="宋体"/>
                <w:color w:val="auto"/>
                <w:lang w:val="en-US" w:eastAsia="zh-CN" w:bidi="ar"/>
              </w:rPr>
              <w:t>0</w:t>
            </w:r>
            <w:r>
              <w:rPr>
                <w:rStyle w:val="14"/>
                <w:color w:val="auto"/>
                <w:lang w:val="en-US" w:eastAsia="zh-CN" w:bidi="ar"/>
              </w:rPr>
              <w:t>分。</w:t>
            </w:r>
          </w:p>
        </w:tc>
        <w:tc>
          <w:tcPr>
            <w:tcW w:w="2115" w:type="dxa"/>
            <w:tcBorders>
              <w:tl2br w:val="nil"/>
              <w:tr2bl w:val="nil"/>
            </w:tcBorders>
            <w:noWrap w:val="0"/>
            <w:vAlign w:val="center"/>
          </w:tcPr>
          <w:p w14:paraId="0B14DE51">
            <w:pPr>
              <w:jc w:val="left"/>
              <w:rPr>
                <w:rFonts w:hint="default" w:ascii="Times New Roman" w:hAnsi="Times New Roman" w:eastAsia="宋体" w:cs="Times New Roman"/>
                <w:i w:val="0"/>
                <w:iCs w:val="0"/>
                <w:color w:val="auto"/>
                <w:sz w:val="18"/>
                <w:szCs w:val="18"/>
                <w:u w:val="none"/>
              </w:rPr>
            </w:pPr>
          </w:p>
        </w:tc>
        <w:tc>
          <w:tcPr>
            <w:tcW w:w="586" w:type="dxa"/>
            <w:tcBorders>
              <w:tl2br w:val="nil"/>
              <w:tr2bl w:val="nil"/>
            </w:tcBorders>
            <w:noWrap w:val="0"/>
            <w:vAlign w:val="center"/>
          </w:tcPr>
          <w:p w14:paraId="7314A8EB">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6</w:t>
            </w:r>
          </w:p>
        </w:tc>
      </w:tr>
      <w:tr w14:paraId="1A0AC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2DC8B134">
            <w:pPr>
              <w:jc w:val="center"/>
              <w:rPr>
                <w:rFonts w:hint="default" w:ascii="Times New Roman" w:hAnsi="Times New Roman" w:eastAsia="宋体" w:cs="Times New Roman"/>
                <w:i w:val="0"/>
                <w:iCs w:val="0"/>
                <w:color w:val="auto"/>
                <w:sz w:val="18"/>
                <w:szCs w:val="18"/>
                <w:u w:val="none"/>
              </w:rPr>
            </w:pPr>
          </w:p>
        </w:tc>
        <w:tc>
          <w:tcPr>
            <w:tcW w:w="870" w:type="dxa"/>
            <w:vMerge w:val="continue"/>
            <w:tcBorders>
              <w:tl2br w:val="nil"/>
              <w:tr2bl w:val="nil"/>
            </w:tcBorders>
            <w:noWrap w:val="0"/>
            <w:vAlign w:val="center"/>
          </w:tcPr>
          <w:p w14:paraId="5E23B9BE">
            <w:pPr>
              <w:jc w:val="center"/>
              <w:rPr>
                <w:rFonts w:hint="default" w:ascii="Times New Roman" w:hAnsi="Times New Roman" w:eastAsia="宋体" w:cs="Times New Roman"/>
                <w:i w:val="0"/>
                <w:iCs w:val="0"/>
                <w:color w:val="auto"/>
                <w:sz w:val="18"/>
                <w:szCs w:val="18"/>
                <w:u w:val="none"/>
              </w:rPr>
            </w:pPr>
          </w:p>
        </w:tc>
        <w:tc>
          <w:tcPr>
            <w:tcW w:w="1050" w:type="dxa"/>
            <w:tcBorders>
              <w:tl2br w:val="nil"/>
              <w:tr2bl w:val="nil"/>
            </w:tcBorders>
            <w:noWrap w:val="0"/>
            <w:vAlign w:val="center"/>
          </w:tcPr>
          <w:p w14:paraId="6F80CB6F">
            <w:pPr>
              <w:keepNext w:val="0"/>
              <w:keepLines w:val="0"/>
              <w:widowControl/>
              <w:suppressLineNumbers w:val="0"/>
              <w:jc w:val="center"/>
              <w:textAlignment w:val="center"/>
              <w:rPr>
                <w:rStyle w:val="16"/>
                <w:color w:val="auto"/>
                <w:lang w:val="en-US" w:eastAsia="zh-CN" w:bidi="ar"/>
              </w:rPr>
            </w:pPr>
            <w:r>
              <w:rPr>
                <w:rStyle w:val="16"/>
                <w:color w:val="auto"/>
                <w:lang w:val="en-US" w:eastAsia="zh-CN" w:bidi="ar"/>
              </w:rPr>
              <w:t>实际</w:t>
            </w:r>
          </w:p>
          <w:p w14:paraId="4DCE6D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完成率</w:t>
            </w:r>
          </w:p>
        </w:tc>
        <w:tc>
          <w:tcPr>
            <w:tcW w:w="495" w:type="dxa"/>
            <w:tcBorders>
              <w:tl2br w:val="nil"/>
              <w:tr2bl w:val="nil"/>
            </w:tcBorders>
            <w:noWrap w:val="0"/>
            <w:vAlign w:val="center"/>
          </w:tcPr>
          <w:p w14:paraId="509808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2570" w:type="dxa"/>
            <w:tcBorders>
              <w:tl2br w:val="nil"/>
              <w:tr2bl w:val="nil"/>
            </w:tcBorders>
            <w:noWrap w:val="0"/>
            <w:vAlign w:val="center"/>
          </w:tcPr>
          <w:p w14:paraId="57C2957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06CC786D">
            <w:pPr>
              <w:keepNext w:val="0"/>
              <w:keepLines w:val="0"/>
              <w:widowControl/>
              <w:suppressLineNumbers w:val="0"/>
              <w:jc w:val="left"/>
              <w:textAlignment w:val="center"/>
              <w:rPr>
                <w:rStyle w:val="16"/>
                <w:color w:val="auto"/>
                <w:lang w:val="en-US" w:eastAsia="zh-CN" w:bidi="ar"/>
              </w:rPr>
            </w:pPr>
          </w:p>
          <w:p w14:paraId="4B2D3A14">
            <w:pPr>
              <w:keepNext w:val="0"/>
              <w:keepLines w:val="0"/>
              <w:widowControl/>
              <w:suppressLineNumbers w:val="0"/>
              <w:jc w:val="left"/>
              <w:textAlignment w:val="center"/>
              <w:rPr>
                <w:rStyle w:val="16"/>
                <w:color w:val="auto"/>
                <w:lang w:val="en-US" w:eastAsia="zh-CN" w:bidi="ar"/>
              </w:rPr>
            </w:pPr>
            <w:r>
              <w:rPr>
                <w:rStyle w:val="16"/>
                <w:color w:val="auto"/>
                <w:lang w:val="en-US" w:eastAsia="zh-CN" w:bidi="ar"/>
              </w:rPr>
              <w:t>实际完成率</w:t>
            </w:r>
            <w:r>
              <w:rPr>
                <w:rStyle w:val="17"/>
                <w:rFonts w:eastAsia="宋体"/>
                <w:color w:val="auto"/>
                <w:lang w:val="en-US" w:eastAsia="zh-CN" w:bidi="ar"/>
              </w:rPr>
              <w:t>=</w:t>
            </w:r>
            <w:r>
              <w:rPr>
                <w:rStyle w:val="16"/>
                <w:color w:val="auto"/>
                <w:lang w:val="en-US" w:eastAsia="zh-CN" w:bidi="ar"/>
              </w:rPr>
              <w:t>（实际完成工作数</w:t>
            </w:r>
            <w:r>
              <w:rPr>
                <w:rStyle w:val="17"/>
                <w:rFonts w:eastAsia="宋体"/>
                <w:color w:val="auto"/>
                <w:lang w:val="en-US" w:eastAsia="zh-CN" w:bidi="ar"/>
              </w:rPr>
              <w:t>/</w:t>
            </w:r>
            <w:r>
              <w:rPr>
                <w:rStyle w:val="16"/>
                <w:color w:val="auto"/>
                <w:lang w:val="en-US" w:eastAsia="zh-CN" w:bidi="ar"/>
              </w:rPr>
              <w:t>计划工作数）</w:t>
            </w:r>
            <w:r>
              <w:rPr>
                <w:rStyle w:val="17"/>
                <w:rFonts w:eastAsia="宋体"/>
                <w:color w:val="auto"/>
                <w:lang w:val="en-US" w:eastAsia="zh-CN" w:bidi="ar"/>
              </w:rPr>
              <w:t>×100%</w:t>
            </w:r>
            <w:r>
              <w:rPr>
                <w:rStyle w:val="16"/>
                <w:color w:val="auto"/>
                <w:lang w:val="en-US" w:eastAsia="zh-CN" w:bidi="ar"/>
              </w:rPr>
              <w:t>。实际完成工作数：一定时期（年度或规划期）内部门实际完成工作任务的数量。计划工作数：部门整体绩效目标确定的一定时期（年度或规划期）内预计完成工作任务的数量。</w:t>
            </w:r>
          </w:p>
          <w:p w14:paraId="3BABC4F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该项得分</w:t>
            </w:r>
            <w:r>
              <w:rPr>
                <w:rStyle w:val="17"/>
                <w:rFonts w:eastAsia="宋体"/>
                <w:color w:val="auto"/>
                <w:lang w:val="en-US" w:eastAsia="zh-CN" w:bidi="ar"/>
              </w:rPr>
              <w:t>=</w:t>
            </w:r>
            <w:r>
              <w:rPr>
                <w:rStyle w:val="16"/>
                <w:color w:val="auto"/>
                <w:lang w:val="en-US" w:eastAsia="zh-CN" w:bidi="ar"/>
              </w:rPr>
              <w:t>完成率</w:t>
            </w:r>
            <w:r>
              <w:rPr>
                <w:rStyle w:val="17"/>
                <w:rFonts w:eastAsia="宋体"/>
                <w:color w:val="auto"/>
                <w:lang w:val="en-US" w:eastAsia="zh-CN" w:bidi="ar"/>
              </w:rPr>
              <w:t>×4</w:t>
            </w:r>
            <w:r>
              <w:rPr>
                <w:rStyle w:val="16"/>
                <w:color w:val="auto"/>
                <w:lang w:val="en-US" w:eastAsia="zh-CN" w:bidi="ar"/>
              </w:rPr>
              <w:t>分。</w:t>
            </w:r>
          </w:p>
        </w:tc>
        <w:tc>
          <w:tcPr>
            <w:tcW w:w="2115" w:type="dxa"/>
            <w:tcBorders>
              <w:tl2br w:val="nil"/>
              <w:tr2bl w:val="nil"/>
            </w:tcBorders>
            <w:noWrap w:val="0"/>
            <w:vAlign w:val="center"/>
          </w:tcPr>
          <w:p w14:paraId="064A85C7">
            <w:pPr>
              <w:jc w:val="left"/>
              <w:rPr>
                <w:rFonts w:hint="default" w:ascii="Times New Roman" w:hAnsi="Times New Roman" w:eastAsia="宋体" w:cs="Times New Roman"/>
                <w:i w:val="0"/>
                <w:iCs w:val="0"/>
                <w:color w:val="auto"/>
                <w:sz w:val="18"/>
                <w:szCs w:val="18"/>
                <w:u w:val="none"/>
              </w:rPr>
            </w:pPr>
          </w:p>
        </w:tc>
        <w:tc>
          <w:tcPr>
            <w:tcW w:w="586" w:type="dxa"/>
            <w:tcBorders>
              <w:tl2br w:val="nil"/>
              <w:tr2bl w:val="nil"/>
            </w:tcBorders>
            <w:noWrap w:val="0"/>
            <w:vAlign w:val="center"/>
          </w:tcPr>
          <w:p w14:paraId="1112ED76">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4</w:t>
            </w:r>
          </w:p>
        </w:tc>
      </w:tr>
      <w:tr w14:paraId="2C3BE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43781025">
            <w:pPr>
              <w:jc w:val="center"/>
              <w:rPr>
                <w:rFonts w:hint="default" w:ascii="Times New Roman" w:hAnsi="Times New Roman" w:eastAsia="宋体" w:cs="Times New Roman"/>
                <w:i w:val="0"/>
                <w:iCs w:val="0"/>
                <w:color w:val="auto"/>
                <w:sz w:val="18"/>
                <w:szCs w:val="18"/>
                <w:u w:val="none"/>
              </w:rPr>
            </w:pPr>
          </w:p>
        </w:tc>
        <w:tc>
          <w:tcPr>
            <w:tcW w:w="870" w:type="dxa"/>
            <w:vMerge w:val="continue"/>
            <w:tcBorders>
              <w:tl2br w:val="nil"/>
              <w:tr2bl w:val="nil"/>
            </w:tcBorders>
            <w:noWrap w:val="0"/>
            <w:vAlign w:val="center"/>
          </w:tcPr>
          <w:p w14:paraId="3B689820">
            <w:pPr>
              <w:jc w:val="center"/>
              <w:rPr>
                <w:rFonts w:hint="default" w:ascii="Times New Roman" w:hAnsi="Times New Roman" w:eastAsia="宋体" w:cs="Times New Roman"/>
                <w:i w:val="0"/>
                <w:iCs w:val="0"/>
                <w:color w:val="auto"/>
                <w:sz w:val="18"/>
                <w:szCs w:val="18"/>
                <w:u w:val="none"/>
              </w:rPr>
            </w:pPr>
          </w:p>
        </w:tc>
        <w:tc>
          <w:tcPr>
            <w:tcW w:w="1050" w:type="dxa"/>
            <w:tcBorders>
              <w:tl2br w:val="nil"/>
              <w:tr2bl w:val="nil"/>
            </w:tcBorders>
            <w:noWrap w:val="0"/>
            <w:vAlign w:val="center"/>
          </w:tcPr>
          <w:p w14:paraId="0EEA2950">
            <w:pPr>
              <w:keepNext w:val="0"/>
              <w:keepLines w:val="0"/>
              <w:widowControl/>
              <w:suppressLineNumbers w:val="0"/>
              <w:jc w:val="center"/>
              <w:textAlignment w:val="center"/>
              <w:rPr>
                <w:rStyle w:val="16"/>
                <w:color w:val="auto"/>
                <w:lang w:val="en-US" w:eastAsia="zh-CN" w:bidi="ar"/>
              </w:rPr>
            </w:pPr>
            <w:r>
              <w:rPr>
                <w:rStyle w:val="16"/>
                <w:color w:val="auto"/>
                <w:lang w:val="en-US" w:eastAsia="zh-CN" w:bidi="ar"/>
              </w:rPr>
              <w:t>完成</w:t>
            </w:r>
          </w:p>
          <w:p w14:paraId="3621D6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及时性</w:t>
            </w:r>
          </w:p>
        </w:tc>
        <w:tc>
          <w:tcPr>
            <w:tcW w:w="495" w:type="dxa"/>
            <w:tcBorders>
              <w:tl2br w:val="nil"/>
              <w:tr2bl w:val="nil"/>
            </w:tcBorders>
            <w:noWrap w:val="0"/>
            <w:vAlign w:val="center"/>
          </w:tcPr>
          <w:p w14:paraId="0DB9C2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2570" w:type="dxa"/>
            <w:tcBorders>
              <w:tl2br w:val="nil"/>
              <w:tr2bl w:val="nil"/>
            </w:tcBorders>
            <w:noWrap w:val="0"/>
            <w:vAlign w:val="center"/>
          </w:tcPr>
          <w:p w14:paraId="30D6968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0BDE18DA">
            <w:pPr>
              <w:keepNext w:val="0"/>
              <w:keepLines w:val="0"/>
              <w:widowControl/>
              <w:suppressLineNumbers w:val="0"/>
              <w:jc w:val="left"/>
              <w:textAlignment w:val="center"/>
              <w:rPr>
                <w:rStyle w:val="16"/>
                <w:color w:val="auto"/>
                <w:lang w:val="en-US" w:eastAsia="zh-CN" w:bidi="ar"/>
              </w:rPr>
            </w:pPr>
          </w:p>
          <w:p w14:paraId="16EC10B8">
            <w:pPr>
              <w:keepNext w:val="0"/>
              <w:keepLines w:val="0"/>
              <w:widowControl/>
              <w:suppressLineNumbers w:val="0"/>
              <w:jc w:val="left"/>
              <w:textAlignment w:val="center"/>
              <w:rPr>
                <w:rStyle w:val="16"/>
                <w:color w:val="auto"/>
                <w:lang w:val="en-US" w:eastAsia="zh-CN" w:bidi="ar"/>
              </w:rPr>
            </w:pPr>
            <w:r>
              <w:rPr>
                <w:rStyle w:val="16"/>
                <w:color w:val="auto"/>
                <w:lang w:val="en-US" w:eastAsia="zh-CN" w:bidi="ar"/>
              </w:rPr>
              <w:t>完成及时率</w:t>
            </w:r>
            <w:r>
              <w:rPr>
                <w:rStyle w:val="17"/>
                <w:rFonts w:eastAsia="宋体"/>
                <w:color w:val="auto"/>
                <w:lang w:val="en-US" w:eastAsia="zh-CN" w:bidi="ar"/>
              </w:rPr>
              <w:t>=</w:t>
            </w:r>
            <w:r>
              <w:rPr>
                <w:rStyle w:val="16"/>
                <w:color w:val="auto"/>
                <w:lang w:val="en-US" w:eastAsia="zh-CN" w:bidi="ar"/>
              </w:rPr>
              <w:t>（及时完成实际工作数</w:t>
            </w:r>
            <w:r>
              <w:rPr>
                <w:rStyle w:val="17"/>
                <w:rFonts w:eastAsia="宋体"/>
                <w:color w:val="auto"/>
                <w:lang w:val="en-US" w:eastAsia="zh-CN" w:bidi="ar"/>
              </w:rPr>
              <w:t>/</w:t>
            </w:r>
            <w:r>
              <w:rPr>
                <w:rStyle w:val="16"/>
                <w:color w:val="auto"/>
                <w:lang w:val="en-US" w:eastAsia="zh-CN" w:bidi="ar"/>
              </w:rPr>
              <w:t>计划工作数）</w:t>
            </w:r>
            <w:r>
              <w:rPr>
                <w:rStyle w:val="17"/>
                <w:rFonts w:eastAsia="宋体"/>
                <w:color w:val="auto"/>
                <w:lang w:val="en-US" w:eastAsia="zh-CN" w:bidi="ar"/>
              </w:rPr>
              <w:t>×100%</w:t>
            </w:r>
            <w:r>
              <w:rPr>
                <w:rStyle w:val="16"/>
                <w:color w:val="auto"/>
                <w:lang w:val="en-US" w:eastAsia="zh-CN" w:bidi="ar"/>
              </w:rPr>
              <w:t>。及时完成实际工作数：部门按照整体绩效目标确定的时限实际完成的工作任务数量。</w:t>
            </w:r>
          </w:p>
          <w:p w14:paraId="1F478C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6"/>
                <w:color w:val="auto"/>
                <w:lang w:val="en-US" w:eastAsia="zh-CN" w:bidi="ar"/>
              </w:rPr>
              <w:t>该项得分</w:t>
            </w:r>
            <w:r>
              <w:rPr>
                <w:rStyle w:val="17"/>
                <w:rFonts w:eastAsia="宋体"/>
                <w:color w:val="auto"/>
                <w:lang w:val="en-US" w:eastAsia="zh-CN" w:bidi="ar"/>
              </w:rPr>
              <w:t>=</w:t>
            </w:r>
            <w:r>
              <w:rPr>
                <w:rStyle w:val="16"/>
                <w:color w:val="auto"/>
                <w:lang w:val="en-US" w:eastAsia="zh-CN" w:bidi="ar"/>
              </w:rPr>
              <w:t>完成及时率</w:t>
            </w:r>
            <w:r>
              <w:rPr>
                <w:rStyle w:val="17"/>
                <w:rFonts w:eastAsia="宋体"/>
                <w:color w:val="auto"/>
                <w:lang w:val="en-US" w:eastAsia="zh-CN" w:bidi="ar"/>
              </w:rPr>
              <w:t>×4</w:t>
            </w:r>
            <w:r>
              <w:rPr>
                <w:rStyle w:val="16"/>
                <w:color w:val="auto"/>
                <w:lang w:val="en-US" w:eastAsia="zh-CN" w:bidi="ar"/>
              </w:rPr>
              <w:t>分。</w:t>
            </w:r>
          </w:p>
        </w:tc>
        <w:tc>
          <w:tcPr>
            <w:tcW w:w="2115" w:type="dxa"/>
            <w:tcBorders>
              <w:tl2br w:val="nil"/>
              <w:tr2bl w:val="nil"/>
            </w:tcBorders>
            <w:noWrap w:val="0"/>
            <w:vAlign w:val="center"/>
          </w:tcPr>
          <w:p w14:paraId="1E17BD6B">
            <w:pPr>
              <w:jc w:val="left"/>
              <w:rPr>
                <w:rFonts w:hint="default" w:ascii="Times New Roman" w:hAnsi="Times New Roman" w:eastAsia="宋体" w:cs="Times New Roman"/>
                <w:i w:val="0"/>
                <w:iCs w:val="0"/>
                <w:color w:val="auto"/>
                <w:sz w:val="18"/>
                <w:szCs w:val="18"/>
                <w:u w:val="none"/>
              </w:rPr>
            </w:pPr>
          </w:p>
        </w:tc>
        <w:tc>
          <w:tcPr>
            <w:tcW w:w="586" w:type="dxa"/>
            <w:tcBorders>
              <w:tl2br w:val="nil"/>
              <w:tr2bl w:val="nil"/>
            </w:tcBorders>
            <w:noWrap w:val="0"/>
            <w:vAlign w:val="center"/>
          </w:tcPr>
          <w:p w14:paraId="62BB160A">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4</w:t>
            </w:r>
          </w:p>
        </w:tc>
      </w:tr>
      <w:tr w14:paraId="7649E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5EED32AA">
            <w:pPr>
              <w:jc w:val="center"/>
              <w:rPr>
                <w:rFonts w:hint="default" w:ascii="Times New Roman" w:hAnsi="Times New Roman" w:eastAsia="宋体" w:cs="Times New Roman"/>
                <w:i w:val="0"/>
                <w:iCs w:val="0"/>
                <w:color w:val="auto"/>
                <w:sz w:val="18"/>
                <w:szCs w:val="18"/>
                <w:u w:val="none"/>
              </w:rPr>
            </w:pPr>
          </w:p>
        </w:tc>
        <w:tc>
          <w:tcPr>
            <w:tcW w:w="870" w:type="dxa"/>
            <w:vMerge w:val="continue"/>
            <w:tcBorders>
              <w:tl2br w:val="nil"/>
              <w:tr2bl w:val="nil"/>
            </w:tcBorders>
            <w:noWrap w:val="0"/>
            <w:vAlign w:val="center"/>
          </w:tcPr>
          <w:p w14:paraId="6F4E39A5">
            <w:pPr>
              <w:jc w:val="center"/>
              <w:rPr>
                <w:rFonts w:hint="default" w:ascii="Times New Roman" w:hAnsi="Times New Roman" w:eastAsia="宋体" w:cs="Times New Roman"/>
                <w:i w:val="0"/>
                <w:iCs w:val="0"/>
                <w:color w:val="auto"/>
                <w:sz w:val="18"/>
                <w:szCs w:val="18"/>
                <w:u w:val="none"/>
              </w:rPr>
            </w:pPr>
          </w:p>
        </w:tc>
        <w:tc>
          <w:tcPr>
            <w:tcW w:w="1050" w:type="dxa"/>
            <w:tcBorders>
              <w:tl2br w:val="nil"/>
              <w:tr2bl w:val="nil"/>
            </w:tcBorders>
            <w:noWrap w:val="0"/>
            <w:vAlign w:val="center"/>
          </w:tcPr>
          <w:p w14:paraId="0B8FFD09">
            <w:pPr>
              <w:keepNext w:val="0"/>
              <w:keepLines w:val="0"/>
              <w:widowControl/>
              <w:suppressLineNumbers w:val="0"/>
              <w:jc w:val="center"/>
              <w:textAlignment w:val="center"/>
              <w:rPr>
                <w:rStyle w:val="16"/>
                <w:color w:val="auto"/>
                <w:lang w:val="en-US" w:eastAsia="zh-CN" w:bidi="ar"/>
              </w:rPr>
            </w:pPr>
            <w:r>
              <w:rPr>
                <w:rStyle w:val="16"/>
                <w:color w:val="auto"/>
                <w:lang w:val="en-US" w:eastAsia="zh-CN" w:bidi="ar"/>
              </w:rPr>
              <w:t>质量</w:t>
            </w:r>
          </w:p>
          <w:p w14:paraId="5F414B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达标率</w:t>
            </w:r>
          </w:p>
        </w:tc>
        <w:tc>
          <w:tcPr>
            <w:tcW w:w="495" w:type="dxa"/>
            <w:tcBorders>
              <w:tl2br w:val="nil"/>
              <w:tr2bl w:val="nil"/>
            </w:tcBorders>
            <w:noWrap w:val="0"/>
            <w:vAlign w:val="center"/>
          </w:tcPr>
          <w:p w14:paraId="738508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2570" w:type="dxa"/>
            <w:tcBorders>
              <w:tl2br w:val="nil"/>
              <w:tr2bl w:val="nil"/>
            </w:tcBorders>
            <w:noWrap w:val="0"/>
            <w:vAlign w:val="center"/>
          </w:tcPr>
          <w:p w14:paraId="2C21F50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达到质量标准（绩效标准值）的实际工作数与计划工作数的比率</w:t>
            </w:r>
            <w:r>
              <w:rPr>
                <w:rStyle w:val="17"/>
                <w:rFonts w:eastAsia="宋体"/>
                <w:color w:val="auto"/>
                <w:lang w:val="en-US" w:eastAsia="zh-CN" w:bidi="ar"/>
              </w:rPr>
              <w:t>,</w:t>
            </w:r>
            <w:r>
              <w:rPr>
                <w:rStyle w:val="16"/>
                <w:color w:val="auto"/>
                <w:lang w:val="en-US" w:eastAsia="zh-CN" w:bidi="ar"/>
              </w:rPr>
              <w:t>用以反映和考核部门履职质量目标的实现程度。</w:t>
            </w:r>
          </w:p>
        </w:tc>
        <w:tc>
          <w:tcPr>
            <w:tcW w:w="5112" w:type="dxa"/>
            <w:tcBorders>
              <w:tl2br w:val="nil"/>
              <w:tr2bl w:val="nil"/>
            </w:tcBorders>
            <w:noWrap w:val="0"/>
            <w:vAlign w:val="center"/>
          </w:tcPr>
          <w:p w14:paraId="2096B7A4">
            <w:pPr>
              <w:keepNext w:val="0"/>
              <w:keepLines w:val="0"/>
              <w:widowControl/>
              <w:suppressLineNumbers w:val="0"/>
              <w:jc w:val="left"/>
              <w:textAlignment w:val="center"/>
              <w:rPr>
                <w:rStyle w:val="16"/>
                <w:color w:val="auto"/>
                <w:lang w:val="en-US" w:eastAsia="zh-CN" w:bidi="ar"/>
              </w:rPr>
            </w:pPr>
          </w:p>
          <w:p w14:paraId="588A7F5B">
            <w:pPr>
              <w:keepNext w:val="0"/>
              <w:keepLines w:val="0"/>
              <w:widowControl/>
              <w:suppressLineNumbers w:val="0"/>
              <w:jc w:val="left"/>
              <w:textAlignment w:val="center"/>
              <w:rPr>
                <w:rStyle w:val="16"/>
                <w:color w:val="auto"/>
                <w:lang w:val="en-US" w:eastAsia="zh-CN" w:bidi="ar"/>
              </w:rPr>
            </w:pPr>
            <w:r>
              <w:rPr>
                <w:rStyle w:val="16"/>
                <w:color w:val="auto"/>
                <w:lang w:val="en-US" w:eastAsia="zh-CN" w:bidi="ar"/>
              </w:rPr>
              <w:t>质量达标率</w:t>
            </w:r>
            <w:r>
              <w:rPr>
                <w:rStyle w:val="17"/>
                <w:rFonts w:eastAsia="宋体"/>
                <w:color w:val="auto"/>
                <w:lang w:val="en-US" w:eastAsia="zh-CN" w:bidi="ar"/>
              </w:rPr>
              <w:t>=</w:t>
            </w:r>
            <w:r>
              <w:rPr>
                <w:rStyle w:val="16"/>
                <w:color w:val="auto"/>
                <w:lang w:val="en-US" w:eastAsia="zh-CN" w:bidi="ar"/>
              </w:rPr>
              <w:t>（质量达标实际工作数</w:t>
            </w:r>
            <w:r>
              <w:rPr>
                <w:rStyle w:val="17"/>
                <w:rFonts w:eastAsia="宋体"/>
                <w:color w:val="auto"/>
                <w:lang w:val="en-US" w:eastAsia="zh-CN" w:bidi="ar"/>
              </w:rPr>
              <w:t>/</w:t>
            </w:r>
            <w:r>
              <w:rPr>
                <w:rStyle w:val="16"/>
                <w:color w:val="auto"/>
                <w:lang w:val="en-US" w:eastAsia="zh-CN" w:bidi="ar"/>
              </w:rPr>
              <w:t>计划工作数）</w:t>
            </w:r>
            <w:r>
              <w:rPr>
                <w:rStyle w:val="17"/>
                <w:rFonts w:eastAsia="宋体"/>
                <w:color w:val="auto"/>
                <w:lang w:val="en-US" w:eastAsia="zh-CN" w:bidi="ar"/>
              </w:rPr>
              <w:t>×100%</w:t>
            </w:r>
            <w:r>
              <w:rPr>
                <w:rStyle w:val="16"/>
                <w:color w:val="auto"/>
                <w:lang w:val="en-US" w:eastAsia="zh-CN" w:bidi="ar"/>
              </w:rPr>
              <w:t>。质量达标实际工作数：一定时期（年度或规划期）内部门实际完成工作数中达到部门绩效目标要求（绩效标准值）的工作任务数量。</w:t>
            </w:r>
          </w:p>
          <w:p w14:paraId="70856DB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该项得分</w:t>
            </w:r>
            <w:r>
              <w:rPr>
                <w:rStyle w:val="17"/>
                <w:rFonts w:eastAsia="宋体"/>
                <w:color w:val="auto"/>
                <w:lang w:val="en-US" w:eastAsia="zh-CN" w:bidi="ar"/>
              </w:rPr>
              <w:t>=</w:t>
            </w:r>
            <w:r>
              <w:rPr>
                <w:rStyle w:val="16"/>
                <w:color w:val="auto"/>
                <w:lang w:val="en-US" w:eastAsia="zh-CN" w:bidi="ar"/>
              </w:rPr>
              <w:t>达标率</w:t>
            </w:r>
            <w:r>
              <w:rPr>
                <w:rStyle w:val="17"/>
                <w:rFonts w:eastAsia="宋体"/>
                <w:color w:val="auto"/>
                <w:lang w:val="en-US" w:eastAsia="zh-CN" w:bidi="ar"/>
              </w:rPr>
              <w:t>×4</w:t>
            </w:r>
            <w:r>
              <w:rPr>
                <w:rStyle w:val="16"/>
                <w:color w:val="auto"/>
                <w:lang w:val="en-US" w:eastAsia="zh-CN" w:bidi="ar"/>
              </w:rPr>
              <w:t>分。</w:t>
            </w:r>
          </w:p>
        </w:tc>
        <w:tc>
          <w:tcPr>
            <w:tcW w:w="2115" w:type="dxa"/>
            <w:tcBorders>
              <w:tl2br w:val="nil"/>
              <w:tr2bl w:val="nil"/>
            </w:tcBorders>
            <w:noWrap w:val="0"/>
            <w:vAlign w:val="center"/>
          </w:tcPr>
          <w:p w14:paraId="47742F68">
            <w:pPr>
              <w:jc w:val="left"/>
              <w:rPr>
                <w:rFonts w:hint="default" w:ascii="Times New Roman" w:hAnsi="Times New Roman" w:eastAsia="宋体" w:cs="Times New Roman"/>
                <w:i w:val="0"/>
                <w:iCs w:val="0"/>
                <w:color w:val="auto"/>
                <w:sz w:val="18"/>
                <w:szCs w:val="18"/>
                <w:u w:val="none"/>
              </w:rPr>
            </w:pPr>
          </w:p>
        </w:tc>
        <w:tc>
          <w:tcPr>
            <w:tcW w:w="586" w:type="dxa"/>
            <w:tcBorders>
              <w:tl2br w:val="nil"/>
              <w:tr2bl w:val="nil"/>
            </w:tcBorders>
            <w:noWrap w:val="0"/>
            <w:vAlign w:val="center"/>
          </w:tcPr>
          <w:p w14:paraId="25F0FE90">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4</w:t>
            </w:r>
          </w:p>
        </w:tc>
      </w:tr>
      <w:tr w14:paraId="2CD46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7248B745">
            <w:pPr>
              <w:jc w:val="center"/>
              <w:rPr>
                <w:rFonts w:hint="default" w:ascii="Times New Roman" w:hAnsi="Times New Roman" w:eastAsia="宋体" w:cs="Times New Roman"/>
                <w:i w:val="0"/>
                <w:iCs w:val="0"/>
                <w:color w:val="auto"/>
                <w:sz w:val="18"/>
                <w:szCs w:val="18"/>
                <w:u w:val="none"/>
              </w:rPr>
            </w:pPr>
          </w:p>
        </w:tc>
        <w:tc>
          <w:tcPr>
            <w:tcW w:w="870" w:type="dxa"/>
            <w:vMerge w:val="continue"/>
            <w:tcBorders>
              <w:tl2br w:val="nil"/>
              <w:tr2bl w:val="nil"/>
            </w:tcBorders>
            <w:noWrap w:val="0"/>
            <w:vAlign w:val="center"/>
          </w:tcPr>
          <w:p w14:paraId="203687B6">
            <w:pPr>
              <w:jc w:val="center"/>
              <w:rPr>
                <w:rFonts w:hint="default" w:ascii="Times New Roman" w:hAnsi="Times New Roman" w:eastAsia="宋体" w:cs="Times New Roman"/>
                <w:i w:val="0"/>
                <w:iCs w:val="0"/>
                <w:color w:val="auto"/>
                <w:sz w:val="18"/>
                <w:szCs w:val="18"/>
                <w:u w:val="none"/>
              </w:rPr>
            </w:pPr>
          </w:p>
        </w:tc>
        <w:tc>
          <w:tcPr>
            <w:tcW w:w="1050" w:type="dxa"/>
            <w:tcBorders>
              <w:tl2br w:val="nil"/>
              <w:tr2bl w:val="nil"/>
            </w:tcBorders>
            <w:noWrap w:val="0"/>
            <w:vAlign w:val="center"/>
          </w:tcPr>
          <w:p w14:paraId="1164C4E7">
            <w:pPr>
              <w:keepNext w:val="0"/>
              <w:keepLines w:val="0"/>
              <w:widowControl/>
              <w:suppressLineNumbers w:val="0"/>
              <w:jc w:val="center"/>
              <w:textAlignment w:val="center"/>
              <w:rPr>
                <w:rStyle w:val="16"/>
                <w:color w:val="auto"/>
                <w:lang w:val="en-US" w:eastAsia="zh-CN" w:bidi="ar"/>
              </w:rPr>
            </w:pPr>
            <w:r>
              <w:rPr>
                <w:rStyle w:val="16"/>
                <w:color w:val="auto"/>
                <w:lang w:val="en-US" w:eastAsia="zh-CN" w:bidi="ar"/>
              </w:rPr>
              <w:t>重点工作</w:t>
            </w:r>
          </w:p>
          <w:p w14:paraId="61E460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办结率</w:t>
            </w:r>
          </w:p>
        </w:tc>
        <w:tc>
          <w:tcPr>
            <w:tcW w:w="495" w:type="dxa"/>
            <w:tcBorders>
              <w:tl2br w:val="nil"/>
              <w:tr2bl w:val="nil"/>
            </w:tcBorders>
            <w:noWrap w:val="0"/>
            <w:vAlign w:val="center"/>
          </w:tcPr>
          <w:p w14:paraId="35C685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2570" w:type="dxa"/>
            <w:tcBorders>
              <w:tl2br w:val="nil"/>
              <w:tr2bl w:val="nil"/>
            </w:tcBorders>
            <w:noWrap w:val="0"/>
            <w:vAlign w:val="center"/>
          </w:tcPr>
          <w:p w14:paraId="0400266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504108BF">
            <w:pPr>
              <w:keepNext w:val="0"/>
              <w:keepLines w:val="0"/>
              <w:widowControl/>
              <w:suppressLineNumbers w:val="0"/>
              <w:jc w:val="left"/>
              <w:textAlignment w:val="center"/>
              <w:rPr>
                <w:rStyle w:val="16"/>
                <w:color w:val="auto"/>
                <w:lang w:val="en-US" w:eastAsia="zh-CN" w:bidi="ar"/>
              </w:rPr>
            </w:pPr>
            <w:r>
              <w:rPr>
                <w:rStyle w:val="16"/>
                <w:color w:val="auto"/>
                <w:lang w:val="en-US" w:eastAsia="zh-CN" w:bidi="ar"/>
              </w:rPr>
              <w:t>重点工作办结率</w:t>
            </w:r>
            <w:r>
              <w:rPr>
                <w:rStyle w:val="17"/>
                <w:rFonts w:eastAsia="宋体"/>
                <w:color w:val="auto"/>
                <w:lang w:val="en-US" w:eastAsia="zh-CN" w:bidi="ar"/>
              </w:rPr>
              <w:t>=</w:t>
            </w:r>
            <w:r>
              <w:rPr>
                <w:rStyle w:val="16"/>
                <w:color w:val="auto"/>
                <w:lang w:val="en-US" w:eastAsia="zh-CN" w:bidi="ar"/>
              </w:rPr>
              <w:t>（重点工作实际完成数</w:t>
            </w:r>
            <w:r>
              <w:rPr>
                <w:rStyle w:val="17"/>
                <w:rFonts w:eastAsia="宋体"/>
                <w:color w:val="auto"/>
                <w:lang w:val="en-US" w:eastAsia="zh-CN" w:bidi="ar"/>
              </w:rPr>
              <w:t>/</w:t>
            </w:r>
            <w:r>
              <w:rPr>
                <w:rStyle w:val="16"/>
                <w:color w:val="auto"/>
                <w:lang w:val="en-US" w:eastAsia="zh-CN" w:bidi="ar"/>
              </w:rPr>
              <w:t>交办或下达数）</w:t>
            </w:r>
            <w:r>
              <w:rPr>
                <w:rStyle w:val="17"/>
                <w:rFonts w:eastAsia="宋体"/>
                <w:color w:val="auto"/>
                <w:lang w:val="en-US" w:eastAsia="zh-CN" w:bidi="ar"/>
              </w:rPr>
              <w:t>×100%</w:t>
            </w:r>
            <w:r>
              <w:rPr>
                <w:rStyle w:val="16"/>
                <w:color w:val="auto"/>
                <w:lang w:val="en-US" w:eastAsia="zh-CN" w:bidi="ar"/>
              </w:rPr>
              <w:t>。</w:t>
            </w:r>
          </w:p>
          <w:p w14:paraId="229A9D61">
            <w:pPr>
              <w:keepNext w:val="0"/>
              <w:keepLines w:val="0"/>
              <w:widowControl/>
              <w:suppressLineNumbers w:val="0"/>
              <w:jc w:val="left"/>
              <w:textAlignment w:val="center"/>
              <w:rPr>
                <w:rStyle w:val="16"/>
                <w:color w:val="auto"/>
                <w:lang w:val="en-US" w:eastAsia="zh-CN" w:bidi="ar"/>
              </w:rPr>
            </w:pPr>
            <w:r>
              <w:rPr>
                <w:rStyle w:val="16"/>
                <w:color w:val="auto"/>
                <w:lang w:val="en-US" w:eastAsia="zh-CN" w:bidi="ar"/>
              </w:rPr>
              <w:t>重点工作是指党委、政府、人大、相关部门交办或下达的工作任务。</w:t>
            </w:r>
          </w:p>
          <w:p w14:paraId="3E9280F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该项得分</w:t>
            </w:r>
            <w:r>
              <w:rPr>
                <w:rStyle w:val="17"/>
                <w:rFonts w:eastAsia="宋体"/>
                <w:color w:val="auto"/>
                <w:lang w:val="en-US" w:eastAsia="zh-CN" w:bidi="ar"/>
              </w:rPr>
              <w:t>=</w:t>
            </w:r>
            <w:r>
              <w:rPr>
                <w:rStyle w:val="16"/>
                <w:color w:val="auto"/>
                <w:lang w:val="en-US" w:eastAsia="zh-CN" w:bidi="ar"/>
              </w:rPr>
              <w:t>办结率</w:t>
            </w:r>
            <w:r>
              <w:rPr>
                <w:rStyle w:val="17"/>
                <w:rFonts w:eastAsia="宋体"/>
                <w:color w:val="auto"/>
                <w:lang w:val="en-US" w:eastAsia="zh-CN" w:bidi="ar"/>
              </w:rPr>
              <w:t>×4</w:t>
            </w:r>
            <w:r>
              <w:rPr>
                <w:rStyle w:val="16"/>
                <w:color w:val="auto"/>
                <w:lang w:val="en-US" w:eastAsia="zh-CN" w:bidi="ar"/>
              </w:rPr>
              <w:t>分。</w:t>
            </w:r>
          </w:p>
        </w:tc>
        <w:tc>
          <w:tcPr>
            <w:tcW w:w="2115" w:type="dxa"/>
            <w:tcBorders>
              <w:tl2br w:val="nil"/>
              <w:tr2bl w:val="nil"/>
            </w:tcBorders>
            <w:noWrap w:val="0"/>
            <w:vAlign w:val="center"/>
          </w:tcPr>
          <w:p w14:paraId="0AF6C809">
            <w:pPr>
              <w:jc w:val="left"/>
              <w:rPr>
                <w:rFonts w:hint="default" w:ascii="Times New Roman" w:hAnsi="Times New Roman" w:eastAsia="宋体" w:cs="Times New Roman"/>
                <w:i w:val="0"/>
                <w:iCs w:val="0"/>
                <w:color w:val="auto"/>
                <w:sz w:val="18"/>
                <w:szCs w:val="18"/>
                <w:u w:val="none"/>
              </w:rPr>
            </w:pPr>
          </w:p>
        </w:tc>
        <w:tc>
          <w:tcPr>
            <w:tcW w:w="586" w:type="dxa"/>
            <w:tcBorders>
              <w:tl2br w:val="nil"/>
              <w:tr2bl w:val="nil"/>
            </w:tcBorders>
            <w:noWrap w:val="0"/>
            <w:vAlign w:val="center"/>
          </w:tcPr>
          <w:p w14:paraId="79CF5343">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4</w:t>
            </w:r>
          </w:p>
        </w:tc>
      </w:tr>
      <w:tr w14:paraId="5D802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0C7545B9">
            <w:pPr>
              <w:keepNext w:val="0"/>
              <w:keepLines w:val="0"/>
              <w:widowControl/>
              <w:suppressLineNumbers w:val="0"/>
              <w:jc w:val="center"/>
              <w:textAlignment w:val="center"/>
              <w:rPr>
                <w:rStyle w:val="14"/>
                <w:color w:val="auto"/>
                <w:lang w:val="en-US" w:eastAsia="zh-CN" w:bidi="ar"/>
              </w:rPr>
            </w:pPr>
            <w:r>
              <w:rPr>
                <w:rStyle w:val="14"/>
                <w:color w:val="auto"/>
                <w:lang w:val="en-US" w:eastAsia="zh-CN" w:bidi="ar"/>
              </w:rPr>
              <w:t>效果</w:t>
            </w:r>
          </w:p>
          <w:p w14:paraId="4E5417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4"/>
                <w:color w:val="auto"/>
                <w:lang w:val="en-US" w:eastAsia="zh-CN" w:bidi="ar"/>
              </w:rPr>
              <w:t>（</w:t>
            </w:r>
            <w:r>
              <w:rPr>
                <w:rStyle w:val="15"/>
                <w:rFonts w:eastAsia="宋体"/>
                <w:color w:val="auto"/>
                <w:lang w:val="en-US" w:eastAsia="zh-CN" w:bidi="ar"/>
              </w:rPr>
              <w:t>17</w:t>
            </w:r>
            <w:r>
              <w:rPr>
                <w:rStyle w:val="14"/>
                <w:color w:val="auto"/>
                <w:lang w:val="en-US" w:eastAsia="zh-CN" w:bidi="ar"/>
              </w:rPr>
              <w:t>分）</w:t>
            </w:r>
          </w:p>
        </w:tc>
        <w:tc>
          <w:tcPr>
            <w:tcW w:w="870" w:type="dxa"/>
            <w:vMerge w:val="restart"/>
            <w:tcBorders>
              <w:tl2br w:val="nil"/>
              <w:tr2bl w:val="nil"/>
            </w:tcBorders>
            <w:noWrap w:val="0"/>
            <w:vAlign w:val="center"/>
          </w:tcPr>
          <w:p w14:paraId="68A51A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履职效益（</w:t>
            </w:r>
            <w:r>
              <w:rPr>
                <w:rStyle w:val="17"/>
                <w:rFonts w:eastAsia="宋体"/>
                <w:color w:val="auto"/>
                <w:lang w:val="en-US" w:eastAsia="zh-CN" w:bidi="ar"/>
              </w:rPr>
              <w:t>17</w:t>
            </w:r>
            <w:r>
              <w:rPr>
                <w:rStyle w:val="16"/>
                <w:color w:val="auto"/>
                <w:lang w:val="en-US" w:eastAsia="zh-CN" w:bidi="ar"/>
              </w:rPr>
              <w:t>分）</w:t>
            </w:r>
          </w:p>
        </w:tc>
        <w:tc>
          <w:tcPr>
            <w:tcW w:w="1050" w:type="dxa"/>
            <w:tcBorders>
              <w:tl2br w:val="nil"/>
              <w:tr2bl w:val="nil"/>
            </w:tcBorders>
            <w:noWrap w:val="0"/>
            <w:vAlign w:val="center"/>
          </w:tcPr>
          <w:p w14:paraId="1898225B">
            <w:pPr>
              <w:keepNext w:val="0"/>
              <w:keepLines w:val="0"/>
              <w:widowControl/>
              <w:suppressLineNumbers w:val="0"/>
              <w:jc w:val="center"/>
              <w:textAlignment w:val="center"/>
              <w:rPr>
                <w:rStyle w:val="16"/>
                <w:color w:val="auto"/>
                <w:lang w:val="en-US" w:eastAsia="zh-CN" w:bidi="ar"/>
              </w:rPr>
            </w:pPr>
            <w:r>
              <w:rPr>
                <w:rStyle w:val="16"/>
                <w:color w:val="auto"/>
                <w:lang w:val="en-US" w:eastAsia="zh-CN" w:bidi="ar"/>
              </w:rPr>
              <w:t>经济</w:t>
            </w:r>
          </w:p>
          <w:p w14:paraId="5E972A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效益</w:t>
            </w:r>
          </w:p>
        </w:tc>
        <w:tc>
          <w:tcPr>
            <w:tcW w:w="495" w:type="dxa"/>
            <w:vMerge w:val="restart"/>
            <w:tcBorders>
              <w:tl2br w:val="nil"/>
              <w:tr2bl w:val="nil"/>
            </w:tcBorders>
            <w:noWrap w:val="0"/>
            <w:vAlign w:val="center"/>
          </w:tcPr>
          <w:p w14:paraId="60F9255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2570" w:type="dxa"/>
            <w:vMerge w:val="restart"/>
            <w:tcBorders>
              <w:tl2br w:val="nil"/>
              <w:tr2bl w:val="nil"/>
            </w:tcBorders>
            <w:noWrap w:val="0"/>
            <w:vAlign w:val="center"/>
          </w:tcPr>
          <w:p w14:paraId="4B5C0F8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23C3755F">
            <w:pPr>
              <w:keepNext w:val="0"/>
              <w:keepLines w:val="0"/>
              <w:widowControl/>
              <w:suppressLineNumbers w:val="0"/>
              <w:jc w:val="left"/>
              <w:textAlignment w:val="center"/>
              <w:rPr>
                <w:rStyle w:val="16"/>
                <w:color w:val="auto"/>
                <w:lang w:val="en-US" w:eastAsia="zh-CN" w:bidi="ar"/>
              </w:rPr>
            </w:pPr>
            <w:r>
              <w:rPr>
                <w:rStyle w:val="16"/>
                <w:color w:val="auto"/>
                <w:lang w:val="en-US" w:eastAsia="zh-CN" w:bidi="ar"/>
              </w:rPr>
              <w:t>此三项指标可根据部门实际并结合部门整体支出绩效目标设立情况有选择的进行评价。</w:t>
            </w:r>
          </w:p>
          <w:p w14:paraId="1080C2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6"/>
                <w:color w:val="auto"/>
                <w:lang w:val="en-US" w:eastAsia="zh-CN" w:bidi="ar"/>
              </w:rPr>
              <w:t>该项得分</w:t>
            </w:r>
            <w:r>
              <w:rPr>
                <w:rStyle w:val="17"/>
                <w:rFonts w:eastAsia="宋体"/>
                <w:color w:val="auto"/>
                <w:lang w:val="en-US" w:eastAsia="zh-CN" w:bidi="ar"/>
              </w:rPr>
              <w:t>=</w:t>
            </w:r>
            <w:r>
              <w:rPr>
                <w:rStyle w:val="16"/>
                <w:color w:val="auto"/>
                <w:lang w:val="en-US" w:eastAsia="zh-CN" w:bidi="ar"/>
              </w:rPr>
              <w:t>依据评价内容相应计分。</w:t>
            </w:r>
          </w:p>
        </w:tc>
        <w:tc>
          <w:tcPr>
            <w:tcW w:w="2115" w:type="dxa"/>
            <w:tcBorders>
              <w:tl2br w:val="nil"/>
              <w:tr2bl w:val="nil"/>
            </w:tcBorders>
            <w:noWrap w:val="0"/>
            <w:vAlign w:val="center"/>
          </w:tcPr>
          <w:p w14:paraId="0A10B954">
            <w:pPr>
              <w:jc w:val="left"/>
              <w:rPr>
                <w:rFonts w:hint="default" w:ascii="Times New Roman" w:hAnsi="Times New Roman" w:eastAsia="宋体" w:cs="Times New Roman"/>
                <w:i w:val="0"/>
                <w:iCs w:val="0"/>
                <w:color w:val="auto"/>
                <w:sz w:val="18"/>
                <w:szCs w:val="18"/>
                <w:u w:val="none"/>
              </w:rPr>
            </w:pPr>
          </w:p>
        </w:tc>
        <w:tc>
          <w:tcPr>
            <w:tcW w:w="586" w:type="dxa"/>
            <w:tcBorders>
              <w:tl2br w:val="nil"/>
              <w:tr2bl w:val="nil"/>
            </w:tcBorders>
            <w:noWrap w:val="0"/>
            <w:vAlign w:val="center"/>
          </w:tcPr>
          <w:p w14:paraId="5B238935">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2</w:t>
            </w:r>
          </w:p>
        </w:tc>
      </w:tr>
      <w:tr w14:paraId="48130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306AFD8E">
            <w:pPr>
              <w:jc w:val="center"/>
              <w:rPr>
                <w:rFonts w:hint="default" w:ascii="Times New Roman" w:hAnsi="Times New Roman" w:eastAsia="宋体" w:cs="Times New Roman"/>
                <w:i w:val="0"/>
                <w:iCs w:val="0"/>
                <w:color w:val="auto"/>
                <w:sz w:val="18"/>
                <w:szCs w:val="18"/>
                <w:u w:val="none"/>
              </w:rPr>
            </w:pPr>
          </w:p>
        </w:tc>
        <w:tc>
          <w:tcPr>
            <w:tcW w:w="870" w:type="dxa"/>
            <w:vMerge w:val="continue"/>
            <w:tcBorders>
              <w:tl2br w:val="nil"/>
              <w:tr2bl w:val="nil"/>
            </w:tcBorders>
            <w:noWrap w:val="0"/>
            <w:vAlign w:val="center"/>
          </w:tcPr>
          <w:p w14:paraId="7F3804E1">
            <w:pPr>
              <w:jc w:val="center"/>
              <w:rPr>
                <w:rFonts w:hint="default" w:ascii="Times New Roman" w:hAnsi="Times New Roman" w:eastAsia="宋体" w:cs="Times New Roman"/>
                <w:i w:val="0"/>
                <w:iCs w:val="0"/>
                <w:color w:val="auto"/>
                <w:sz w:val="18"/>
                <w:szCs w:val="18"/>
                <w:u w:val="none"/>
              </w:rPr>
            </w:pPr>
          </w:p>
        </w:tc>
        <w:tc>
          <w:tcPr>
            <w:tcW w:w="1050" w:type="dxa"/>
            <w:tcBorders>
              <w:tl2br w:val="nil"/>
              <w:tr2bl w:val="nil"/>
            </w:tcBorders>
            <w:noWrap w:val="0"/>
            <w:vAlign w:val="center"/>
          </w:tcPr>
          <w:p w14:paraId="5BA0AD8B">
            <w:pPr>
              <w:keepNext w:val="0"/>
              <w:keepLines w:val="0"/>
              <w:widowControl/>
              <w:suppressLineNumbers w:val="0"/>
              <w:jc w:val="center"/>
              <w:textAlignment w:val="center"/>
              <w:rPr>
                <w:rStyle w:val="16"/>
                <w:color w:val="auto"/>
                <w:lang w:val="en-US" w:eastAsia="zh-CN" w:bidi="ar"/>
              </w:rPr>
            </w:pPr>
            <w:r>
              <w:rPr>
                <w:rStyle w:val="16"/>
                <w:color w:val="auto"/>
                <w:lang w:val="en-US" w:eastAsia="zh-CN" w:bidi="ar"/>
              </w:rPr>
              <w:t>社会</w:t>
            </w:r>
          </w:p>
          <w:p w14:paraId="45F597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效益</w:t>
            </w:r>
          </w:p>
        </w:tc>
        <w:tc>
          <w:tcPr>
            <w:tcW w:w="495" w:type="dxa"/>
            <w:vMerge w:val="continue"/>
            <w:tcBorders>
              <w:tl2br w:val="nil"/>
              <w:tr2bl w:val="nil"/>
            </w:tcBorders>
            <w:noWrap w:val="0"/>
            <w:vAlign w:val="center"/>
          </w:tcPr>
          <w:p w14:paraId="1A70622A">
            <w:pPr>
              <w:jc w:val="center"/>
              <w:rPr>
                <w:rFonts w:hint="default" w:ascii="Times New Roman" w:hAnsi="Times New Roman" w:eastAsia="宋体" w:cs="Times New Roman"/>
                <w:i w:val="0"/>
                <w:iCs w:val="0"/>
                <w:color w:val="auto"/>
                <w:sz w:val="18"/>
                <w:szCs w:val="18"/>
                <w:u w:val="none"/>
              </w:rPr>
            </w:pPr>
          </w:p>
        </w:tc>
        <w:tc>
          <w:tcPr>
            <w:tcW w:w="2570" w:type="dxa"/>
            <w:vMerge w:val="continue"/>
            <w:tcBorders>
              <w:tl2br w:val="nil"/>
              <w:tr2bl w:val="nil"/>
            </w:tcBorders>
            <w:noWrap w:val="0"/>
            <w:vAlign w:val="center"/>
          </w:tcPr>
          <w:p w14:paraId="02376FD7">
            <w:pPr>
              <w:jc w:val="left"/>
              <w:rPr>
                <w:rFonts w:hint="default" w:ascii="Times New Roman" w:hAnsi="Times New Roman" w:eastAsia="宋体" w:cs="Times New Roman"/>
                <w:i w:val="0"/>
                <w:iCs w:val="0"/>
                <w:color w:val="auto"/>
                <w:sz w:val="18"/>
                <w:szCs w:val="18"/>
                <w:u w:val="none"/>
              </w:rPr>
            </w:pPr>
          </w:p>
        </w:tc>
        <w:tc>
          <w:tcPr>
            <w:tcW w:w="5112" w:type="dxa"/>
            <w:vMerge w:val="continue"/>
            <w:tcBorders>
              <w:tl2br w:val="nil"/>
              <w:tr2bl w:val="nil"/>
            </w:tcBorders>
            <w:noWrap w:val="0"/>
            <w:vAlign w:val="center"/>
          </w:tcPr>
          <w:p w14:paraId="21926723">
            <w:pPr>
              <w:jc w:val="left"/>
              <w:rPr>
                <w:rFonts w:hint="eastAsia" w:ascii="宋体" w:hAnsi="宋体" w:eastAsia="宋体" w:cs="宋体"/>
                <w:i w:val="0"/>
                <w:iCs w:val="0"/>
                <w:color w:val="auto"/>
                <w:sz w:val="18"/>
                <w:szCs w:val="18"/>
                <w:u w:val="none"/>
              </w:rPr>
            </w:pPr>
          </w:p>
        </w:tc>
        <w:tc>
          <w:tcPr>
            <w:tcW w:w="2115" w:type="dxa"/>
            <w:tcBorders>
              <w:tl2br w:val="nil"/>
              <w:tr2bl w:val="nil"/>
            </w:tcBorders>
            <w:noWrap w:val="0"/>
            <w:vAlign w:val="center"/>
          </w:tcPr>
          <w:p w14:paraId="22B6EFB6">
            <w:pPr>
              <w:jc w:val="left"/>
              <w:rPr>
                <w:rFonts w:hint="default" w:ascii="Times New Roman" w:hAnsi="Times New Roman" w:eastAsia="宋体" w:cs="Times New Roman"/>
                <w:i w:val="0"/>
                <w:iCs w:val="0"/>
                <w:color w:val="auto"/>
                <w:sz w:val="18"/>
                <w:szCs w:val="18"/>
                <w:u w:val="none"/>
              </w:rPr>
            </w:pPr>
          </w:p>
        </w:tc>
        <w:tc>
          <w:tcPr>
            <w:tcW w:w="586" w:type="dxa"/>
            <w:tcBorders>
              <w:tl2br w:val="nil"/>
              <w:tr2bl w:val="nil"/>
            </w:tcBorders>
            <w:noWrap w:val="0"/>
            <w:vAlign w:val="center"/>
          </w:tcPr>
          <w:p w14:paraId="04BF01B5">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6</w:t>
            </w:r>
          </w:p>
        </w:tc>
      </w:tr>
      <w:tr w14:paraId="7188F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4A39BFAE">
            <w:pPr>
              <w:jc w:val="center"/>
              <w:rPr>
                <w:rFonts w:hint="default" w:ascii="Times New Roman" w:hAnsi="Times New Roman" w:eastAsia="宋体" w:cs="Times New Roman"/>
                <w:i w:val="0"/>
                <w:iCs w:val="0"/>
                <w:color w:val="auto"/>
                <w:sz w:val="18"/>
                <w:szCs w:val="18"/>
                <w:u w:val="none"/>
              </w:rPr>
            </w:pPr>
          </w:p>
        </w:tc>
        <w:tc>
          <w:tcPr>
            <w:tcW w:w="870" w:type="dxa"/>
            <w:vMerge w:val="continue"/>
            <w:tcBorders>
              <w:tl2br w:val="nil"/>
              <w:tr2bl w:val="nil"/>
            </w:tcBorders>
            <w:noWrap w:val="0"/>
            <w:vAlign w:val="center"/>
          </w:tcPr>
          <w:p w14:paraId="30B3E742">
            <w:pPr>
              <w:jc w:val="center"/>
              <w:rPr>
                <w:rFonts w:hint="default" w:ascii="Times New Roman" w:hAnsi="Times New Roman" w:eastAsia="宋体" w:cs="Times New Roman"/>
                <w:i w:val="0"/>
                <w:iCs w:val="0"/>
                <w:color w:val="auto"/>
                <w:sz w:val="18"/>
                <w:szCs w:val="18"/>
                <w:u w:val="none"/>
              </w:rPr>
            </w:pPr>
          </w:p>
        </w:tc>
        <w:tc>
          <w:tcPr>
            <w:tcW w:w="1050" w:type="dxa"/>
            <w:tcBorders>
              <w:tl2br w:val="nil"/>
              <w:tr2bl w:val="nil"/>
            </w:tcBorders>
            <w:noWrap w:val="0"/>
            <w:vAlign w:val="center"/>
          </w:tcPr>
          <w:p w14:paraId="3FBD19F3">
            <w:pPr>
              <w:keepNext w:val="0"/>
              <w:keepLines w:val="0"/>
              <w:widowControl/>
              <w:suppressLineNumbers w:val="0"/>
              <w:jc w:val="center"/>
              <w:textAlignment w:val="center"/>
              <w:rPr>
                <w:rStyle w:val="16"/>
                <w:color w:val="auto"/>
                <w:lang w:val="en-US" w:eastAsia="zh-CN" w:bidi="ar"/>
              </w:rPr>
            </w:pPr>
            <w:r>
              <w:rPr>
                <w:rStyle w:val="16"/>
                <w:color w:val="auto"/>
                <w:lang w:val="en-US" w:eastAsia="zh-CN" w:bidi="ar"/>
              </w:rPr>
              <w:t>生态</w:t>
            </w:r>
          </w:p>
          <w:p w14:paraId="10EBAA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效益</w:t>
            </w:r>
          </w:p>
        </w:tc>
        <w:tc>
          <w:tcPr>
            <w:tcW w:w="495" w:type="dxa"/>
            <w:vMerge w:val="continue"/>
            <w:tcBorders>
              <w:tl2br w:val="nil"/>
              <w:tr2bl w:val="nil"/>
            </w:tcBorders>
            <w:noWrap w:val="0"/>
            <w:vAlign w:val="center"/>
          </w:tcPr>
          <w:p w14:paraId="342948D7">
            <w:pPr>
              <w:jc w:val="center"/>
              <w:rPr>
                <w:rFonts w:hint="default" w:ascii="Times New Roman" w:hAnsi="Times New Roman" w:eastAsia="宋体" w:cs="Times New Roman"/>
                <w:i w:val="0"/>
                <w:iCs w:val="0"/>
                <w:color w:val="auto"/>
                <w:sz w:val="18"/>
                <w:szCs w:val="18"/>
                <w:u w:val="none"/>
              </w:rPr>
            </w:pPr>
          </w:p>
        </w:tc>
        <w:tc>
          <w:tcPr>
            <w:tcW w:w="2570" w:type="dxa"/>
            <w:vMerge w:val="continue"/>
            <w:tcBorders>
              <w:tl2br w:val="nil"/>
              <w:tr2bl w:val="nil"/>
            </w:tcBorders>
            <w:noWrap w:val="0"/>
            <w:vAlign w:val="center"/>
          </w:tcPr>
          <w:p w14:paraId="03EF142E">
            <w:pPr>
              <w:jc w:val="left"/>
              <w:rPr>
                <w:rFonts w:hint="default" w:ascii="Times New Roman" w:hAnsi="Times New Roman" w:eastAsia="宋体" w:cs="Times New Roman"/>
                <w:i w:val="0"/>
                <w:iCs w:val="0"/>
                <w:color w:val="auto"/>
                <w:sz w:val="18"/>
                <w:szCs w:val="18"/>
                <w:u w:val="none"/>
              </w:rPr>
            </w:pPr>
          </w:p>
        </w:tc>
        <w:tc>
          <w:tcPr>
            <w:tcW w:w="5112" w:type="dxa"/>
            <w:vMerge w:val="continue"/>
            <w:tcBorders>
              <w:tl2br w:val="nil"/>
              <w:tr2bl w:val="nil"/>
            </w:tcBorders>
            <w:noWrap w:val="0"/>
            <w:vAlign w:val="center"/>
          </w:tcPr>
          <w:p w14:paraId="6E42D374">
            <w:pPr>
              <w:jc w:val="left"/>
              <w:rPr>
                <w:rFonts w:hint="eastAsia" w:ascii="宋体" w:hAnsi="宋体" w:eastAsia="宋体" w:cs="宋体"/>
                <w:i w:val="0"/>
                <w:iCs w:val="0"/>
                <w:color w:val="auto"/>
                <w:sz w:val="18"/>
                <w:szCs w:val="18"/>
                <w:u w:val="none"/>
              </w:rPr>
            </w:pPr>
          </w:p>
        </w:tc>
        <w:tc>
          <w:tcPr>
            <w:tcW w:w="2115" w:type="dxa"/>
            <w:tcBorders>
              <w:tl2br w:val="nil"/>
              <w:tr2bl w:val="nil"/>
            </w:tcBorders>
            <w:noWrap w:val="0"/>
            <w:vAlign w:val="center"/>
          </w:tcPr>
          <w:p w14:paraId="6A38123D">
            <w:pPr>
              <w:jc w:val="left"/>
              <w:rPr>
                <w:rFonts w:hint="default" w:ascii="Times New Roman" w:hAnsi="Times New Roman" w:eastAsia="宋体" w:cs="Times New Roman"/>
                <w:i w:val="0"/>
                <w:iCs w:val="0"/>
                <w:color w:val="auto"/>
                <w:sz w:val="18"/>
                <w:szCs w:val="18"/>
                <w:u w:val="none"/>
              </w:rPr>
            </w:pPr>
          </w:p>
        </w:tc>
        <w:tc>
          <w:tcPr>
            <w:tcW w:w="586" w:type="dxa"/>
            <w:tcBorders>
              <w:tl2br w:val="nil"/>
              <w:tr2bl w:val="nil"/>
            </w:tcBorders>
            <w:noWrap w:val="0"/>
            <w:vAlign w:val="center"/>
          </w:tcPr>
          <w:p w14:paraId="4315766F">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1</w:t>
            </w:r>
          </w:p>
        </w:tc>
      </w:tr>
      <w:tr w14:paraId="6E134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1FC0FA7D">
            <w:pPr>
              <w:jc w:val="center"/>
              <w:rPr>
                <w:rFonts w:hint="default" w:ascii="Times New Roman" w:hAnsi="Times New Roman" w:eastAsia="宋体" w:cs="Times New Roman"/>
                <w:i w:val="0"/>
                <w:iCs w:val="0"/>
                <w:color w:val="auto"/>
                <w:sz w:val="18"/>
                <w:szCs w:val="18"/>
                <w:u w:val="none"/>
              </w:rPr>
            </w:pPr>
          </w:p>
        </w:tc>
        <w:tc>
          <w:tcPr>
            <w:tcW w:w="870" w:type="dxa"/>
            <w:vMerge w:val="continue"/>
            <w:tcBorders>
              <w:tl2br w:val="nil"/>
              <w:tr2bl w:val="nil"/>
            </w:tcBorders>
            <w:noWrap w:val="0"/>
            <w:vAlign w:val="center"/>
          </w:tcPr>
          <w:p w14:paraId="0AEB7804">
            <w:pPr>
              <w:jc w:val="center"/>
              <w:rPr>
                <w:rFonts w:hint="default" w:ascii="Times New Roman" w:hAnsi="Times New Roman" w:eastAsia="宋体" w:cs="Times New Roman"/>
                <w:i w:val="0"/>
                <w:iCs w:val="0"/>
                <w:color w:val="auto"/>
                <w:sz w:val="18"/>
                <w:szCs w:val="18"/>
                <w:u w:val="none"/>
              </w:rPr>
            </w:pPr>
          </w:p>
        </w:tc>
        <w:tc>
          <w:tcPr>
            <w:tcW w:w="1050" w:type="dxa"/>
            <w:tcBorders>
              <w:tl2br w:val="nil"/>
              <w:tr2bl w:val="nil"/>
            </w:tcBorders>
            <w:noWrap w:val="0"/>
            <w:vAlign w:val="center"/>
          </w:tcPr>
          <w:p w14:paraId="760F05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社会公众或服务对象满意度</w:t>
            </w:r>
          </w:p>
        </w:tc>
        <w:tc>
          <w:tcPr>
            <w:tcW w:w="495" w:type="dxa"/>
            <w:tcBorders>
              <w:tl2br w:val="nil"/>
              <w:tr2bl w:val="nil"/>
            </w:tcBorders>
            <w:noWrap w:val="0"/>
            <w:vAlign w:val="center"/>
          </w:tcPr>
          <w:p w14:paraId="218B27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2570" w:type="dxa"/>
            <w:tcBorders>
              <w:tl2br w:val="nil"/>
              <w:tr2bl w:val="nil"/>
            </w:tcBorders>
            <w:noWrap w:val="0"/>
            <w:vAlign w:val="center"/>
          </w:tcPr>
          <w:p w14:paraId="4501DA3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6"/>
                <w:color w:val="auto"/>
                <w:lang w:val="en-US" w:eastAsia="zh-CN" w:bidi="ar"/>
              </w:rPr>
              <w:t>社会公众或部门的服务对象对部门履职效果的满意程度。</w:t>
            </w:r>
          </w:p>
        </w:tc>
        <w:tc>
          <w:tcPr>
            <w:tcW w:w="5112" w:type="dxa"/>
            <w:tcBorders>
              <w:tl2br w:val="nil"/>
              <w:tr2bl w:val="nil"/>
            </w:tcBorders>
            <w:noWrap w:val="0"/>
            <w:vAlign w:val="center"/>
          </w:tcPr>
          <w:p w14:paraId="21570E20">
            <w:pPr>
              <w:keepNext w:val="0"/>
              <w:keepLines w:val="0"/>
              <w:widowControl/>
              <w:suppressLineNumbers w:val="0"/>
              <w:jc w:val="left"/>
              <w:textAlignment w:val="center"/>
              <w:rPr>
                <w:rStyle w:val="16"/>
                <w:color w:val="auto"/>
                <w:lang w:val="en-US" w:eastAsia="zh-CN" w:bidi="ar"/>
              </w:rPr>
            </w:pPr>
          </w:p>
          <w:p w14:paraId="0D2AAB31">
            <w:pPr>
              <w:keepNext w:val="0"/>
              <w:keepLines w:val="0"/>
              <w:widowControl/>
              <w:suppressLineNumbers w:val="0"/>
              <w:jc w:val="left"/>
              <w:textAlignment w:val="center"/>
              <w:rPr>
                <w:rStyle w:val="16"/>
                <w:color w:val="auto"/>
                <w:lang w:val="en-US" w:eastAsia="zh-CN" w:bidi="ar"/>
              </w:rPr>
            </w:pPr>
            <w:r>
              <w:rPr>
                <w:rStyle w:val="16"/>
                <w:color w:val="auto"/>
                <w:lang w:val="en-US" w:eastAsia="zh-CN" w:bidi="ar"/>
              </w:rPr>
              <w:t>社会公众或服务对象是指部门履行职责而影响到的部门、群体或个人。一般采取社会调查的方式</w:t>
            </w:r>
            <w:r>
              <w:rPr>
                <w:rStyle w:val="17"/>
                <w:rFonts w:eastAsia="宋体"/>
                <w:color w:val="auto"/>
                <w:lang w:val="en-US" w:eastAsia="zh-CN" w:bidi="ar"/>
              </w:rPr>
              <w:t>(</w:t>
            </w:r>
            <w:r>
              <w:rPr>
                <w:rStyle w:val="16"/>
                <w:color w:val="auto"/>
                <w:lang w:val="en-US" w:eastAsia="zh-CN" w:bidi="ar"/>
              </w:rPr>
              <w:t>不少于</w:t>
            </w:r>
            <w:r>
              <w:rPr>
                <w:rStyle w:val="17"/>
                <w:rFonts w:eastAsia="宋体"/>
                <w:color w:val="auto"/>
                <w:lang w:val="en-US" w:eastAsia="zh-CN" w:bidi="ar"/>
              </w:rPr>
              <w:t>30</w:t>
            </w:r>
            <w:r>
              <w:rPr>
                <w:rStyle w:val="16"/>
                <w:color w:val="auto"/>
                <w:lang w:val="en-US" w:eastAsia="zh-CN" w:bidi="ar"/>
              </w:rPr>
              <w:t>份</w:t>
            </w:r>
            <w:r>
              <w:rPr>
                <w:rStyle w:val="17"/>
                <w:rFonts w:eastAsia="宋体"/>
                <w:color w:val="auto"/>
                <w:lang w:val="en-US" w:eastAsia="zh-CN" w:bidi="ar"/>
              </w:rPr>
              <w:t>)</w:t>
            </w:r>
            <w:r>
              <w:rPr>
                <w:rStyle w:val="16"/>
                <w:color w:val="auto"/>
                <w:lang w:val="en-US" w:eastAsia="zh-CN" w:bidi="ar"/>
              </w:rPr>
              <w:t>。</w:t>
            </w:r>
          </w:p>
          <w:p w14:paraId="3FCBA6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6"/>
                <w:color w:val="auto"/>
                <w:lang w:val="en-US" w:eastAsia="zh-CN" w:bidi="ar"/>
              </w:rPr>
              <w:t>该项得分</w:t>
            </w:r>
            <w:r>
              <w:rPr>
                <w:rStyle w:val="17"/>
                <w:rFonts w:eastAsia="宋体"/>
                <w:color w:val="auto"/>
                <w:lang w:val="en-US" w:eastAsia="zh-CN" w:bidi="ar"/>
              </w:rPr>
              <w:t>=</w:t>
            </w:r>
            <w:r>
              <w:rPr>
                <w:rStyle w:val="16"/>
                <w:color w:val="auto"/>
                <w:lang w:val="en-US" w:eastAsia="zh-CN" w:bidi="ar"/>
              </w:rPr>
              <w:t>满意率</w:t>
            </w:r>
            <w:r>
              <w:rPr>
                <w:rStyle w:val="17"/>
                <w:rFonts w:eastAsia="宋体"/>
                <w:color w:val="auto"/>
                <w:lang w:val="en-US" w:eastAsia="zh-CN" w:bidi="ar"/>
              </w:rPr>
              <w:t>×8</w:t>
            </w:r>
            <w:r>
              <w:rPr>
                <w:rStyle w:val="16"/>
                <w:color w:val="auto"/>
                <w:lang w:val="en-US" w:eastAsia="zh-CN" w:bidi="ar"/>
              </w:rPr>
              <w:t>分。</w:t>
            </w:r>
          </w:p>
        </w:tc>
        <w:tc>
          <w:tcPr>
            <w:tcW w:w="2115" w:type="dxa"/>
            <w:tcBorders>
              <w:tl2br w:val="nil"/>
              <w:tr2bl w:val="nil"/>
            </w:tcBorders>
            <w:noWrap w:val="0"/>
            <w:vAlign w:val="center"/>
          </w:tcPr>
          <w:p w14:paraId="75FF68FB">
            <w:pPr>
              <w:jc w:val="left"/>
              <w:rPr>
                <w:rFonts w:hint="eastAsia" w:ascii="宋体" w:hAnsi="宋体" w:eastAsia="宋体" w:cs="宋体"/>
                <w:i w:val="0"/>
                <w:iCs w:val="0"/>
                <w:color w:val="auto"/>
                <w:sz w:val="18"/>
                <w:szCs w:val="18"/>
                <w:u w:val="none"/>
              </w:rPr>
            </w:pPr>
          </w:p>
        </w:tc>
        <w:tc>
          <w:tcPr>
            <w:tcW w:w="586" w:type="dxa"/>
            <w:tcBorders>
              <w:tl2br w:val="nil"/>
              <w:tr2bl w:val="nil"/>
            </w:tcBorders>
            <w:noWrap w:val="0"/>
            <w:vAlign w:val="center"/>
          </w:tcPr>
          <w:p w14:paraId="326893EF">
            <w:pPr>
              <w:jc w:val="left"/>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cs="Times New Roman"/>
                <w:i w:val="0"/>
                <w:iCs w:val="0"/>
                <w:color w:val="auto"/>
                <w:sz w:val="18"/>
                <w:szCs w:val="18"/>
                <w:u w:val="none"/>
                <w:lang w:val="en-US" w:eastAsia="zh-CN"/>
              </w:rPr>
              <w:t>8</w:t>
            </w:r>
          </w:p>
        </w:tc>
      </w:tr>
      <w:tr w14:paraId="32D09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93" w:type="dxa"/>
            <w:gridSpan w:val="3"/>
            <w:tcBorders>
              <w:tl2br w:val="nil"/>
              <w:tr2bl w:val="nil"/>
            </w:tcBorders>
            <w:noWrap/>
            <w:vAlign w:val="center"/>
          </w:tcPr>
          <w:p w14:paraId="066904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8"/>
                <w:color w:val="auto"/>
                <w:lang w:val="en-US" w:eastAsia="zh-CN" w:bidi="ar"/>
              </w:rPr>
              <w:t>合</w:t>
            </w:r>
            <w:r>
              <w:rPr>
                <w:rStyle w:val="19"/>
                <w:rFonts w:eastAsia="宋体"/>
                <w:color w:val="auto"/>
                <w:lang w:val="en-US" w:eastAsia="zh-CN" w:bidi="ar"/>
              </w:rPr>
              <w:t xml:space="preserve">  </w:t>
            </w:r>
            <w:r>
              <w:rPr>
                <w:rStyle w:val="18"/>
                <w:color w:val="auto"/>
                <w:lang w:val="en-US" w:eastAsia="zh-CN" w:bidi="ar"/>
              </w:rPr>
              <w:t>计</w:t>
            </w:r>
          </w:p>
        </w:tc>
        <w:tc>
          <w:tcPr>
            <w:tcW w:w="495" w:type="dxa"/>
            <w:tcBorders>
              <w:tl2br w:val="nil"/>
              <w:tr2bl w:val="nil"/>
            </w:tcBorders>
            <w:noWrap/>
            <w:vAlign w:val="center"/>
          </w:tcPr>
          <w:p w14:paraId="726236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2570" w:type="dxa"/>
            <w:tcBorders>
              <w:tl2br w:val="nil"/>
              <w:tr2bl w:val="nil"/>
            </w:tcBorders>
            <w:noWrap/>
            <w:vAlign w:val="center"/>
          </w:tcPr>
          <w:p w14:paraId="1A0429D4">
            <w:pPr>
              <w:rPr>
                <w:rFonts w:hint="default" w:ascii="Times New Roman" w:hAnsi="Times New Roman" w:eastAsia="宋体" w:cs="Times New Roman"/>
                <w:i w:val="0"/>
                <w:iCs w:val="0"/>
                <w:color w:val="auto"/>
                <w:sz w:val="18"/>
                <w:szCs w:val="18"/>
                <w:u w:val="none"/>
              </w:rPr>
            </w:pPr>
          </w:p>
        </w:tc>
        <w:tc>
          <w:tcPr>
            <w:tcW w:w="5112" w:type="dxa"/>
            <w:tcBorders>
              <w:tl2br w:val="nil"/>
              <w:tr2bl w:val="nil"/>
            </w:tcBorders>
            <w:noWrap/>
            <w:vAlign w:val="center"/>
          </w:tcPr>
          <w:p w14:paraId="30D5E965">
            <w:pPr>
              <w:jc w:val="both"/>
              <w:rPr>
                <w:rFonts w:hint="default" w:ascii="Times New Roman" w:hAnsi="Times New Roman" w:eastAsia="宋体" w:cs="Times New Roman"/>
                <w:i w:val="0"/>
                <w:iCs w:val="0"/>
                <w:color w:val="auto"/>
                <w:sz w:val="18"/>
                <w:szCs w:val="18"/>
                <w:u w:val="none"/>
              </w:rPr>
            </w:pPr>
          </w:p>
        </w:tc>
        <w:tc>
          <w:tcPr>
            <w:tcW w:w="2115" w:type="dxa"/>
            <w:tcBorders>
              <w:tl2br w:val="nil"/>
              <w:tr2bl w:val="nil"/>
            </w:tcBorders>
            <w:noWrap/>
            <w:vAlign w:val="center"/>
          </w:tcPr>
          <w:p w14:paraId="71CFAF4D">
            <w:pPr>
              <w:jc w:val="both"/>
              <w:rPr>
                <w:rFonts w:hint="default" w:ascii="Times New Roman" w:hAnsi="Times New Roman" w:eastAsia="宋体" w:cs="Times New Roman"/>
                <w:i w:val="0"/>
                <w:iCs w:val="0"/>
                <w:color w:val="auto"/>
                <w:sz w:val="18"/>
                <w:szCs w:val="18"/>
                <w:u w:val="none"/>
              </w:rPr>
            </w:pPr>
          </w:p>
        </w:tc>
        <w:tc>
          <w:tcPr>
            <w:tcW w:w="586" w:type="dxa"/>
            <w:tcBorders>
              <w:tl2br w:val="nil"/>
              <w:tr2bl w:val="nil"/>
            </w:tcBorders>
            <w:noWrap/>
            <w:vAlign w:val="center"/>
          </w:tcPr>
          <w:p w14:paraId="18DFCBD0">
            <w:pPr>
              <w:jc w:val="both"/>
              <w:rPr>
                <w:rFonts w:hint="default" w:ascii="Times New Roman" w:hAnsi="Times New Roman" w:eastAsia="宋体" w:cs="Times New Roman"/>
                <w:i w:val="0"/>
                <w:iCs w:val="0"/>
                <w:color w:val="auto"/>
                <w:sz w:val="18"/>
                <w:szCs w:val="18"/>
                <w:u w:val="none"/>
                <w:lang w:val="en-US" w:eastAsia="zh-CN"/>
              </w:rPr>
            </w:pPr>
          </w:p>
        </w:tc>
      </w:tr>
    </w:tbl>
    <w:p w14:paraId="0D4FE0D8">
      <w:pPr>
        <w:adjustRightInd w:val="0"/>
        <w:spacing w:line="600" w:lineRule="exact"/>
        <w:ind w:right="641"/>
        <w:rPr>
          <w:rFonts w:hint="eastAsia" w:ascii="黑体" w:eastAsia="黑体"/>
          <w:color w:val="auto"/>
          <w:sz w:val="32"/>
          <w:szCs w:val="32"/>
        </w:rPr>
        <w:sectPr>
          <w:pgSz w:w="16837" w:h="11905" w:orient="landscape"/>
          <w:pgMar w:top="1417" w:right="1417" w:bottom="1417" w:left="1417" w:header="0" w:footer="0" w:gutter="0"/>
          <w:pgNumType w:start="1"/>
          <w:cols w:space="0" w:num="1"/>
          <w:rtlGutter w:val="0"/>
          <w:docGrid w:linePitch="636" w:charSpace="0"/>
        </w:sectPr>
      </w:pPr>
    </w:p>
    <w:p w14:paraId="0AF2BF4A">
      <w:pPr>
        <w:pStyle w:val="6"/>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7D26E8F1">
      <w:pPr>
        <w:pStyle w:val="6"/>
        <w:ind w:left="0" w:leftChars="0" w:firstLine="0" w:firstLine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2023年度部门整体支出绩效评价基础数据表</w:t>
      </w:r>
    </w:p>
    <w:tbl>
      <w:tblPr>
        <w:tblStyle w:val="7"/>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5"/>
        <w:gridCol w:w="1335"/>
        <w:gridCol w:w="1080"/>
        <w:gridCol w:w="2160"/>
        <w:gridCol w:w="1890"/>
      </w:tblGrid>
      <w:tr w14:paraId="68D8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20B4DE">
            <w:pPr>
              <w:keepNext w:val="0"/>
              <w:keepLines w:val="0"/>
              <w:widowControl/>
              <w:suppressLineNumbers w:val="0"/>
              <w:jc w:val="left"/>
              <w:textAlignment w:val="center"/>
              <w:rPr>
                <w:rFonts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0936D9DB">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23A571E">
            <w:pPr>
              <w:keepNext w:val="0"/>
              <w:keepLines w:val="0"/>
              <w:widowControl/>
              <w:suppressLineNumbers w:val="0"/>
              <w:jc w:val="left"/>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C0D976E">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控制率</w:t>
            </w:r>
          </w:p>
        </w:tc>
      </w:tr>
      <w:tr w14:paraId="6C53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A4F0F">
            <w:pPr>
              <w:rPr>
                <w:rFonts w:hint="eastAsia" w:ascii="仿宋" w:hAnsi="仿宋" w:eastAsia="仿宋" w:cs="仿宋"/>
                <w:i w:val="0"/>
                <w:iCs w:val="0"/>
                <w:color w:val="auto"/>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54C76E39">
            <w:pPr>
              <w:jc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22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F1D1570">
            <w:pPr>
              <w:ind w:firstLine="448" w:firstLineChars="0"/>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68D8EA3">
            <w:pPr>
              <w:rPr>
                <w:rFonts w:hint="eastAsia" w:ascii="仿宋" w:hAnsi="仿宋" w:eastAsia="仿宋" w:cs="仿宋"/>
                <w:b/>
                <w:bCs/>
                <w:i w:val="0"/>
                <w:iCs w:val="0"/>
                <w:color w:val="auto"/>
                <w:sz w:val="21"/>
                <w:szCs w:val="21"/>
                <w:u w:val="none"/>
              </w:rPr>
            </w:pPr>
          </w:p>
        </w:tc>
      </w:tr>
      <w:tr w14:paraId="00BF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5847EF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07F2A0A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BB9D75">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6689547">
            <w:pPr>
              <w:keepNext w:val="0"/>
              <w:keepLines w:val="0"/>
              <w:widowControl/>
              <w:suppressLineNumbers w:val="0"/>
              <w:jc w:val="left"/>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2023年决算数</w:t>
            </w:r>
          </w:p>
        </w:tc>
      </w:tr>
      <w:tr w14:paraId="5E13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F6468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AA7AEB5">
            <w:pPr>
              <w:jc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B810E4">
            <w:pP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9377C82">
            <w:pP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0306DDC">
            <w:pPr>
              <w:rPr>
                <w:rFonts w:hint="default" w:ascii="仿宋" w:hAnsi="仿宋" w:eastAsia="仿宋" w:cs="仿宋"/>
                <w:i w:val="0"/>
                <w:iCs w:val="0"/>
                <w:color w:val="auto"/>
                <w:sz w:val="21"/>
                <w:szCs w:val="21"/>
                <w:u w:val="none"/>
                <w:lang w:val="en-US" w:eastAsia="zh-CN"/>
              </w:rPr>
            </w:pPr>
          </w:p>
        </w:tc>
      </w:tr>
      <w:tr w14:paraId="73F0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127CA0D">
            <w:pPr>
              <w:keepNext w:val="0"/>
              <w:keepLines w:val="0"/>
              <w:widowControl/>
              <w:suppressLineNumbers w:val="0"/>
              <w:ind w:firstLine="400" w:firstLineChars="20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A902DE3">
            <w:pPr>
              <w:rPr>
                <w:rFonts w:hint="eastAsia" w:ascii="仿宋" w:hAnsi="仿宋" w:eastAsia="仿宋" w:cs="仿宋"/>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E40914">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1DF2C69">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DE7602B">
            <w:pPr>
              <w:rPr>
                <w:rFonts w:hint="eastAsia" w:ascii="仿宋" w:hAnsi="仿宋" w:eastAsia="仿宋" w:cs="仿宋"/>
                <w:i w:val="0"/>
                <w:iCs w:val="0"/>
                <w:color w:val="auto"/>
                <w:sz w:val="21"/>
                <w:szCs w:val="21"/>
                <w:u w:val="none"/>
              </w:rPr>
            </w:pPr>
          </w:p>
        </w:tc>
      </w:tr>
      <w:tr w14:paraId="3177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BB202B0">
            <w:pPr>
              <w:keepNext w:val="0"/>
              <w:keepLines w:val="0"/>
              <w:widowControl/>
              <w:suppressLineNumbers w:val="0"/>
              <w:ind w:firstLine="400" w:firstLineChars="20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2C9181">
            <w:pPr>
              <w:rPr>
                <w:rFonts w:hint="eastAsia" w:ascii="仿宋" w:hAnsi="仿宋" w:eastAsia="仿宋" w:cs="仿宋"/>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865AB0">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ECF1F96">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7A8F6E3">
            <w:pPr>
              <w:rPr>
                <w:rFonts w:hint="eastAsia" w:ascii="仿宋" w:hAnsi="仿宋" w:eastAsia="仿宋" w:cs="仿宋"/>
                <w:i w:val="0"/>
                <w:iCs w:val="0"/>
                <w:color w:val="auto"/>
                <w:sz w:val="21"/>
                <w:szCs w:val="21"/>
                <w:u w:val="none"/>
              </w:rPr>
            </w:pPr>
          </w:p>
        </w:tc>
      </w:tr>
      <w:tr w14:paraId="1288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CBA7E43">
            <w:pPr>
              <w:keepNext w:val="0"/>
              <w:keepLines w:val="0"/>
              <w:widowControl/>
              <w:suppressLineNumbers w:val="0"/>
              <w:ind w:firstLine="400" w:firstLineChars="20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1086405">
            <w:pPr>
              <w:rPr>
                <w:rFonts w:hint="eastAsia" w:ascii="仿宋" w:hAnsi="仿宋" w:eastAsia="仿宋" w:cs="仿宋"/>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6D6F37">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9327CBF">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9360730">
            <w:pPr>
              <w:rPr>
                <w:rFonts w:hint="eastAsia" w:ascii="仿宋" w:hAnsi="仿宋" w:eastAsia="仿宋" w:cs="仿宋"/>
                <w:i w:val="0"/>
                <w:iCs w:val="0"/>
                <w:color w:val="auto"/>
                <w:sz w:val="21"/>
                <w:szCs w:val="21"/>
                <w:u w:val="none"/>
              </w:rPr>
            </w:pPr>
          </w:p>
        </w:tc>
      </w:tr>
      <w:tr w14:paraId="7286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F75A25F">
            <w:pPr>
              <w:keepNext w:val="0"/>
              <w:keepLines w:val="0"/>
              <w:widowControl/>
              <w:suppressLineNumbers w:val="0"/>
              <w:ind w:firstLine="400" w:firstLineChars="20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7DD78BF">
            <w:pPr>
              <w:rPr>
                <w:rFonts w:hint="eastAsia" w:ascii="仿宋" w:hAnsi="仿宋" w:eastAsia="仿宋" w:cs="仿宋"/>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752655">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58E0702">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87000CA">
            <w:pPr>
              <w:rPr>
                <w:rFonts w:hint="eastAsia" w:ascii="仿宋" w:hAnsi="仿宋" w:eastAsia="仿宋" w:cs="仿宋"/>
                <w:i w:val="0"/>
                <w:iCs w:val="0"/>
                <w:color w:val="auto"/>
                <w:sz w:val="21"/>
                <w:szCs w:val="21"/>
                <w:u w:val="none"/>
              </w:rPr>
            </w:pPr>
          </w:p>
        </w:tc>
      </w:tr>
      <w:tr w14:paraId="625C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789247D">
            <w:pPr>
              <w:keepNext w:val="0"/>
              <w:keepLines w:val="0"/>
              <w:widowControl/>
              <w:suppressLineNumbers w:val="0"/>
              <w:ind w:firstLine="400" w:firstLineChars="20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A8D3414">
            <w:pPr>
              <w:rPr>
                <w:rFonts w:hint="default" w:ascii="仿宋" w:hAnsi="仿宋" w:eastAsia="仿宋" w:cs="仿宋"/>
                <w:i w:val="0"/>
                <w:iCs w:val="0"/>
                <w:color w:val="auto"/>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19BEC0">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A4862BB">
            <w:pPr>
              <w:jc w:val="both"/>
              <w:rPr>
                <w:rFonts w:hint="default" w:ascii="仿宋" w:hAnsi="仿宋" w:eastAsia="仿宋" w:cs="仿宋"/>
                <w:i w:val="0"/>
                <w:iCs w:val="0"/>
                <w:color w:val="auto"/>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420B2CE">
            <w:pPr>
              <w:rPr>
                <w:rFonts w:hint="default" w:ascii="仿宋" w:hAnsi="仿宋" w:eastAsia="仿宋" w:cs="仿宋"/>
                <w:i w:val="0"/>
                <w:iCs w:val="0"/>
                <w:color w:val="auto"/>
                <w:sz w:val="21"/>
                <w:szCs w:val="21"/>
                <w:u w:val="none"/>
                <w:lang w:val="en-US" w:eastAsia="zh-CN"/>
              </w:rPr>
            </w:pPr>
          </w:p>
        </w:tc>
      </w:tr>
      <w:tr w14:paraId="58F2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186E9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F74BB14">
            <w:pPr>
              <w:rPr>
                <w:rFonts w:hint="eastAsia" w:ascii="仿宋" w:hAnsi="仿宋" w:eastAsia="仿宋" w:cs="仿宋"/>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A94C7D">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615CFC1">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6B7CF46">
            <w:pPr>
              <w:rPr>
                <w:rFonts w:hint="eastAsia" w:ascii="仿宋" w:hAnsi="仿宋" w:eastAsia="仿宋" w:cs="仿宋"/>
                <w:i w:val="0"/>
                <w:iCs w:val="0"/>
                <w:color w:val="auto"/>
                <w:sz w:val="21"/>
                <w:szCs w:val="21"/>
                <w:u w:val="none"/>
              </w:rPr>
            </w:pPr>
          </w:p>
        </w:tc>
      </w:tr>
      <w:tr w14:paraId="052F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F9DFC9D">
            <w:pPr>
              <w:keepNext w:val="0"/>
              <w:keepLines w:val="0"/>
              <w:widowControl/>
              <w:suppressLineNumbers w:val="0"/>
              <w:ind w:firstLine="400" w:firstLineChars="20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701C791">
            <w:pPr>
              <w:rPr>
                <w:rFonts w:hint="eastAsia" w:ascii="仿宋" w:hAnsi="仿宋" w:eastAsia="仿宋" w:cs="仿宋"/>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2ECC02">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3C5056B">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330E1CF">
            <w:pPr>
              <w:rPr>
                <w:rFonts w:hint="eastAsia" w:ascii="仿宋" w:hAnsi="仿宋" w:eastAsia="仿宋" w:cs="仿宋"/>
                <w:i w:val="0"/>
                <w:iCs w:val="0"/>
                <w:color w:val="auto"/>
                <w:sz w:val="21"/>
                <w:szCs w:val="21"/>
                <w:u w:val="none"/>
              </w:rPr>
            </w:pPr>
          </w:p>
        </w:tc>
      </w:tr>
      <w:tr w14:paraId="75D28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68D3F7E">
            <w:pPr>
              <w:keepNext w:val="0"/>
              <w:keepLines w:val="0"/>
              <w:widowControl/>
              <w:suppressLineNumbers w:val="0"/>
              <w:ind w:firstLine="400" w:firstLineChars="20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BEE5521">
            <w:pPr>
              <w:rPr>
                <w:rFonts w:hint="eastAsia" w:ascii="仿宋" w:hAnsi="仿宋" w:eastAsia="仿宋" w:cs="仿宋"/>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45BA9B">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175B3DB">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6F1F996">
            <w:pPr>
              <w:rPr>
                <w:rFonts w:hint="eastAsia" w:ascii="仿宋" w:hAnsi="仿宋" w:eastAsia="仿宋" w:cs="仿宋"/>
                <w:i w:val="0"/>
                <w:iCs w:val="0"/>
                <w:color w:val="auto"/>
                <w:sz w:val="21"/>
                <w:szCs w:val="21"/>
                <w:u w:val="none"/>
              </w:rPr>
            </w:pPr>
          </w:p>
        </w:tc>
      </w:tr>
      <w:tr w14:paraId="1A25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79D87F5">
            <w:pPr>
              <w:keepNext w:val="0"/>
              <w:keepLines w:val="0"/>
              <w:widowControl/>
              <w:suppressLineNumbers w:val="0"/>
              <w:ind w:firstLine="400" w:firstLineChars="20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3532FE1">
            <w:pPr>
              <w:rPr>
                <w:rFonts w:hint="eastAsia" w:ascii="仿宋" w:hAnsi="仿宋" w:eastAsia="仿宋" w:cs="仿宋"/>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41362E">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D0BF993">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487641B">
            <w:pPr>
              <w:rPr>
                <w:rFonts w:hint="eastAsia" w:ascii="仿宋" w:hAnsi="仿宋" w:eastAsia="仿宋" w:cs="仿宋"/>
                <w:i w:val="0"/>
                <w:iCs w:val="0"/>
                <w:color w:val="auto"/>
                <w:sz w:val="21"/>
                <w:szCs w:val="21"/>
                <w:u w:val="none"/>
              </w:rPr>
            </w:pPr>
          </w:p>
        </w:tc>
      </w:tr>
      <w:tr w14:paraId="6C46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6F21DB1">
            <w:pPr>
              <w:keepNext w:val="0"/>
              <w:keepLines w:val="0"/>
              <w:widowControl/>
              <w:suppressLineNumbers w:val="0"/>
              <w:ind w:firstLine="800" w:firstLineChars="40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1583A4C">
            <w:pPr>
              <w:rPr>
                <w:rFonts w:hint="eastAsia" w:ascii="仿宋" w:hAnsi="仿宋" w:eastAsia="仿宋" w:cs="仿宋"/>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6B2641">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53F6138">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77C55F6">
            <w:pPr>
              <w:rPr>
                <w:rFonts w:hint="eastAsia" w:ascii="仿宋" w:hAnsi="仿宋" w:eastAsia="仿宋" w:cs="仿宋"/>
                <w:i w:val="0"/>
                <w:iCs w:val="0"/>
                <w:color w:val="auto"/>
                <w:sz w:val="21"/>
                <w:szCs w:val="21"/>
                <w:u w:val="none"/>
              </w:rPr>
            </w:pPr>
          </w:p>
        </w:tc>
      </w:tr>
      <w:tr w14:paraId="116D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B941A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B207AA2">
            <w:pPr>
              <w:rPr>
                <w:rFonts w:hint="default" w:ascii="仿宋" w:hAnsi="仿宋" w:eastAsia="仿宋" w:cs="仿宋"/>
                <w:i w:val="0"/>
                <w:iCs w:val="0"/>
                <w:color w:val="auto"/>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A778D0">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C884433">
            <w:pPr>
              <w:jc w:val="both"/>
              <w:rPr>
                <w:rFonts w:hint="default" w:ascii="仿宋" w:hAnsi="仿宋" w:eastAsia="仿宋" w:cs="仿宋"/>
                <w:i w:val="0"/>
                <w:iCs w:val="0"/>
                <w:color w:val="auto"/>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33E3390">
            <w:pPr>
              <w:rPr>
                <w:rFonts w:hint="default" w:ascii="仿宋" w:hAnsi="仿宋" w:eastAsia="仿宋" w:cs="仿宋"/>
                <w:i w:val="0"/>
                <w:iCs w:val="0"/>
                <w:color w:val="auto"/>
                <w:sz w:val="21"/>
                <w:szCs w:val="21"/>
                <w:u w:val="none"/>
                <w:lang w:val="en-US" w:eastAsia="zh-CN"/>
              </w:rPr>
            </w:pPr>
          </w:p>
        </w:tc>
      </w:tr>
      <w:tr w14:paraId="73C9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84182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8736EC7">
            <w:pPr>
              <w:rPr>
                <w:rFonts w:hint="default" w:ascii="仿宋" w:hAnsi="仿宋" w:eastAsia="仿宋" w:cs="仿宋"/>
                <w:i w:val="0"/>
                <w:iCs w:val="0"/>
                <w:color w:val="auto"/>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8C2FBD">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3C1BD73">
            <w:pPr>
              <w:rPr>
                <w:rFonts w:hint="default" w:ascii="仿宋" w:hAnsi="仿宋" w:eastAsia="仿宋" w:cs="仿宋"/>
                <w:i w:val="0"/>
                <w:iCs w:val="0"/>
                <w:color w:val="auto"/>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A526236">
            <w:pPr>
              <w:rPr>
                <w:rFonts w:hint="default" w:ascii="仿宋" w:hAnsi="仿宋" w:eastAsia="仿宋" w:cs="仿宋"/>
                <w:i w:val="0"/>
                <w:iCs w:val="0"/>
                <w:color w:val="auto"/>
                <w:sz w:val="21"/>
                <w:szCs w:val="21"/>
                <w:u w:val="none"/>
                <w:lang w:val="en-US" w:eastAsia="zh-CN"/>
              </w:rPr>
            </w:pPr>
          </w:p>
        </w:tc>
      </w:tr>
      <w:tr w14:paraId="16F1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5E62C4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286FBF">
            <w:pPr>
              <w:ind w:firstLine="210" w:firstLineChars="0"/>
              <w:rPr>
                <w:rFonts w:hint="default" w:ascii="仿宋" w:hAnsi="仿宋" w:eastAsia="仿宋" w:cs="仿宋"/>
                <w:i w:val="0"/>
                <w:iCs w:val="0"/>
                <w:color w:val="auto"/>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6A1084">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17C7DC2">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0250DC3">
            <w:pPr>
              <w:rPr>
                <w:rFonts w:hint="eastAsia" w:ascii="仿宋" w:hAnsi="仿宋" w:eastAsia="仿宋" w:cs="仿宋"/>
                <w:i w:val="0"/>
                <w:iCs w:val="0"/>
                <w:color w:val="auto"/>
                <w:sz w:val="21"/>
                <w:szCs w:val="21"/>
                <w:u w:val="none"/>
              </w:rPr>
            </w:pPr>
          </w:p>
        </w:tc>
      </w:tr>
      <w:tr w14:paraId="22F2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55884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BC8CA7B">
            <w:pPr>
              <w:jc w:val="center"/>
              <w:rPr>
                <w:rFonts w:hint="default" w:ascii="仿宋" w:hAnsi="仿宋" w:eastAsia="仿宋" w:cs="仿宋"/>
                <w:i w:val="0"/>
                <w:iCs w:val="0"/>
                <w:color w:val="auto"/>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D2E859">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D599138">
            <w:pPr>
              <w:rPr>
                <w:rFonts w:hint="default" w:ascii="仿宋" w:hAnsi="仿宋" w:eastAsia="仿宋" w:cs="仿宋"/>
                <w:i w:val="0"/>
                <w:iCs w:val="0"/>
                <w:color w:val="auto"/>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369AEF5">
            <w:pPr>
              <w:ind w:firstLine="408" w:firstLineChars="0"/>
              <w:rPr>
                <w:rFonts w:hint="default" w:ascii="仿宋" w:hAnsi="仿宋" w:eastAsia="仿宋" w:cs="仿宋"/>
                <w:i w:val="0"/>
                <w:iCs w:val="0"/>
                <w:color w:val="auto"/>
                <w:sz w:val="21"/>
                <w:szCs w:val="21"/>
                <w:u w:val="none"/>
                <w:lang w:val="en-US" w:eastAsia="zh-CN"/>
              </w:rPr>
            </w:pPr>
          </w:p>
        </w:tc>
      </w:tr>
      <w:tr w14:paraId="1B7C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9FFBC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3CDE3E1">
            <w:pPr>
              <w:rPr>
                <w:rFonts w:hint="default" w:ascii="仿宋" w:hAnsi="仿宋" w:eastAsia="仿宋" w:cs="仿宋"/>
                <w:i w:val="0"/>
                <w:iCs w:val="0"/>
                <w:color w:val="auto"/>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979E4F">
            <w:pPr>
              <w:rPr>
                <w:rFonts w:hint="eastAsia" w:ascii="仿宋" w:hAnsi="仿宋" w:eastAsia="仿宋" w:cs="仿宋"/>
                <w:i w:val="0"/>
                <w:iCs w:val="0"/>
                <w:color w:val="auto"/>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0E425A1">
            <w:pPr>
              <w:rPr>
                <w:rFonts w:hint="default" w:ascii="仿宋" w:hAnsi="仿宋" w:eastAsia="仿宋" w:cs="仿宋"/>
                <w:i w:val="0"/>
                <w:iCs w:val="0"/>
                <w:color w:val="auto"/>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03BA51D">
            <w:pPr>
              <w:rPr>
                <w:rFonts w:hint="default" w:ascii="仿宋" w:hAnsi="仿宋" w:eastAsia="仿宋" w:cs="仿宋"/>
                <w:i w:val="0"/>
                <w:iCs w:val="0"/>
                <w:color w:val="auto"/>
                <w:sz w:val="21"/>
                <w:szCs w:val="21"/>
                <w:u w:val="none"/>
                <w:lang w:val="en-US" w:eastAsia="zh-CN"/>
              </w:rPr>
            </w:pPr>
          </w:p>
        </w:tc>
      </w:tr>
      <w:tr w14:paraId="3762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3957F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A45A6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CFD0CB">
            <w:pPr>
              <w:rPr>
                <w:rFonts w:hint="eastAsia" w:ascii="仿宋" w:hAnsi="仿宋" w:eastAsia="仿宋" w:cs="仿宋"/>
                <w:i w:val="0"/>
                <w:iCs w:val="0"/>
                <w:color w:val="auto"/>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58547E1">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D61B4F7">
            <w:pPr>
              <w:rPr>
                <w:rFonts w:hint="eastAsia" w:ascii="仿宋" w:hAnsi="仿宋" w:eastAsia="仿宋" w:cs="仿宋"/>
                <w:i w:val="0"/>
                <w:iCs w:val="0"/>
                <w:color w:val="auto"/>
                <w:sz w:val="21"/>
                <w:szCs w:val="21"/>
                <w:u w:val="none"/>
              </w:rPr>
            </w:pPr>
          </w:p>
        </w:tc>
      </w:tr>
      <w:tr w14:paraId="10FF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0E25F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D0F6E8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B540F6">
            <w:pPr>
              <w:rPr>
                <w:rFonts w:hint="eastAsia" w:ascii="仿宋" w:hAnsi="仿宋" w:eastAsia="仿宋" w:cs="仿宋"/>
                <w:i w:val="0"/>
                <w:iCs w:val="0"/>
                <w:color w:val="auto"/>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0BC7A55">
            <w:pPr>
              <w:rPr>
                <w:rFonts w:hint="eastAsia" w:ascii="仿宋" w:hAnsi="仿宋" w:eastAsia="仿宋" w:cs="仿宋"/>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7ACBE9E">
            <w:pPr>
              <w:rPr>
                <w:rFonts w:hint="eastAsia" w:ascii="仿宋" w:hAnsi="仿宋" w:eastAsia="仿宋" w:cs="仿宋"/>
                <w:i w:val="0"/>
                <w:iCs w:val="0"/>
                <w:color w:val="auto"/>
                <w:sz w:val="21"/>
                <w:szCs w:val="21"/>
                <w:u w:val="none"/>
              </w:rPr>
            </w:pPr>
          </w:p>
        </w:tc>
      </w:tr>
      <w:tr w14:paraId="0988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5C0DC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厉行节约保障措施</w:t>
            </w:r>
          </w:p>
        </w:tc>
        <w:tc>
          <w:tcPr>
            <w:tcW w:w="6465" w:type="dxa"/>
            <w:gridSpan w:val="4"/>
            <w:tcBorders>
              <w:top w:val="single" w:color="000000" w:sz="4" w:space="0"/>
              <w:left w:val="single" w:color="000000" w:sz="4" w:space="0"/>
              <w:bottom w:val="single" w:color="000000" w:sz="4" w:space="0"/>
              <w:right w:val="single" w:color="000000" w:sz="4" w:space="0"/>
            </w:tcBorders>
            <w:noWrap/>
            <w:vAlign w:val="center"/>
          </w:tcPr>
          <w:p w14:paraId="553B6776">
            <w:pPr>
              <w:rPr>
                <w:rFonts w:hint="eastAsia" w:ascii="宋体" w:hAnsi="宋体" w:eastAsia="宋体" w:cs="宋体"/>
                <w:i w:val="0"/>
                <w:iCs w:val="0"/>
                <w:color w:val="auto"/>
                <w:sz w:val="24"/>
                <w:szCs w:val="24"/>
                <w:u w:val="none"/>
              </w:rPr>
            </w:pPr>
          </w:p>
        </w:tc>
      </w:tr>
    </w:tbl>
    <w:p w14:paraId="7B83901D">
      <w:pPr>
        <w:pStyle w:val="6"/>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说明：“项目支出”需要填报基本支出以外的所有项目支出情况，“公用经费”填报基本支出的一般商品和服务支出。</w:t>
      </w:r>
    </w:p>
    <w:p w14:paraId="4DF798C4">
      <w:pPr>
        <w:pStyle w:val="6"/>
        <w:ind w:left="0" w:leftChars="0" w:firstLine="0" w:firstLineChars="0"/>
        <w:rPr>
          <w:rFonts w:hint="eastAsia" w:ascii="黑体" w:eastAsia="黑体"/>
          <w:color w:val="auto"/>
          <w:sz w:val="32"/>
          <w:szCs w:val="32"/>
        </w:rPr>
      </w:pPr>
      <w:r>
        <w:rPr>
          <w:rFonts w:hint="eastAsia" w:ascii="仿宋" w:hAnsi="仿宋" w:eastAsia="仿宋" w:cs="仿宋"/>
          <w:color w:val="auto"/>
          <w:sz w:val="24"/>
          <w:szCs w:val="24"/>
          <w:lang w:val="en-US" w:eastAsia="zh-CN"/>
        </w:rPr>
        <w:t>填表人：易定宁 填报日期：2024.2.29联系电话15197974396单位负责人签字：邓哲泓</w:t>
      </w:r>
    </w:p>
    <w:p w14:paraId="3B28206C">
      <w:pPr>
        <w:adjustRightInd w:val="0"/>
        <w:spacing w:line="600" w:lineRule="exact"/>
        <w:ind w:right="641"/>
        <w:rPr>
          <w:rFonts w:hint="eastAsia" w:ascii="黑体" w:eastAsia="黑体"/>
          <w:color w:val="auto"/>
          <w:sz w:val="32"/>
          <w:szCs w:val="32"/>
        </w:rPr>
      </w:pPr>
    </w:p>
    <w:p w14:paraId="319E127E">
      <w:pPr>
        <w:adjustRightInd w:val="0"/>
        <w:spacing w:line="600" w:lineRule="exact"/>
        <w:ind w:right="641"/>
        <w:rPr>
          <w:rFonts w:hint="eastAsia" w:ascii="黑体" w:eastAsia="黑体"/>
          <w:color w:val="auto"/>
          <w:sz w:val="32"/>
          <w:szCs w:val="32"/>
        </w:rPr>
      </w:pPr>
    </w:p>
    <w:p w14:paraId="0AA56F43">
      <w:pPr>
        <w:adjustRightInd w:val="0"/>
        <w:spacing w:line="600" w:lineRule="exact"/>
        <w:ind w:right="641"/>
        <w:rPr>
          <w:rFonts w:hint="eastAsia" w:ascii="黑体" w:eastAsia="黑体"/>
          <w:color w:val="auto"/>
          <w:sz w:val="32"/>
          <w:szCs w:val="32"/>
        </w:rPr>
      </w:pPr>
    </w:p>
    <w:p w14:paraId="3AD1F4B6">
      <w:pPr>
        <w:adjustRightInd w:val="0"/>
        <w:spacing w:line="600" w:lineRule="exact"/>
        <w:ind w:right="641"/>
        <w:rPr>
          <w:rFonts w:hint="eastAsia" w:ascii="黑体" w:eastAsia="黑体"/>
          <w:color w:val="auto"/>
          <w:sz w:val="32"/>
          <w:szCs w:val="32"/>
        </w:rPr>
      </w:pPr>
    </w:p>
    <w:p w14:paraId="09A815D1">
      <w:pPr>
        <w:spacing w:line="0" w:lineRule="atLeast"/>
        <w:jc w:val="both"/>
        <w:rPr>
          <w:rFonts w:hint="eastAsia" w:eastAsia="方正小标宋_GBK"/>
          <w:color w:val="auto"/>
          <w:kern w:val="0"/>
          <w:sz w:val="36"/>
          <w:szCs w:val="36"/>
          <w:lang w:val="en-US" w:eastAsia="zh-CN"/>
        </w:rPr>
      </w:pPr>
      <w:r>
        <w:rPr>
          <w:rFonts w:hint="eastAsia" w:eastAsia="方正小标宋_GBK"/>
          <w:color w:val="auto"/>
          <w:kern w:val="0"/>
          <w:sz w:val="36"/>
          <w:szCs w:val="36"/>
          <w:lang w:eastAsia="zh-CN"/>
        </w:rPr>
        <w:t>附件</w:t>
      </w:r>
      <w:r>
        <w:rPr>
          <w:rFonts w:hint="eastAsia" w:eastAsia="方正小标宋_GBK"/>
          <w:color w:val="auto"/>
          <w:kern w:val="0"/>
          <w:sz w:val="36"/>
          <w:szCs w:val="36"/>
          <w:lang w:val="en-US" w:eastAsia="zh-CN"/>
        </w:rPr>
        <w:t>5</w:t>
      </w:r>
    </w:p>
    <w:p w14:paraId="750BD18C">
      <w:pPr>
        <w:pStyle w:val="6"/>
        <w:ind w:left="0" w:leftChars="0" w:firstLine="0" w:firstLineChars="0"/>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项目支出绩效自评报告</w:t>
      </w:r>
    </w:p>
    <w:p w14:paraId="0619C29D">
      <w:pPr>
        <w:pStyle w:val="6"/>
        <w:ind w:left="0" w:leftChars="0" w:firstLine="0" w:firstLineChars="0"/>
        <w:jc w:val="center"/>
        <w:rPr>
          <w:rFonts w:hint="eastAsia" w:ascii="黑体" w:hAnsi="黑体" w:eastAsia="黑体" w:cs="黑体"/>
          <w:color w:val="auto"/>
          <w:sz w:val="32"/>
          <w:szCs w:val="32"/>
          <w:lang w:val="en-US" w:eastAsia="zh-CN"/>
        </w:rPr>
      </w:pPr>
    </w:p>
    <w:p w14:paraId="27A27090">
      <w:pPr>
        <w:pStyle w:val="6"/>
        <w:ind w:left="0" w:leftChars="0" w:firstLine="0" w:firstLineChars="0"/>
        <w:jc w:val="center"/>
        <w:rPr>
          <w:rFonts w:hint="eastAsia" w:ascii="楷体" w:hAnsi="楷体" w:eastAsia="楷体" w:cs="楷体"/>
          <w:color w:val="auto"/>
          <w:sz w:val="32"/>
          <w:szCs w:val="32"/>
          <w:lang w:val="en-US" w:eastAsia="zh-CN"/>
        </w:rPr>
      </w:pPr>
    </w:p>
    <w:p w14:paraId="783ECC7B">
      <w:pPr>
        <w:pStyle w:val="6"/>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14:paraId="2CD5196F">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一、项目支出概况　</w:t>
      </w:r>
      <w:r>
        <w:rPr>
          <w:rFonts w:hint="eastAsia" w:ascii="黑体" w:hAnsi="黑体" w:eastAsia="黑体" w:cs="黑体"/>
          <w:b/>
          <w:bCs w:val="0"/>
          <w:color w:val="auto"/>
          <w:sz w:val="32"/>
          <w:szCs w:val="32"/>
          <w:lang w:val="en-US" w:eastAsia="zh-CN"/>
        </w:rPr>
        <w:t>没有项目。</w:t>
      </w:r>
    </w:p>
    <w:p w14:paraId="2F517EA8">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（一）项目实施单位基本情况。</w:t>
      </w:r>
    </w:p>
    <w:p w14:paraId="3B3C705B">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（二）项目资金基本情况。</w:t>
      </w:r>
    </w:p>
    <w:p w14:paraId="79D55E1F">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包括项目资金基本性质、用途和主要内容、涉及范围等。</w:t>
      </w:r>
    </w:p>
    <w:p w14:paraId="45078108">
      <w:pPr>
        <w:pStyle w:val="6"/>
        <w:keepNext w:val="0"/>
        <w:keepLines w:val="0"/>
        <w:pageBreakBefore w:val="0"/>
        <w:widowControl w:val="0"/>
        <w:numPr>
          <w:ilvl w:val="0"/>
          <w:numId w:val="8"/>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项目资金绩效目标。</w:t>
      </w:r>
    </w:p>
    <w:p w14:paraId="0706AC19">
      <w:pPr>
        <w:pStyle w:val="6"/>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包括总体目标和年度目标。</w:t>
      </w:r>
    </w:p>
    <w:p w14:paraId="50283193">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二、项目资金使用及管理情况　</w:t>
      </w:r>
      <w:r>
        <w:rPr>
          <w:rFonts w:hint="eastAsia" w:ascii="黑体" w:hAnsi="黑体" w:eastAsia="黑体" w:cs="黑体"/>
          <w:b/>
          <w:bCs w:val="0"/>
          <w:color w:val="auto"/>
          <w:sz w:val="32"/>
          <w:szCs w:val="32"/>
          <w:lang w:val="en-US" w:eastAsia="zh-CN"/>
        </w:rPr>
        <w:t>没有项目。</w:t>
      </w:r>
    </w:p>
    <w:p w14:paraId="01525923">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（一）项目资金及自筹资金的安排落实、总投入等情况。</w:t>
      </w:r>
    </w:p>
    <w:p w14:paraId="5D7DDFCF">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（二）项目资金实际使用情况。</w:t>
      </w:r>
    </w:p>
    <w:p w14:paraId="3B3ED86B">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（三）项目资金管理情况分析</w:t>
      </w:r>
    </w:p>
    <w:p w14:paraId="7799DCE4">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主要包括管理制度、办法的制订及执行情况。</w:t>
      </w:r>
    </w:p>
    <w:p w14:paraId="7F9B9250">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三、项目支出组织实施情况</w:t>
      </w:r>
      <w:r>
        <w:rPr>
          <w:rFonts w:hint="eastAsia" w:ascii="黑体" w:hAnsi="黑体" w:eastAsia="黑体" w:cs="黑体"/>
          <w:b/>
          <w:bCs w:val="0"/>
          <w:color w:val="auto"/>
          <w:sz w:val="32"/>
          <w:szCs w:val="32"/>
          <w:lang w:val="en-US" w:eastAsia="zh-CN"/>
        </w:rPr>
        <w:t>没有项目。</w:t>
      </w:r>
    </w:p>
    <w:p w14:paraId="147E5649">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（一）资金使用管理情况</w:t>
      </w:r>
    </w:p>
    <w:p w14:paraId="04A92B86">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主要包括项目资金及项目管理制度建设、日常检查监督管理等情况。</w:t>
      </w:r>
    </w:p>
    <w:p w14:paraId="37B58D37">
      <w:pPr>
        <w:pStyle w:val="6"/>
        <w:keepNext w:val="0"/>
        <w:keepLines w:val="0"/>
        <w:pageBreakBefore w:val="0"/>
        <w:widowControl w:val="0"/>
        <w:numPr>
          <w:ilvl w:val="0"/>
          <w:numId w:val="9"/>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项目组织实施情况</w:t>
      </w:r>
    </w:p>
    <w:p w14:paraId="2482EF5E">
      <w:pPr>
        <w:pStyle w:val="6"/>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主要包括项目招投标、调整、竣工验收等情况。</w:t>
      </w:r>
    </w:p>
    <w:p w14:paraId="29F97410">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四、项目支出绩效情况</w:t>
      </w:r>
      <w:r>
        <w:rPr>
          <w:rFonts w:hint="eastAsia" w:ascii="黑体" w:hAnsi="黑体" w:eastAsia="黑体" w:cs="黑体"/>
          <w:b/>
          <w:bCs w:val="0"/>
          <w:color w:val="auto"/>
          <w:sz w:val="32"/>
          <w:szCs w:val="32"/>
          <w:lang w:val="en-US" w:eastAsia="zh-CN"/>
        </w:rPr>
        <w:t>没有项目。</w:t>
      </w:r>
    </w:p>
    <w:p w14:paraId="2AB494CE">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（一）项目支出决策情况</w:t>
      </w:r>
    </w:p>
    <w:p w14:paraId="26623655">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（二）项目支出过程情况</w:t>
      </w:r>
    </w:p>
    <w:p w14:paraId="17FE95E3">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（三）项目支出产出情况</w:t>
      </w:r>
    </w:p>
    <w:p w14:paraId="52198C11">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（四）项目支出效益情况</w:t>
      </w:r>
    </w:p>
    <w:p w14:paraId="52D03588">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五、主要经验做法、存在的问题及原因分析</w:t>
      </w:r>
    </w:p>
    <w:p w14:paraId="3917008A">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六、有关建议</w:t>
      </w:r>
    </w:p>
    <w:p w14:paraId="6E5FACBC">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七、其他需要说明的问题</w:t>
      </w:r>
    </w:p>
    <w:p w14:paraId="2FDD2D62">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报告应包括以下附件：</w:t>
      </w:r>
    </w:p>
    <w:p w14:paraId="0C43ECBF">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项目支出绩效自评表（一个项目支出一张表）</w:t>
      </w:r>
    </w:p>
    <w:p w14:paraId="2767AAB0">
      <w:pPr>
        <w:spacing w:line="0" w:lineRule="atLeast"/>
        <w:jc w:val="both"/>
        <w:rPr>
          <w:rFonts w:hint="default" w:eastAsia="方正小标宋_GBK"/>
          <w:color w:val="auto"/>
          <w:kern w:val="0"/>
          <w:sz w:val="36"/>
          <w:szCs w:val="36"/>
          <w:lang w:val="en-US" w:eastAsia="zh-CN"/>
        </w:rPr>
      </w:pPr>
      <w:r>
        <w:rPr>
          <w:rFonts w:hint="eastAsia" w:eastAsia="方正小标宋_GBK"/>
          <w:color w:val="auto"/>
          <w:kern w:val="0"/>
          <w:sz w:val="36"/>
          <w:szCs w:val="36"/>
          <w:lang w:val="en-US" w:eastAsia="zh-CN"/>
        </w:rPr>
        <w:t>附件6</w:t>
      </w:r>
    </w:p>
    <w:p w14:paraId="32CB711C">
      <w:pPr>
        <w:spacing w:line="0" w:lineRule="atLeast"/>
        <w:jc w:val="center"/>
        <w:rPr>
          <w:rFonts w:eastAsia="方正小标宋_GBK"/>
          <w:color w:val="auto"/>
          <w:kern w:val="0"/>
          <w:sz w:val="36"/>
          <w:szCs w:val="36"/>
        </w:rPr>
      </w:pPr>
      <w:r>
        <w:rPr>
          <w:rFonts w:hint="eastAsia" w:eastAsia="方正小标宋_GBK"/>
          <w:color w:val="auto"/>
          <w:kern w:val="0"/>
          <w:sz w:val="36"/>
          <w:szCs w:val="36"/>
          <w:lang w:eastAsia="zh-CN"/>
        </w:rPr>
        <w:t>项目</w:t>
      </w:r>
      <w:r>
        <w:rPr>
          <w:rFonts w:hint="eastAsia" w:eastAsia="方正小标宋_GBK"/>
          <w:color w:val="auto"/>
          <w:kern w:val="0"/>
          <w:sz w:val="36"/>
          <w:szCs w:val="36"/>
        </w:rPr>
        <w:t>支出绩效自评表</w:t>
      </w:r>
    </w:p>
    <w:p w14:paraId="3A62DCD5">
      <w:pPr>
        <w:widowControl/>
        <w:jc w:val="center"/>
        <w:rPr>
          <w:rFonts w:eastAsia="黑体"/>
          <w:color w:val="auto"/>
          <w:sz w:val="32"/>
          <w:szCs w:val="32"/>
        </w:rPr>
      </w:pPr>
      <w:r>
        <w:rPr>
          <w:rFonts w:hint="eastAsia"/>
          <w:color w:val="auto"/>
          <w:kern w:val="0"/>
          <w:sz w:val="22"/>
        </w:rPr>
        <w:t>（</w:t>
      </w:r>
      <w:r>
        <w:rPr>
          <w:rFonts w:hint="eastAsia"/>
          <w:color w:val="auto"/>
          <w:kern w:val="0"/>
          <w:sz w:val="22"/>
          <w:lang w:val="en-US" w:eastAsia="zh-CN"/>
        </w:rPr>
        <w:t>2023</w:t>
      </w:r>
      <w:r>
        <w:rPr>
          <w:rFonts w:hint="eastAsia"/>
          <w:color w:val="auto"/>
          <w:kern w:val="0"/>
          <w:sz w:val="22"/>
        </w:rPr>
        <w:t>年度）</w:t>
      </w:r>
    </w:p>
    <w:tbl>
      <w:tblPr>
        <w:tblStyle w:val="7"/>
        <w:tblW w:w="9322" w:type="dxa"/>
        <w:jc w:val="center"/>
        <w:tblLayout w:type="fixed"/>
        <w:tblCellMar>
          <w:top w:w="0" w:type="dxa"/>
          <w:left w:w="108" w:type="dxa"/>
          <w:bottom w:w="0" w:type="dxa"/>
          <w:right w:w="108" w:type="dxa"/>
        </w:tblCellMar>
      </w:tblPr>
      <w:tblGrid>
        <w:gridCol w:w="1057"/>
        <w:gridCol w:w="780"/>
        <w:gridCol w:w="1169"/>
        <w:gridCol w:w="1649"/>
        <w:gridCol w:w="1266"/>
        <w:gridCol w:w="1047"/>
        <w:gridCol w:w="536"/>
        <w:gridCol w:w="400"/>
        <w:gridCol w:w="259"/>
        <w:gridCol w:w="1159"/>
      </w:tblGrid>
      <w:tr w14:paraId="21129B8D">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14:paraId="74ABED5B">
            <w:pPr>
              <w:widowControl/>
              <w:spacing w:line="0" w:lineRule="atLeast"/>
              <w:jc w:val="center"/>
              <w:rPr>
                <w:rFonts w:eastAsia="仿宋_GB2312"/>
                <w:color w:val="auto"/>
                <w:kern w:val="0"/>
                <w:szCs w:val="21"/>
              </w:rPr>
            </w:pPr>
            <w:r>
              <w:rPr>
                <w:rFonts w:hint="eastAsia" w:eastAsia="仿宋_GB2312"/>
                <w:color w:val="auto"/>
                <w:kern w:val="0"/>
                <w:szCs w:val="21"/>
              </w:rPr>
              <w:t>项目支</w:t>
            </w:r>
          </w:p>
          <w:p w14:paraId="77ADD1C9">
            <w:pPr>
              <w:widowControl/>
              <w:spacing w:line="0" w:lineRule="atLeast"/>
              <w:jc w:val="center"/>
              <w:rPr>
                <w:rFonts w:eastAsia="仿宋_GB2312"/>
                <w:color w:val="auto"/>
                <w:kern w:val="0"/>
                <w:szCs w:val="21"/>
              </w:rPr>
            </w:pPr>
            <w:r>
              <w:rPr>
                <w:rFonts w:hint="eastAsia" w:eastAsia="仿宋_GB2312"/>
                <w:color w:val="auto"/>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14:paraId="393B053F">
            <w:pPr>
              <w:widowControl/>
              <w:spacing w:line="0" w:lineRule="atLeast"/>
              <w:jc w:val="both"/>
              <w:rPr>
                <w:rFonts w:hint="eastAsia" w:eastAsia="仿宋_GB2312"/>
                <w:color w:val="auto"/>
                <w:kern w:val="0"/>
                <w:szCs w:val="21"/>
                <w:lang w:val="en-US" w:eastAsia="zh-CN"/>
              </w:rPr>
            </w:pPr>
          </w:p>
        </w:tc>
      </w:tr>
      <w:tr w14:paraId="4FEE76D2">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14:paraId="08D1C2C4">
            <w:pPr>
              <w:widowControl/>
              <w:spacing w:line="0" w:lineRule="atLeast"/>
              <w:jc w:val="left"/>
              <w:rPr>
                <w:rFonts w:eastAsia="仿宋_GB2312"/>
                <w:color w:val="auto"/>
                <w:kern w:val="0"/>
                <w:szCs w:val="21"/>
              </w:rPr>
            </w:pPr>
            <w:r>
              <w:rPr>
                <w:rFonts w:hint="eastAsia" w:eastAsia="仿宋_GB2312"/>
                <w:color w:val="auto"/>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14:paraId="7FA8FEE8">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000000" w:sz="4" w:space="0"/>
            </w:tcBorders>
            <w:vAlign w:val="center"/>
          </w:tcPr>
          <w:p w14:paraId="0569FDC8">
            <w:pPr>
              <w:widowControl/>
              <w:spacing w:line="0" w:lineRule="atLeast"/>
              <w:jc w:val="center"/>
              <w:rPr>
                <w:rFonts w:eastAsia="仿宋_GB2312"/>
                <w:color w:val="auto"/>
                <w:kern w:val="0"/>
                <w:szCs w:val="21"/>
              </w:rPr>
            </w:pPr>
            <w:r>
              <w:rPr>
                <w:rFonts w:hint="eastAsia" w:eastAsia="仿宋_GB2312"/>
                <w:color w:val="auto"/>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14:paraId="46D5F214">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381E6479">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14:paraId="4365F4B6">
            <w:pPr>
              <w:widowControl/>
              <w:spacing w:line="0" w:lineRule="atLeast"/>
              <w:jc w:val="center"/>
              <w:rPr>
                <w:rFonts w:hint="eastAsia" w:eastAsia="仿宋_GB2312"/>
                <w:color w:val="auto"/>
                <w:kern w:val="0"/>
                <w:szCs w:val="21"/>
                <w:lang w:eastAsia="zh-CN"/>
              </w:rPr>
            </w:pPr>
            <w:r>
              <w:rPr>
                <w:rFonts w:hint="eastAsia" w:eastAsia="仿宋_GB2312"/>
                <w:color w:val="auto"/>
                <w:kern w:val="0"/>
                <w:szCs w:val="21"/>
              </w:rPr>
              <w:t>项目资金</w:t>
            </w:r>
          </w:p>
          <w:p w14:paraId="677CDE20">
            <w:pPr>
              <w:widowControl/>
              <w:spacing w:line="0" w:lineRule="atLeast"/>
              <w:jc w:val="center"/>
              <w:rPr>
                <w:rFonts w:eastAsia="仿宋_GB2312"/>
                <w:color w:val="auto"/>
                <w:kern w:val="0"/>
                <w:szCs w:val="21"/>
              </w:rPr>
            </w:pPr>
            <w:r>
              <w:rPr>
                <w:rFonts w:hint="eastAsia" w:eastAsia="仿宋_GB2312"/>
                <w:color w:val="auto"/>
                <w:kern w:val="0"/>
                <w:szCs w:val="21"/>
              </w:rPr>
              <w:t>（万元）</w:t>
            </w:r>
          </w:p>
        </w:tc>
        <w:tc>
          <w:tcPr>
            <w:tcW w:w="1949" w:type="dxa"/>
            <w:gridSpan w:val="2"/>
            <w:tcBorders>
              <w:top w:val="nil"/>
              <w:left w:val="nil"/>
              <w:bottom w:val="single" w:color="auto" w:sz="4" w:space="0"/>
              <w:right w:val="single" w:color="auto" w:sz="4" w:space="0"/>
            </w:tcBorders>
            <w:vAlign w:val="center"/>
          </w:tcPr>
          <w:p w14:paraId="038CB2CC">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649" w:type="dxa"/>
            <w:tcBorders>
              <w:top w:val="nil"/>
              <w:left w:val="nil"/>
              <w:bottom w:val="single" w:color="auto" w:sz="4" w:space="0"/>
              <w:right w:val="single" w:color="auto" w:sz="4" w:space="0"/>
            </w:tcBorders>
            <w:vAlign w:val="center"/>
          </w:tcPr>
          <w:p w14:paraId="20AF8D8A">
            <w:pPr>
              <w:widowControl/>
              <w:spacing w:line="0" w:lineRule="atLeast"/>
              <w:jc w:val="left"/>
              <w:rPr>
                <w:rFonts w:eastAsia="仿宋_GB2312"/>
                <w:color w:val="auto"/>
                <w:kern w:val="0"/>
                <w:szCs w:val="21"/>
              </w:rPr>
            </w:pPr>
            <w:r>
              <w:rPr>
                <w:rFonts w:hint="eastAsia" w:eastAsia="仿宋_GB2312"/>
                <w:color w:val="auto"/>
                <w:kern w:val="0"/>
                <w:szCs w:val="21"/>
              </w:rPr>
              <w:t>年初预算数</w:t>
            </w:r>
          </w:p>
        </w:tc>
        <w:tc>
          <w:tcPr>
            <w:tcW w:w="1266" w:type="dxa"/>
            <w:tcBorders>
              <w:top w:val="nil"/>
              <w:left w:val="nil"/>
              <w:bottom w:val="single" w:color="auto" w:sz="4" w:space="0"/>
              <w:right w:val="single" w:color="auto" w:sz="4" w:space="0"/>
            </w:tcBorders>
            <w:vAlign w:val="center"/>
          </w:tcPr>
          <w:p w14:paraId="1D02522F">
            <w:pPr>
              <w:widowControl/>
              <w:spacing w:line="0" w:lineRule="atLeast"/>
              <w:jc w:val="left"/>
              <w:rPr>
                <w:rFonts w:eastAsia="仿宋_GB2312"/>
                <w:color w:val="auto"/>
                <w:kern w:val="0"/>
                <w:szCs w:val="21"/>
              </w:rPr>
            </w:pPr>
            <w:r>
              <w:rPr>
                <w:rFonts w:hint="eastAsia" w:eastAsia="仿宋_GB2312"/>
                <w:color w:val="auto"/>
                <w:kern w:val="0"/>
                <w:szCs w:val="21"/>
              </w:rPr>
              <w:t>全年预算数</w:t>
            </w:r>
          </w:p>
        </w:tc>
        <w:tc>
          <w:tcPr>
            <w:tcW w:w="1047" w:type="dxa"/>
            <w:tcBorders>
              <w:top w:val="nil"/>
              <w:left w:val="nil"/>
              <w:bottom w:val="single" w:color="auto" w:sz="4" w:space="0"/>
              <w:right w:val="single" w:color="auto" w:sz="4" w:space="0"/>
            </w:tcBorders>
            <w:vAlign w:val="center"/>
          </w:tcPr>
          <w:p w14:paraId="17FC9EA2">
            <w:pPr>
              <w:spacing w:line="0" w:lineRule="atLeast"/>
              <w:ind w:left="-28" w:leftChars="-62" w:right="-101" w:rightChars="-48" w:hanging="102" w:hangingChars="49"/>
              <w:jc w:val="center"/>
              <w:rPr>
                <w:rFonts w:eastAsia="仿宋_GB2312"/>
                <w:color w:val="auto"/>
                <w:szCs w:val="21"/>
              </w:rPr>
            </w:pPr>
            <w:r>
              <w:rPr>
                <w:rFonts w:hint="eastAsia" w:eastAsia="仿宋_GB2312"/>
                <w:color w:val="auto"/>
                <w:szCs w:val="21"/>
              </w:rPr>
              <w:t>全年执行数</w:t>
            </w:r>
          </w:p>
        </w:tc>
        <w:tc>
          <w:tcPr>
            <w:tcW w:w="536" w:type="dxa"/>
            <w:tcBorders>
              <w:top w:val="nil"/>
              <w:left w:val="nil"/>
              <w:bottom w:val="single" w:color="auto" w:sz="4" w:space="0"/>
              <w:right w:val="single" w:color="auto" w:sz="4" w:space="0"/>
            </w:tcBorders>
            <w:vAlign w:val="center"/>
          </w:tcPr>
          <w:p w14:paraId="6F990AF7">
            <w:pPr>
              <w:spacing w:line="0" w:lineRule="atLeast"/>
              <w:ind w:leftChars="-54" w:hanging="113" w:hangingChars="54"/>
              <w:jc w:val="center"/>
              <w:rPr>
                <w:rFonts w:eastAsia="仿宋_GB2312"/>
                <w:color w:val="auto"/>
                <w:szCs w:val="21"/>
              </w:rPr>
            </w:pPr>
            <w:r>
              <w:rPr>
                <w:rFonts w:hint="eastAsia" w:eastAsia="仿宋_GB2312"/>
                <w:color w:val="auto"/>
                <w:szCs w:val="21"/>
              </w:rPr>
              <w:t>分值</w:t>
            </w:r>
          </w:p>
        </w:tc>
        <w:tc>
          <w:tcPr>
            <w:tcW w:w="659" w:type="dxa"/>
            <w:gridSpan w:val="2"/>
            <w:tcBorders>
              <w:top w:val="nil"/>
              <w:left w:val="nil"/>
              <w:bottom w:val="single" w:color="auto" w:sz="4" w:space="0"/>
              <w:right w:val="single" w:color="auto" w:sz="4" w:space="0"/>
            </w:tcBorders>
            <w:vAlign w:val="center"/>
          </w:tcPr>
          <w:p w14:paraId="6DDFA258">
            <w:pPr>
              <w:spacing w:line="0" w:lineRule="atLeast"/>
              <w:ind w:left="-84" w:leftChars="-52" w:right="-128" w:rightChars="-61" w:hanging="25" w:hangingChars="12"/>
              <w:jc w:val="center"/>
              <w:rPr>
                <w:rFonts w:eastAsia="仿宋_GB2312"/>
                <w:color w:val="auto"/>
                <w:szCs w:val="21"/>
              </w:rPr>
            </w:pPr>
            <w:r>
              <w:rPr>
                <w:rFonts w:hint="eastAsia" w:eastAsia="仿宋_GB2312"/>
                <w:color w:val="auto"/>
                <w:szCs w:val="21"/>
              </w:rPr>
              <w:t>执行率</w:t>
            </w:r>
          </w:p>
        </w:tc>
        <w:tc>
          <w:tcPr>
            <w:tcW w:w="1159" w:type="dxa"/>
            <w:tcBorders>
              <w:top w:val="nil"/>
              <w:left w:val="nil"/>
              <w:bottom w:val="single" w:color="auto" w:sz="4" w:space="0"/>
              <w:right w:val="single" w:color="auto" w:sz="4" w:space="0"/>
            </w:tcBorders>
            <w:vAlign w:val="center"/>
          </w:tcPr>
          <w:p w14:paraId="2A1347CA">
            <w:pPr>
              <w:spacing w:line="0" w:lineRule="atLeast"/>
              <w:jc w:val="center"/>
              <w:rPr>
                <w:rFonts w:eastAsia="仿宋_GB2312"/>
                <w:color w:val="auto"/>
                <w:szCs w:val="21"/>
              </w:rPr>
            </w:pPr>
            <w:r>
              <w:rPr>
                <w:rFonts w:hint="eastAsia" w:eastAsia="仿宋_GB2312"/>
                <w:color w:val="auto"/>
                <w:szCs w:val="21"/>
              </w:rPr>
              <w:t>得分</w:t>
            </w:r>
          </w:p>
        </w:tc>
      </w:tr>
      <w:tr w14:paraId="7DE0DE92">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14:paraId="586B3389">
            <w:pPr>
              <w:widowControl/>
              <w:spacing w:line="0" w:lineRule="atLeast"/>
              <w:jc w:val="left"/>
              <w:rPr>
                <w:rFonts w:eastAsia="仿宋_GB2312"/>
                <w:color w:val="auto"/>
                <w:kern w:val="0"/>
                <w:szCs w:val="21"/>
              </w:rPr>
            </w:pPr>
          </w:p>
        </w:tc>
        <w:tc>
          <w:tcPr>
            <w:tcW w:w="1949" w:type="dxa"/>
            <w:gridSpan w:val="2"/>
            <w:tcBorders>
              <w:top w:val="nil"/>
              <w:left w:val="nil"/>
              <w:bottom w:val="single" w:color="auto" w:sz="4" w:space="0"/>
              <w:right w:val="single" w:color="auto" w:sz="4" w:space="0"/>
            </w:tcBorders>
            <w:vAlign w:val="center"/>
          </w:tcPr>
          <w:p w14:paraId="3B7E08B4">
            <w:pPr>
              <w:widowControl/>
              <w:spacing w:line="0" w:lineRule="atLeast"/>
              <w:jc w:val="left"/>
              <w:rPr>
                <w:rFonts w:eastAsia="仿宋_GB2312"/>
                <w:color w:val="auto"/>
                <w:kern w:val="0"/>
                <w:szCs w:val="21"/>
              </w:rPr>
            </w:pPr>
            <w:r>
              <w:rPr>
                <w:rFonts w:hint="eastAsia" w:eastAsia="仿宋_GB2312"/>
                <w:color w:val="auto"/>
                <w:kern w:val="0"/>
                <w:szCs w:val="21"/>
              </w:rPr>
              <w:t>年度资金总额　</w:t>
            </w:r>
          </w:p>
        </w:tc>
        <w:tc>
          <w:tcPr>
            <w:tcW w:w="1649" w:type="dxa"/>
            <w:tcBorders>
              <w:top w:val="nil"/>
              <w:left w:val="nil"/>
              <w:bottom w:val="single" w:color="auto" w:sz="4" w:space="0"/>
              <w:right w:val="single" w:color="auto" w:sz="4" w:space="0"/>
            </w:tcBorders>
            <w:vAlign w:val="center"/>
          </w:tcPr>
          <w:p w14:paraId="357BA893">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266" w:type="dxa"/>
            <w:tcBorders>
              <w:top w:val="nil"/>
              <w:left w:val="nil"/>
              <w:bottom w:val="single" w:color="auto" w:sz="4" w:space="0"/>
              <w:right w:val="single" w:color="auto" w:sz="4" w:space="0"/>
            </w:tcBorders>
            <w:vAlign w:val="center"/>
          </w:tcPr>
          <w:p w14:paraId="04A148DD">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nil"/>
              <w:left w:val="nil"/>
              <w:bottom w:val="single" w:color="auto" w:sz="4" w:space="0"/>
              <w:right w:val="single" w:color="auto" w:sz="4" w:space="0"/>
            </w:tcBorders>
            <w:vAlign w:val="center"/>
          </w:tcPr>
          <w:p w14:paraId="6EC945D0">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nil"/>
              <w:left w:val="nil"/>
              <w:bottom w:val="single" w:color="auto" w:sz="4" w:space="0"/>
              <w:right w:val="single" w:color="auto" w:sz="4" w:space="0"/>
            </w:tcBorders>
            <w:vAlign w:val="center"/>
          </w:tcPr>
          <w:p w14:paraId="6BC1938B">
            <w:pPr>
              <w:widowControl/>
              <w:spacing w:line="0" w:lineRule="atLeast"/>
              <w:jc w:val="left"/>
              <w:rPr>
                <w:rFonts w:eastAsia="仿宋_GB2312"/>
                <w:color w:val="auto"/>
                <w:kern w:val="0"/>
                <w:szCs w:val="21"/>
              </w:rPr>
            </w:pPr>
            <w:r>
              <w:rPr>
                <w:rFonts w:hint="eastAsia" w:eastAsia="仿宋_GB2312"/>
                <w:color w:val="auto"/>
                <w:kern w:val="0"/>
                <w:szCs w:val="21"/>
              </w:rPr>
              <w:t>　</w:t>
            </w:r>
            <w:r>
              <w:rPr>
                <w:rFonts w:eastAsia="仿宋_GB2312"/>
                <w:color w:val="auto"/>
                <w:kern w:val="0"/>
                <w:szCs w:val="21"/>
              </w:rPr>
              <w:t>10</w:t>
            </w:r>
          </w:p>
        </w:tc>
        <w:tc>
          <w:tcPr>
            <w:tcW w:w="659" w:type="dxa"/>
            <w:gridSpan w:val="2"/>
            <w:tcBorders>
              <w:top w:val="nil"/>
              <w:left w:val="nil"/>
              <w:bottom w:val="single" w:color="auto" w:sz="4" w:space="0"/>
              <w:right w:val="single" w:color="auto" w:sz="4" w:space="0"/>
            </w:tcBorders>
            <w:vAlign w:val="center"/>
          </w:tcPr>
          <w:p w14:paraId="2AF6361C">
            <w:pPr>
              <w:widowControl/>
              <w:spacing w:line="0" w:lineRule="atLeast"/>
              <w:jc w:val="center"/>
              <w:rPr>
                <w:rFonts w:eastAsia="仿宋_GB2312"/>
                <w:color w:val="auto"/>
                <w:kern w:val="0"/>
                <w:szCs w:val="21"/>
              </w:rPr>
            </w:pPr>
          </w:p>
        </w:tc>
        <w:tc>
          <w:tcPr>
            <w:tcW w:w="1159" w:type="dxa"/>
            <w:tcBorders>
              <w:top w:val="nil"/>
              <w:left w:val="nil"/>
              <w:bottom w:val="single" w:color="auto" w:sz="4" w:space="0"/>
              <w:right w:val="single" w:color="auto" w:sz="4" w:space="0"/>
            </w:tcBorders>
            <w:vAlign w:val="center"/>
          </w:tcPr>
          <w:p w14:paraId="7BC8711C">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4D4280BE">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14:paraId="2E135626">
            <w:pPr>
              <w:widowControl/>
              <w:spacing w:line="0" w:lineRule="atLeast"/>
              <w:jc w:val="left"/>
              <w:rPr>
                <w:rFonts w:eastAsia="仿宋_GB2312"/>
                <w:color w:val="auto"/>
                <w:kern w:val="0"/>
                <w:szCs w:val="21"/>
              </w:rPr>
            </w:pPr>
          </w:p>
        </w:tc>
        <w:tc>
          <w:tcPr>
            <w:tcW w:w="1949" w:type="dxa"/>
            <w:gridSpan w:val="2"/>
            <w:tcBorders>
              <w:top w:val="nil"/>
              <w:left w:val="nil"/>
              <w:bottom w:val="single" w:color="auto" w:sz="4" w:space="0"/>
              <w:right w:val="single" w:color="auto" w:sz="4" w:space="0"/>
            </w:tcBorders>
            <w:vAlign w:val="center"/>
          </w:tcPr>
          <w:p w14:paraId="72BC0920">
            <w:pPr>
              <w:widowControl/>
              <w:spacing w:line="0" w:lineRule="atLeast"/>
              <w:jc w:val="left"/>
              <w:rPr>
                <w:rFonts w:eastAsia="仿宋_GB2312"/>
                <w:color w:val="auto"/>
                <w:kern w:val="0"/>
                <w:szCs w:val="21"/>
              </w:rPr>
            </w:pPr>
            <w:r>
              <w:rPr>
                <w:rFonts w:hint="eastAsia" w:eastAsia="仿宋_GB2312"/>
                <w:color w:val="auto"/>
                <w:kern w:val="0"/>
                <w:szCs w:val="21"/>
              </w:rPr>
              <w:t>其中：当年财政拨款　</w:t>
            </w:r>
          </w:p>
        </w:tc>
        <w:tc>
          <w:tcPr>
            <w:tcW w:w="1649" w:type="dxa"/>
            <w:tcBorders>
              <w:top w:val="nil"/>
              <w:left w:val="nil"/>
              <w:bottom w:val="single" w:color="auto" w:sz="4" w:space="0"/>
              <w:right w:val="single" w:color="auto" w:sz="4" w:space="0"/>
            </w:tcBorders>
            <w:vAlign w:val="center"/>
          </w:tcPr>
          <w:p w14:paraId="43EFAD16">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266" w:type="dxa"/>
            <w:tcBorders>
              <w:top w:val="nil"/>
              <w:left w:val="nil"/>
              <w:bottom w:val="single" w:color="auto" w:sz="4" w:space="0"/>
              <w:right w:val="single" w:color="auto" w:sz="4" w:space="0"/>
            </w:tcBorders>
            <w:vAlign w:val="center"/>
          </w:tcPr>
          <w:p w14:paraId="34D3A436">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nil"/>
              <w:left w:val="nil"/>
              <w:bottom w:val="single" w:color="auto" w:sz="4" w:space="0"/>
              <w:right w:val="single" w:color="auto" w:sz="4" w:space="0"/>
            </w:tcBorders>
            <w:vAlign w:val="center"/>
          </w:tcPr>
          <w:p w14:paraId="24EBCFF6">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nil"/>
              <w:left w:val="nil"/>
              <w:bottom w:val="single" w:color="auto" w:sz="4" w:space="0"/>
              <w:right w:val="single" w:color="auto" w:sz="4" w:space="0"/>
            </w:tcBorders>
            <w:vAlign w:val="center"/>
          </w:tcPr>
          <w:p w14:paraId="76C2C0F1">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659" w:type="dxa"/>
            <w:gridSpan w:val="2"/>
            <w:tcBorders>
              <w:top w:val="nil"/>
              <w:left w:val="nil"/>
              <w:bottom w:val="single" w:color="auto" w:sz="4" w:space="0"/>
              <w:right w:val="single" w:color="auto" w:sz="4" w:space="0"/>
            </w:tcBorders>
            <w:vAlign w:val="center"/>
          </w:tcPr>
          <w:p w14:paraId="54FD73CB">
            <w:pPr>
              <w:widowControl/>
              <w:spacing w:line="0" w:lineRule="atLeast"/>
              <w:jc w:val="center"/>
              <w:rPr>
                <w:rFonts w:eastAsia="仿宋_GB2312"/>
                <w:color w:val="auto"/>
                <w:kern w:val="0"/>
                <w:szCs w:val="21"/>
              </w:rPr>
            </w:pPr>
          </w:p>
        </w:tc>
        <w:tc>
          <w:tcPr>
            <w:tcW w:w="1159" w:type="dxa"/>
            <w:tcBorders>
              <w:top w:val="nil"/>
              <w:left w:val="nil"/>
              <w:bottom w:val="single" w:color="auto" w:sz="4" w:space="0"/>
              <w:right w:val="single" w:color="auto" w:sz="4" w:space="0"/>
            </w:tcBorders>
            <w:vAlign w:val="center"/>
          </w:tcPr>
          <w:p w14:paraId="7362BA42">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3D5F70E1">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14:paraId="1603FC1B">
            <w:pPr>
              <w:widowControl/>
              <w:spacing w:line="0" w:lineRule="atLeast"/>
              <w:jc w:val="left"/>
              <w:rPr>
                <w:rFonts w:eastAsia="仿宋_GB2312"/>
                <w:color w:val="auto"/>
                <w:kern w:val="0"/>
                <w:szCs w:val="21"/>
              </w:rPr>
            </w:pPr>
          </w:p>
        </w:tc>
        <w:tc>
          <w:tcPr>
            <w:tcW w:w="1949" w:type="dxa"/>
            <w:gridSpan w:val="2"/>
            <w:tcBorders>
              <w:top w:val="nil"/>
              <w:left w:val="nil"/>
              <w:bottom w:val="single" w:color="auto" w:sz="4" w:space="0"/>
              <w:right w:val="single" w:color="auto" w:sz="4" w:space="0"/>
            </w:tcBorders>
            <w:vAlign w:val="center"/>
          </w:tcPr>
          <w:p w14:paraId="3372C7E6">
            <w:pPr>
              <w:widowControl/>
              <w:spacing w:line="0" w:lineRule="atLeast"/>
              <w:jc w:val="left"/>
              <w:rPr>
                <w:rFonts w:eastAsia="仿宋_GB2312"/>
                <w:color w:val="auto"/>
                <w:kern w:val="0"/>
                <w:szCs w:val="21"/>
              </w:rPr>
            </w:pPr>
            <w:r>
              <w:rPr>
                <w:rFonts w:hint="eastAsia" w:eastAsia="仿宋_GB2312"/>
                <w:color w:val="auto"/>
                <w:kern w:val="0"/>
                <w:szCs w:val="21"/>
              </w:rPr>
              <w:t>上年结转资金　</w:t>
            </w:r>
          </w:p>
        </w:tc>
        <w:tc>
          <w:tcPr>
            <w:tcW w:w="1649" w:type="dxa"/>
            <w:tcBorders>
              <w:top w:val="nil"/>
              <w:left w:val="nil"/>
              <w:bottom w:val="single" w:color="auto" w:sz="4" w:space="0"/>
              <w:right w:val="single" w:color="auto" w:sz="4" w:space="0"/>
            </w:tcBorders>
            <w:vAlign w:val="center"/>
          </w:tcPr>
          <w:p w14:paraId="6959C215">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266" w:type="dxa"/>
            <w:tcBorders>
              <w:top w:val="nil"/>
              <w:left w:val="nil"/>
              <w:bottom w:val="single" w:color="auto" w:sz="4" w:space="0"/>
              <w:right w:val="single" w:color="auto" w:sz="4" w:space="0"/>
            </w:tcBorders>
            <w:vAlign w:val="center"/>
          </w:tcPr>
          <w:p w14:paraId="73707168">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nil"/>
              <w:left w:val="nil"/>
              <w:bottom w:val="single" w:color="auto" w:sz="4" w:space="0"/>
              <w:right w:val="single" w:color="auto" w:sz="4" w:space="0"/>
            </w:tcBorders>
            <w:vAlign w:val="center"/>
          </w:tcPr>
          <w:p w14:paraId="5D06FD9F">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nil"/>
              <w:left w:val="nil"/>
              <w:bottom w:val="single" w:color="auto" w:sz="4" w:space="0"/>
              <w:right w:val="single" w:color="auto" w:sz="4" w:space="0"/>
            </w:tcBorders>
            <w:vAlign w:val="center"/>
          </w:tcPr>
          <w:p w14:paraId="44C48D23">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659" w:type="dxa"/>
            <w:gridSpan w:val="2"/>
            <w:tcBorders>
              <w:top w:val="nil"/>
              <w:left w:val="nil"/>
              <w:bottom w:val="single" w:color="auto" w:sz="4" w:space="0"/>
              <w:right w:val="single" w:color="auto" w:sz="4" w:space="0"/>
            </w:tcBorders>
            <w:vAlign w:val="center"/>
          </w:tcPr>
          <w:p w14:paraId="1633969D">
            <w:pPr>
              <w:widowControl/>
              <w:spacing w:line="0" w:lineRule="atLeast"/>
              <w:jc w:val="center"/>
              <w:rPr>
                <w:rFonts w:eastAsia="仿宋_GB2312"/>
                <w:color w:val="auto"/>
                <w:kern w:val="0"/>
                <w:szCs w:val="21"/>
              </w:rPr>
            </w:pPr>
          </w:p>
        </w:tc>
        <w:tc>
          <w:tcPr>
            <w:tcW w:w="1159" w:type="dxa"/>
            <w:tcBorders>
              <w:top w:val="nil"/>
              <w:left w:val="nil"/>
              <w:bottom w:val="single" w:color="auto" w:sz="4" w:space="0"/>
              <w:right w:val="single" w:color="auto" w:sz="4" w:space="0"/>
            </w:tcBorders>
            <w:vAlign w:val="center"/>
          </w:tcPr>
          <w:p w14:paraId="23815F10">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7A1AFD74">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14:paraId="4BE03667">
            <w:pPr>
              <w:widowControl/>
              <w:spacing w:line="0" w:lineRule="atLeast"/>
              <w:jc w:val="left"/>
              <w:rPr>
                <w:rFonts w:eastAsia="仿宋_GB2312"/>
                <w:color w:val="auto"/>
                <w:kern w:val="0"/>
                <w:szCs w:val="21"/>
              </w:rPr>
            </w:pPr>
          </w:p>
        </w:tc>
        <w:tc>
          <w:tcPr>
            <w:tcW w:w="1949" w:type="dxa"/>
            <w:gridSpan w:val="2"/>
            <w:tcBorders>
              <w:top w:val="nil"/>
              <w:left w:val="nil"/>
              <w:bottom w:val="single" w:color="auto" w:sz="4" w:space="0"/>
              <w:right w:val="single" w:color="auto" w:sz="4" w:space="0"/>
            </w:tcBorders>
            <w:vAlign w:val="center"/>
          </w:tcPr>
          <w:p w14:paraId="5982D086">
            <w:pPr>
              <w:widowControl/>
              <w:spacing w:line="0" w:lineRule="atLeast"/>
              <w:ind w:firstLine="630" w:firstLineChars="300"/>
              <w:jc w:val="left"/>
              <w:rPr>
                <w:rFonts w:eastAsia="仿宋_GB2312"/>
                <w:color w:val="auto"/>
                <w:kern w:val="0"/>
                <w:szCs w:val="21"/>
              </w:rPr>
            </w:pPr>
            <w:r>
              <w:rPr>
                <w:rFonts w:hint="eastAsia" w:eastAsia="仿宋_GB2312"/>
                <w:color w:val="auto"/>
                <w:kern w:val="0"/>
                <w:szCs w:val="21"/>
              </w:rPr>
              <w:t>其他资金</w:t>
            </w:r>
          </w:p>
        </w:tc>
        <w:tc>
          <w:tcPr>
            <w:tcW w:w="1649" w:type="dxa"/>
            <w:tcBorders>
              <w:top w:val="nil"/>
              <w:left w:val="nil"/>
              <w:bottom w:val="single" w:color="auto" w:sz="4" w:space="0"/>
              <w:right w:val="single" w:color="auto" w:sz="4" w:space="0"/>
            </w:tcBorders>
            <w:vAlign w:val="center"/>
          </w:tcPr>
          <w:p w14:paraId="65B6AC69">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266" w:type="dxa"/>
            <w:tcBorders>
              <w:top w:val="nil"/>
              <w:left w:val="nil"/>
              <w:bottom w:val="single" w:color="auto" w:sz="4" w:space="0"/>
              <w:right w:val="single" w:color="auto" w:sz="4" w:space="0"/>
            </w:tcBorders>
            <w:vAlign w:val="center"/>
          </w:tcPr>
          <w:p w14:paraId="503B1FEB">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nil"/>
              <w:left w:val="nil"/>
              <w:bottom w:val="single" w:color="auto" w:sz="4" w:space="0"/>
              <w:right w:val="single" w:color="auto" w:sz="4" w:space="0"/>
            </w:tcBorders>
            <w:vAlign w:val="center"/>
          </w:tcPr>
          <w:p w14:paraId="181EF643">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nil"/>
              <w:left w:val="nil"/>
              <w:bottom w:val="single" w:color="auto" w:sz="4" w:space="0"/>
              <w:right w:val="single" w:color="auto" w:sz="4" w:space="0"/>
            </w:tcBorders>
            <w:vAlign w:val="center"/>
          </w:tcPr>
          <w:p w14:paraId="0258C668">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659" w:type="dxa"/>
            <w:gridSpan w:val="2"/>
            <w:tcBorders>
              <w:top w:val="nil"/>
              <w:left w:val="nil"/>
              <w:bottom w:val="single" w:color="auto" w:sz="4" w:space="0"/>
              <w:right w:val="single" w:color="auto" w:sz="4" w:space="0"/>
            </w:tcBorders>
            <w:vAlign w:val="center"/>
          </w:tcPr>
          <w:p w14:paraId="2F5ECEBC">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159" w:type="dxa"/>
            <w:tcBorders>
              <w:top w:val="nil"/>
              <w:left w:val="nil"/>
              <w:bottom w:val="single" w:color="auto" w:sz="4" w:space="0"/>
              <w:right w:val="single" w:color="auto" w:sz="4" w:space="0"/>
            </w:tcBorders>
            <w:vAlign w:val="center"/>
          </w:tcPr>
          <w:p w14:paraId="75AEADF7">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4042AC04">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14:paraId="54BEE95F">
            <w:pPr>
              <w:widowControl/>
              <w:spacing w:line="0" w:lineRule="atLeast"/>
              <w:jc w:val="center"/>
              <w:rPr>
                <w:rFonts w:eastAsia="仿宋_GB2312"/>
                <w:color w:val="auto"/>
                <w:kern w:val="0"/>
                <w:szCs w:val="21"/>
              </w:rPr>
            </w:pPr>
            <w:r>
              <w:rPr>
                <w:rFonts w:hint="eastAsia" w:eastAsia="仿宋_GB2312"/>
                <w:color w:val="auto"/>
                <w:kern w:val="0"/>
                <w:szCs w:val="21"/>
              </w:rPr>
              <w:t>年度总</w:t>
            </w:r>
          </w:p>
          <w:p w14:paraId="0E734D19">
            <w:pPr>
              <w:widowControl/>
              <w:spacing w:line="0" w:lineRule="atLeast"/>
              <w:jc w:val="center"/>
              <w:rPr>
                <w:rFonts w:eastAsia="仿宋_GB2312"/>
                <w:color w:val="auto"/>
                <w:kern w:val="0"/>
                <w:szCs w:val="21"/>
              </w:rPr>
            </w:pPr>
            <w:r>
              <w:rPr>
                <w:rFonts w:hint="eastAsia" w:eastAsia="仿宋_GB2312"/>
                <w:color w:val="auto"/>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14:paraId="190E0AF8">
            <w:pPr>
              <w:widowControl/>
              <w:spacing w:line="0" w:lineRule="atLeast"/>
              <w:jc w:val="center"/>
              <w:rPr>
                <w:rFonts w:eastAsia="仿宋_GB2312"/>
                <w:color w:val="auto"/>
                <w:kern w:val="0"/>
                <w:szCs w:val="21"/>
              </w:rPr>
            </w:pPr>
            <w:r>
              <w:rPr>
                <w:rFonts w:hint="eastAsia" w:eastAsia="仿宋_GB2312"/>
                <w:color w:val="auto"/>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14:paraId="3A71646B">
            <w:pPr>
              <w:widowControl/>
              <w:spacing w:line="0" w:lineRule="atLeast"/>
              <w:jc w:val="center"/>
              <w:rPr>
                <w:rFonts w:eastAsia="仿宋_GB2312"/>
                <w:color w:val="auto"/>
                <w:kern w:val="0"/>
                <w:szCs w:val="21"/>
              </w:rPr>
            </w:pPr>
            <w:r>
              <w:rPr>
                <w:rFonts w:hint="eastAsia" w:eastAsia="仿宋_GB2312"/>
                <w:color w:val="auto"/>
                <w:kern w:val="0"/>
                <w:szCs w:val="21"/>
              </w:rPr>
              <w:t>实际完成情况　</w:t>
            </w:r>
          </w:p>
        </w:tc>
      </w:tr>
      <w:tr w14:paraId="4D00E12F">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14:paraId="03F2F091">
            <w:pPr>
              <w:widowControl/>
              <w:spacing w:line="0" w:lineRule="atLeast"/>
              <w:jc w:val="left"/>
              <w:rPr>
                <w:rFonts w:eastAsia="仿宋_GB2312"/>
                <w:color w:val="auto"/>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14:paraId="414263D1">
            <w:pPr>
              <w:widowControl/>
              <w:spacing w:line="0" w:lineRule="atLeast"/>
              <w:jc w:val="center"/>
              <w:rPr>
                <w:rFonts w:eastAsia="仿宋_GB2312"/>
                <w:color w:val="auto"/>
                <w:kern w:val="0"/>
                <w:szCs w:val="21"/>
              </w:rPr>
            </w:pPr>
            <w:r>
              <w:rPr>
                <w:rFonts w:hint="eastAsia" w:eastAsia="仿宋_GB2312"/>
                <w:color w:val="auto"/>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14:paraId="2F4CBAB4">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15825B6B">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14:paraId="48D64560">
            <w:pPr>
              <w:widowControl/>
              <w:spacing w:line="0" w:lineRule="atLeast"/>
              <w:jc w:val="center"/>
              <w:rPr>
                <w:rFonts w:eastAsia="仿宋_GB2312"/>
                <w:color w:val="auto"/>
                <w:kern w:val="0"/>
                <w:szCs w:val="21"/>
              </w:rPr>
            </w:pPr>
            <w:r>
              <w:rPr>
                <w:rFonts w:hint="eastAsia" w:eastAsia="仿宋_GB2312"/>
                <w:color w:val="auto"/>
                <w:kern w:val="0"/>
                <w:szCs w:val="21"/>
              </w:rPr>
              <w:t>绩</w:t>
            </w:r>
          </w:p>
          <w:p w14:paraId="466C8580">
            <w:pPr>
              <w:widowControl/>
              <w:spacing w:line="0" w:lineRule="atLeast"/>
              <w:jc w:val="center"/>
              <w:rPr>
                <w:rFonts w:eastAsia="仿宋_GB2312"/>
                <w:color w:val="auto"/>
                <w:kern w:val="0"/>
                <w:szCs w:val="21"/>
              </w:rPr>
            </w:pPr>
            <w:r>
              <w:rPr>
                <w:rFonts w:hint="eastAsia" w:eastAsia="仿宋_GB2312"/>
                <w:color w:val="auto"/>
                <w:kern w:val="0"/>
                <w:szCs w:val="21"/>
              </w:rPr>
              <w:t>效</w:t>
            </w:r>
          </w:p>
          <w:p w14:paraId="28F0F20A">
            <w:pPr>
              <w:widowControl/>
              <w:spacing w:line="0" w:lineRule="atLeast"/>
              <w:jc w:val="center"/>
              <w:rPr>
                <w:rFonts w:eastAsia="仿宋_GB2312"/>
                <w:color w:val="auto"/>
                <w:kern w:val="0"/>
                <w:szCs w:val="21"/>
              </w:rPr>
            </w:pPr>
            <w:r>
              <w:rPr>
                <w:rFonts w:hint="eastAsia" w:eastAsia="仿宋_GB2312"/>
                <w:color w:val="auto"/>
                <w:kern w:val="0"/>
                <w:szCs w:val="21"/>
              </w:rPr>
              <w:t>指</w:t>
            </w:r>
          </w:p>
          <w:p w14:paraId="7FAD0109">
            <w:pPr>
              <w:widowControl/>
              <w:spacing w:line="0" w:lineRule="atLeast"/>
              <w:jc w:val="center"/>
              <w:rPr>
                <w:rFonts w:eastAsia="仿宋_GB2312"/>
                <w:color w:val="auto"/>
                <w:kern w:val="0"/>
                <w:szCs w:val="21"/>
              </w:rPr>
            </w:pPr>
            <w:r>
              <w:rPr>
                <w:rFonts w:hint="eastAsia" w:eastAsia="仿宋_GB2312"/>
                <w:color w:val="auto"/>
                <w:kern w:val="0"/>
                <w:szCs w:val="21"/>
              </w:rPr>
              <w:t>标</w:t>
            </w:r>
          </w:p>
        </w:tc>
        <w:tc>
          <w:tcPr>
            <w:tcW w:w="780" w:type="dxa"/>
            <w:tcBorders>
              <w:top w:val="single" w:color="auto" w:sz="4" w:space="0"/>
              <w:left w:val="nil"/>
              <w:bottom w:val="single" w:color="auto" w:sz="4" w:space="0"/>
              <w:right w:val="single" w:color="auto" w:sz="4" w:space="0"/>
            </w:tcBorders>
            <w:vAlign w:val="center"/>
          </w:tcPr>
          <w:p w14:paraId="088E57D4">
            <w:pPr>
              <w:widowControl/>
              <w:spacing w:line="0" w:lineRule="atLeast"/>
              <w:ind w:left="-11" w:leftChars="-46" w:right="-111" w:rightChars="-53" w:hanging="86" w:hangingChars="46"/>
              <w:jc w:val="center"/>
              <w:rPr>
                <w:rFonts w:eastAsia="仿宋_GB2312"/>
                <w:color w:val="auto"/>
                <w:w w:val="90"/>
                <w:kern w:val="0"/>
                <w:szCs w:val="21"/>
              </w:rPr>
            </w:pPr>
            <w:r>
              <w:rPr>
                <w:rFonts w:hint="eastAsia" w:eastAsia="仿宋_GB2312"/>
                <w:color w:val="auto"/>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14:paraId="20D0912F">
            <w:pPr>
              <w:widowControl/>
              <w:spacing w:line="0" w:lineRule="atLeast"/>
              <w:jc w:val="center"/>
              <w:rPr>
                <w:rFonts w:eastAsia="仿宋_GB2312"/>
                <w:color w:val="auto"/>
                <w:w w:val="90"/>
                <w:kern w:val="0"/>
                <w:szCs w:val="21"/>
              </w:rPr>
            </w:pPr>
            <w:r>
              <w:rPr>
                <w:rFonts w:hint="eastAsia" w:eastAsia="仿宋_GB2312"/>
                <w:color w:val="auto"/>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14:paraId="1CE4D5A1">
            <w:pPr>
              <w:widowControl/>
              <w:spacing w:line="0" w:lineRule="atLeast"/>
              <w:jc w:val="center"/>
              <w:rPr>
                <w:rFonts w:eastAsia="仿宋_GB2312"/>
                <w:color w:val="auto"/>
                <w:w w:val="90"/>
                <w:kern w:val="0"/>
                <w:szCs w:val="21"/>
              </w:rPr>
            </w:pPr>
            <w:r>
              <w:rPr>
                <w:rFonts w:hint="eastAsia" w:eastAsia="仿宋_GB2312"/>
                <w:color w:val="auto"/>
                <w:w w:val="90"/>
                <w:kern w:val="0"/>
                <w:szCs w:val="21"/>
              </w:rPr>
              <w:t>三级指标</w:t>
            </w:r>
          </w:p>
        </w:tc>
        <w:tc>
          <w:tcPr>
            <w:tcW w:w="1266" w:type="dxa"/>
            <w:tcBorders>
              <w:top w:val="single" w:color="auto" w:sz="4" w:space="0"/>
              <w:left w:val="nil"/>
              <w:bottom w:val="single" w:color="auto" w:sz="4" w:space="0"/>
              <w:right w:val="single" w:color="auto" w:sz="4" w:space="0"/>
            </w:tcBorders>
            <w:vAlign w:val="center"/>
          </w:tcPr>
          <w:p w14:paraId="3D31EF75">
            <w:pPr>
              <w:widowControl/>
              <w:spacing w:line="0" w:lineRule="atLeast"/>
              <w:jc w:val="center"/>
              <w:rPr>
                <w:rFonts w:eastAsia="仿宋_GB2312"/>
                <w:color w:val="auto"/>
                <w:w w:val="90"/>
                <w:kern w:val="0"/>
                <w:szCs w:val="21"/>
              </w:rPr>
            </w:pPr>
            <w:r>
              <w:rPr>
                <w:rFonts w:hint="eastAsia" w:eastAsia="仿宋_GB2312"/>
                <w:color w:val="auto"/>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14:paraId="21C27F0D">
            <w:pPr>
              <w:widowControl/>
              <w:spacing w:line="0" w:lineRule="atLeast"/>
              <w:ind w:left="-9" w:leftChars="-41" w:right="-92" w:rightChars="-44" w:hanging="77" w:hangingChars="41"/>
              <w:jc w:val="center"/>
              <w:rPr>
                <w:rFonts w:eastAsia="仿宋_GB2312"/>
                <w:color w:val="auto"/>
                <w:w w:val="90"/>
                <w:kern w:val="0"/>
                <w:szCs w:val="21"/>
              </w:rPr>
            </w:pPr>
            <w:r>
              <w:rPr>
                <w:rFonts w:hint="eastAsia" w:eastAsia="仿宋_GB2312"/>
                <w:color w:val="auto"/>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14:paraId="3A62906D">
            <w:pPr>
              <w:widowControl/>
              <w:spacing w:line="0" w:lineRule="atLeast"/>
              <w:ind w:left="-11" w:leftChars="-51" w:right="-118" w:rightChars="-56" w:hanging="96" w:hangingChars="51"/>
              <w:jc w:val="center"/>
              <w:rPr>
                <w:rFonts w:eastAsia="仿宋_GB2312"/>
                <w:color w:val="auto"/>
                <w:w w:val="90"/>
                <w:kern w:val="0"/>
                <w:szCs w:val="21"/>
              </w:rPr>
            </w:pPr>
            <w:r>
              <w:rPr>
                <w:rFonts w:hint="eastAsia" w:eastAsia="仿宋_GB2312"/>
                <w:color w:val="auto"/>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14:paraId="0362609E">
            <w:pPr>
              <w:widowControl/>
              <w:spacing w:line="0" w:lineRule="atLeast"/>
              <w:ind w:left="-92" w:leftChars="-44" w:right="-99" w:rightChars="-47" w:firstLine="7" w:firstLineChars="4"/>
              <w:jc w:val="center"/>
              <w:rPr>
                <w:rFonts w:eastAsia="仿宋_GB2312"/>
                <w:color w:val="auto"/>
                <w:w w:val="90"/>
                <w:kern w:val="0"/>
                <w:szCs w:val="21"/>
              </w:rPr>
            </w:pPr>
            <w:r>
              <w:rPr>
                <w:rFonts w:hint="eastAsia" w:eastAsia="仿宋_GB2312"/>
                <w:color w:val="auto"/>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14:paraId="46EC99E7">
            <w:pPr>
              <w:widowControl/>
              <w:spacing w:line="0" w:lineRule="atLeast"/>
              <w:jc w:val="center"/>
              <w:rPr>
                <w:rFonts w:eastAsia="仿宋_GB2312"/>
                <w:color w:val="auto"/>
                <w:w w:val="90"/>
                <w:kern w:val="0"/>
                <w:szCs w:val="21"/>
              </w:rPr>
            </w:pPr>
            <w:r>
              <w:rPr>
                <w:rFonts w:hint="eastAsia" w:eastAsia="仿宋_GB2312"/>
                <w:color w:val="auto"/>
                <w:w w:val="90"/>
                <w:kern w:val="0"/>
                <w:szCs w:val="21"/>
              </w:rPr>
              <w:t>偏差原因分析及改进措施</w:t>
            </w:r>
          </w:p>
        </w:tc>
      </w:tr>
      <w:tr w14:paraId="2871CFAF">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4637E965">
            <w:pPr>
              <w:widowControl/>
              <w:spacing w:line="0" w:lineRule="atLeast"/>
              <w:jc w:val="left"/>
              <w:rPr>
                <w:rFonts w:eastAsia="仿宋_GB2312"/>
                <w:color w:val="auto"/>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14:paraId="48CD6C3B">
            <w:pPr>
              <w:widowControl/>
              <w:spacing w:line="0" w:lineRule="atLeast"/>
              <w:jc w:val="center"/>
              <w:rPr>
                <w:rFonts w:eastAsia="仿宋_GB2312"/>
                <w:color w:val="auto"/>
                <w:kern w:val="0"/>
                <w:szCs w:val="21"/>
              </w:rPr>
            </w:pPr>
            <w:r>
              <w:rPr>
                <w:rFonts w:hint="eastAsia" w:eastAsia="仿宋_GB2312"/>
                <w:color w:val="auto"/>
                <w:kern w:val="0"/>
                <w:szCs w:val="21"/>
              </w:rPr>
              <w:t>产出</w:t>
            </w:r>
          </w:p>
          <w:p w14:paraId="51EDD217">
            <w:pPr>
              <w:widowControl/>
              <w:spacing w:line="0" w:lineRule="atLeast"/>
              <w:jc w:val="center"/>
              <w:rPr>
                <w:rFonts w:eastAsia="仿宋_GB2312"/>
                <w:color w:val="auto"/>
                <w:kern w:val="0"/>
                <w:szCs w:val="21"/>
              </w:rPr>
            </w:pPr>
            <w:r>
              <w:rPr>
                <w:rFonts w:hint="eastAsia" w:eastAsia="仿宋_GB2312"/>
                <w:color w:val="auto"/>
                <w:kern w:val="0"/>
                <w:szCs w:val="21"/>
              </w:rPr>
              <w:t>指标</w:t>
            </w:r>
          </w:p>
          <w:p w14:paraId="6EAEB481">
            <w:pPr>
              <w:widowControl/>
              <w:spacing w:line="0" w:lineRule="atLeast"/>
              <w:jc w:val="center"/>
              <w:rPr>
                <w:rFonts w:eastAsia="仿宋_GB2312"/>
                <w:color w:val="auto"/>
                <w:kern w:val="0"/>
                <w:szCs w:val="21"/>
              </w:rPr>
            </w:pPr>
            <w:r>
              <w:rPr>
                <w:rFonts w:eastAsia="仿宋_GB2312"/>
                <w:color w:val="auto"/>
                <w:kern w:val="0"/>
                <w:szCs w:val="21"/>
              </w:rPr>
              <w:t>(50</w:t>
            </w:r>
            <w:r>
              <w:rPr>
                <w:rFonts w:hint="eastAsia" w:eastAsia="仿宋_GB2312"/>
                <w:color w:val="auto"/>
                <w:kern w:val="0"/>
                <w:szCs w:val="21"/>
              </w:rPr>
              <w:t>分</w:t>
            </w:r>
            <w:r>
              <w:rPr>
                <w:rFonts w:eastAsia="仿宋_GB2312"/>
                <w:color w:val="auto"/>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14:paraId="1B945043">
            <w:pPr>
              <w:widowControl/>
              <w:spacing w:line="0" w:lineRule="atLeast"/>
              <w:jc w:val="center"/>
              <w:rPr>
                <w:rFonts w:eastAsia="仿宋_GB2312"/>
                <w:color w:val="auto"/>
                <w:kern w:val="0"/>
                <w:szCs w:val="21"/>
              </w:rPr>
            </w:pPr>
            <w:r>
              <w:rPr>
                <w:rFonts w:hint="eastAsia" w:eastAsia="仿宋_GB2312"/>
                <w:color w:val="auto"/>
                <w:kern w:val="0"/>
                <w:szCs w:val="21"/>
              </w:rPr>
              <w:t>数量指标</w:t>
            </w:r>
          </w:p>
        </w:tc>
        <w:tc>
          <w:tcPr>
            <w:tcW w:w="1649" w:type="dxa"/>
            <w:tcBorders>
              <w:top w:val="single" w:color="auto" w:sz="4" w:space="0"/>
              <w:left w:val="nil"/>
              <w:bottom w:val="single" w:color="auto" w:sz="4" w:space="0"/>
              <w:right w:val="single" w:color="auto" w:sz="4" w:space="0"/>
            </w:tcBorders>
            <w:vAlign w:val="center"/>
          </w:tcPr>
          <w:p w14:paraId="68C53CEC">
            <w:pPr>
              <w:widowControl/>
              <w:spacing w:line="0" w:lineRule="atLeast"/>
              <w:jc w:val="left"/>
              <w:rPr>
                <w:rFonts w:eastAsia="仿宋_GB2312"/>
                <w:color w:val="auto"/>
                <w:kern w:val="0"/>
                <w:szCs w:val="21"/>
              </w:rPr>
            </w:pPr>
          </w:p>
        </w:tc>
        <w:tc>
          <w:tcPr>
            <w:tcW w:w="1266" w:type="dxa"/>
            <w:tcBorders>
              <w:top w:val="single" w:color="auto" w:sz="4" w:space="0"/>
              <w:left w:val="nil"/>
              <w:bottom w:val="single" w:color="auto" w:sz="4" w:space="0"/>
              <w:right w:val="single" w:color="auto" w:sz="4" w:space="0"/>
            </w:tcBorders>
            <w:vAlign w:val="center"/>
          </w:tcPr>
          <w:p w14:paraId="435FC9F0">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5742A4C4">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3D54D4C3">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2CB76327">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0BFF3CA3">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6C1AE4F7">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7803DEFD">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6E6F5A11">
            <w:pPr>
              <w:widowControl/>
              <w:spacing w:line="0" w:lineRule="atLeast"/>
              <w:jc w:val="left"/>
              <w:rPr>
                <w:rFonts w:eastAsia="仿宋_GB2312"/>
                <w:color w:val="auto"/>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76EA1D53">
            <w:pPr>
              <w:widowControl/>
              <w:spacing w:line="0" w:lineRule="atLeast"/>
              <w:jc w:val="left"/>
              <w:rPr>
                <w:rFonts w:eastAsia="仿宋_GB2312"/>
                <w:color w:val="auto"/>
                <w:kern w:val="0"/>
                <w:szCs w:val="21"/>
              </w:rPr>
            </w:pPr>
          </w:p>
        </w:tc>
        <w:tc>
          <w:tcPr>
            <w:tcW w:w="1649" w:type="dxa"/>
            <w:tcBorders>
              <w:top w:val="single" w:color="auto" w:sz="4" w:space="0"/>
              <w:left w:val="nil"/>
              <w:bottom w:val="single" w:color="auto" w:sz="4" w:space="0"/>
              <w:right w:val="single" w:color="auto" w:sz="4" w:space="0"/>
            </w:tcBorders>
            <w:vAlign w:val="center"/>
          </w:tcPr>
          <w:p w14:paraId="62829C7F">
            <w:pPr>
              <w:widowControl/>
              <w:spacing w:line="0" w:lineRule="atLeast"/>
              <w:jc w:val="left"/>
              <w:rPr>
                <w:rFonts w:eastAsia="仿宋_GB2312"/>
                <w:color w:val="auto"/>
                <w:kern w:val="0"/>
                <w:szCs w:val="21"/>
              </w:rPr>
            </w:pPr>
            <w:r>
              <w:rPr>
                <w:rFonts w:eastAsia="仿宋_GB2312"/>
                <w:color w:val="auto"/>
                <w:kern w:val="0"/>
                <w:szCs w:val="21"/>
              </w:rPr>
              <w:t>……</w:t>
            </w:r>
          </w:p>
        </w:tc>
        <w:tc>
          <w:tcPr>
            <w:tcW w:w="1266" w:type="dxa"/>
            <w:tcBorders>
              <w:top w:val="single" w:color="auto" w:sz="4" w:space="0"/>
              <w:left w:val="nil"/>
              <w:bottom w:val="single" w:color="auto" w:sz="4" w:space="0"/>
              <w:right w:val="single" w:color="auto" w:sz="4" w:space="0"/>
            </w:tcBorders>
            <w:vAlign w:val="center"/>
          </w:tcPr>
          <w:p w14:paraId="6DE366A9">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5B8EB704">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43D33E9B">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6DCB2AE0">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39E6C070">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4F480B07">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2171B095">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7BC57704">
            <w:pPr>
              <w:widowControl/>
              <w:spacing w:line="0" w:lineRule="atLeast"/>
              <w:jc w:val="left"/>
              <w:rPr>
                <w:rFonts w:eastAsia="仿宋_GB2312"/>
                <w:color w:val="auto"/>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14:paraId="7B942183">
            <w:pPr>
              <w:widowControl/>
              <w:spacing w:line="0" w:lineRule="atLeast"/>
              <w:jc w:val="center"/>
              <w:rPr>
                <w:rFonts w:eastAsia="仿宋_GB2312"/>
                <w:color w:val="auto"/>
                <w:kern w:val="0"/>
                <w:szCs w:val="21"/>
              </w:rPr>
            </w:pPr>
            <w:r>
              <w:rPr>
                <w:rFonts w:hint="eastAsia" w:eastAsia="仿宋_GB2312"/>
                <w:color w:val="auto"/>
                <w:kern w:val="0"/>
                <w:szCs w:val="21"/>
              </w:rPr>
              <w:t>质量指标</w:t>
            </w:r>
          </w:p>
        </w:tc>
        <w:tc>
          <w:tcPr>
            <w:tcW w:w="1649" w:type="dxa"/>
            <w:tcBorders>
              <w:top w:val="single" w:color="auto" w:sz="4" w:space="0"/>
              <w:left w:val="nil"/>
              <w:bottom w:val="single" w:color="auto" w:sz="4" w:space="0"/>
              <w:right w:val="single" w:color="auto" w:sz="4" w:space="0"/>
            </w:tcBorders>
            <w:vAlign w:val="center"/>
          </w:tcPr>
          <w:p w14:paraId="3F4D7748">
            <w:pPr>
              <w:widowControl/>
              <w:spacing w:line="0" w:lineRule="atLeast"/>
              <w:jc w:val="left"/>
              <w:rPr>
                <w:rFonts w:eastAsia="仿宋_GB2312"/>
                <w:color w:val="auto"/>
                <w:kern w:val="0"/>
                <w:szCs w:val="21"/>
              </w:rPr>
            </w:pPr>
          </w:p>
        </w:tc>
        <w:tc>
          <w:tcPr>
            <w:tcW w:w="1266" w:type="dxa"/>
            <w:tcBorders>
              <w:top w:val="single" w:color="auto" w:sz="4" w:space="0"/>
              <w:left w:val="nil"/>
              <w:bottom w:val="single" w:color="auto" w:sz="4" w:space="0"/>
              <w:right w:val="single" w:color="auto" w:sz="4" w:space="0"/>
            </w:tcBorders>
            <w:vAlign w:val="center"/>
          </w:tcPr>
          <w:p w14:paraId="2C29371D">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7FCD8062">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59D17470">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059877F9">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7424BCBF">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7A2163EE">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7974A611">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4B9D2714">
            <w:pPr>
              <w:widowControl/>
              <w:spacing w:line="0" w:lineRule="atLeast"/>
              <w:jc w:val="left"/>
              <w:rPr>
                <w:rFonts w:eastAsia="仿宋_GB2312"/>
                <w:color w:val="auto"/>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68E15230">
            <w:pPr>
              <w:widowControl/>
              <w:spacing w:line="0" w:lineRule="atLeast"/>
              <w:jc w:val="left"/>
              <w:rPr>
                <w:rFonts w:eastAsia="仿宋_GB2312"/>
                <w:color w:val="auto"/>
                <w:kern w:val="0"/>
                <w:szCs w:val="21"/>
              </w:rPr>
            </w:pPr>
          </w:p>
        </w:tc>
        <w:tc>
          <w:tcPr>
            <w:tcW w:w="1649" w:type="dxa"/>
            <w:tcBorders>
              <w:top w:val="single" w:color="auto" w:sz="4" w:space="0"/>
              <w:left w:val="nil"/>
              <w:bottom w:val="single" w:color="auto" w:sz="4" w:space="0"/>
              <w:right w:val="single" w:color="auto" w:sz="4" w:space="0"/>
            </w:tcBorders>
            <w:vAlign w:val="center"/>
          </w:tcPr>
          <w:p w14:paraId="308DD581">
            <w:pPr>
              <w:widowControl/>
              <w:spacing w:line="0" w:lineRule="atLeast"/>
              <w:jc w:val="left"/>
              <w:rPr>
                <w:rFonts w:eastAsia="仿宋_GB2312"/>
                <w:color w:val="auto"/>
                <w:kern w:val="0"/>
                <w:szCs w:val="21"/>
              </w:rPr>
            </w:pPr>
            <w:r>
              <w:rPr>
                <w:rFonts w:eastAsia="仿宋_GB2312"/>
                <w:color w:val="auto"/>
                <w:kern w:val="0"/>
                <w:szCs w:val="21"/>
              </w:rPr>
              <w:t>……</w:t>
            </w:r>
          </w:p>
        </w:tc>
        <w:tc>
          <w:tcPr>
            <w:tcW w:w="1266" w:type="dxa"/>
            <w:tcBorders>
              <w:top w:val="single" w:color="auto" w:sz="4" w:space="0"/>
              <w:left w:val="nil"/>
              <w:bottom w:val="single" w:color="auto" w:sz="4" w:space="0"/>
              <w:right w:val="single" w:color="auto" w:sz="4" w:space="0"/>
            </w:tcBorders>
            <w:vAlign w:val="center"/>
          </w:tcPr>
          <w:p w14:paraId="434981C7">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451D7EF4">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39127379">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0B8E05EB">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7CF75451">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3325036E">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0C8230EF">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301FB087">
            <w:pPr>
              <w:widowControl/>
              <w:spacing w:line="0" w:lineRule="atLeast"/>
              <w:jc w:val="left"/>
              <w:rPr>
                <w:rFonts w:eastAsia="仿宋_GB2312"/>
                <w:color w:val="auto"/>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14:paraId="061D4DC9">
            <w:pPr>
              <w:widowControl/>
              <w:spacing w:line="0" w:lineRule="atLeast"/>
              <w:jc w:val="center"/>
              <w:rPr>
                <w:rFonts w:eastAsia="仿宋_GB2312"/>
                <w:color w:val="auto"/>
                <w:kern w:val="0"/>
                <w:szCs w:val="21"/>
              </w:rPr>
            </w:pPr>
            <w:r>
              <w:rPr>
                <w:rFonts w:hint="eastAsia" w:eastAsia="仿宋_GB2312"/>
                <w:color w:val="auto"/>
                <w:kern w:val="0"/>
                <w:szCs w:val="21"/>
              </w:rPr>
              <w:t>时效指标</w:t>
            </w:r>
          </w:p>
        </w:tc>
        <w:tc>
          <w:tcPr>
            <w:tcW w:w="1649" w:type="dxa"/>
            <w:tcBorders>
              <w:top w:val="single" w:color="auto" w:sz="4" w:space="0"/>
              <w:left w:val="nil"/>
              <w:bottom w:val="single" w:color="auto" w:sz="4" w:space="0"/>
              <w:right w:val="single" w:color="auto" w:sz="4" w:space="0"/>
            </w:tcBorders>
            <w:vAlign w:val="center"/>
          </w:tcPr>
          <w:p w14:paraId="76FBFFED">
            <w:pPr>
              <w:widowControl/>
              <w:spacing w:line="0" w:lineRule="atLeast"/>
              <w:jc w:val="left"/>
              <w:rPr>
                <w:rFonts w:eastAsia="仿宋_GB2312"/>
                <w:color w:val="auto"/>
                <w:kern w:val="0"/>
                <w:szCs w:val="21"/>
              </w:rPr>
            </w:pPr>
          </w:p>
        </w:tc>
        <w:tc>
          <w:tcPr>
            <w:tcW w:w="1266" w:type="dxa"/>
            <w:tcBorders>
              <w:top w:val="single" w:color="auto" w:sz="4" w:space="0"/>
              <w:left w:val="nil"/>
              <w:bottom w:val="single" w:color="auto" w:sz="4" w:space="0"/>
              <w:right w:val="single" w:color="auto" w:sz="4" w:space="0"/>
            </w:tcBorders>
            <w:vAlign w:val="center"/>
          </w:tcPr>
          <w:p w14:paraId="77ACC6ED">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42963E97">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6D918B7D">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384F79CC">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5E59A87F">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32FA32D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72DB0262">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6A63A53C">
            <w:pPr>
              <w:widowControl/>
              <w:spacing w:line="0" w:lineRule="atLeast"/>
              <w:jc w:val="left"/>
              <w:rPr>
                <w:rFonts w:eastAsia="仿宋_GB2312"/>
                <w:color w:val="auto"/>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6A4135C2">
            <w:pPr>
              <w:widowControl/>
              <w:spacing w:line="0" w:lineRule="atLeast"/>
              <w:jc w:val="left"/>
              <w:rPr>
                <w:rFonts w:eastAsia="仿宋_GB2312"/>
                <w:color w:val="auto"/>
                <w:kern w:val="0"/>
                <w:szCs w:val="21"/>
              </w:rPr>
            </w:pPr>
          </w:p>
        </w:tc>
        <w:tc>
          <w:tcPr>
            <w:tcW w:w="1649" w:type="dxa"/>
            <w:tcBorders>
              <w:top w:val="single" w:color="auto" w:sz="4" w:space="0"/>
              <w:left w:val="nil"/>
              <w:bottom w:val="single" w:color="auto" w:sz="4" w:space="0"/>
              <w:right w:val="single" w:color="auto" w:sz="4" w:space="0"/>
            </w:tcBorders>
            <w:vAlign w:val="center"/>
          </w:tcPr>
          <w:p w14:paraId="7AC79067">
            <w:pPr>
              <w:widowControl/>
              <w:spacing w:line="0" w:lineRule="atLeast"/>
              <w:jc w:val="left"/>
              <w:rPr>
                <w:rFonts w:eastAsia="仿宋_GB2312"/>
                <w:color w:val="auto"/>
                <w:kern w:val="0"/>
                <w:szCs w:val="21"/>
              </w:rPr>
            </w:pPr>
            <w:r>
              <w:rPr>
                <w:rFonts w:eastAsia="仿宋_GB2312"/>
                <w:color w:val="auto"/>
                <w:kern w:val="0"/>
                <w:szCs w:val="21"/>
              </w:rPr>
              <w:t>……</w:t>
            </w:r>
          </w:p>
        </w:tc>
        <w:tc>
          <w:tcPr>
            <w:tcW w:w="1266" w:type="dxa"/>
            <w:tcBorders>
              <w:top w:val="single" w:color="auto" w:sz="4" w:space="0"/>
              <w:left w:val="nil"/>
              <w:bottom w:val="single" w:color="auto" w:sz="4" w:space="0"/>
              <w:right w:val="single" w:color="auto" w:sz="4" w:space="0"/>
            </w:tcBorders>
            <w:vAlign w:val="center"/>
          </w:tcPr>
          <w:p w14:paraId="0FE52022">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45FEE5C1">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23FD9B98">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635C2487">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391E3DD0">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23F79970">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146509E8">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5A870FDC">
            <w:pPr>
              <w:widowControl/>
              <w:spacing w:line="0" w:lineRule="atLeast"/>
              <w:jc w:val="left"/>
              <w:rPr>
                <w:rFonts w:eastAsia="仿宋_GB2312"/>
                <w:color w:val="auto"/>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14:paraId="558BB970">
            <w:pPr>
              <w:widowControl/>
              <w:spacing w:line="0" w:lineRule="atLeast"/>
              <w:jc w:val="center"/>
              <w:rPr>
                <w:rFonts w:eastAsia="仿宋_GB2312"/>
                <w:color w:val="auto"/>
                <w:kern w:val="0"/>
                <w:szCs w:val="21"/>
              </w:rPr>
            </w:pPr>
            <w:r>
              <w:rPr>
                <w:rFonts w:hint="eastAsia" w:eastAsia="仿宋_GB2312"/>
                <w:color w:val="auto"/>
                <w:kern w:val="0"/>
                <w:szCs w:val="21"/>
              </w:rPr>
              <w:t>成本指标</w:t>
            </w:r>
          </w:p>
        </w:tc>
        <w:tc>
          <w:tcPr>
            <w:tcW w:w="1649" w:type="dxa"/>
            <w:tcBorders>
              <w:top w:val="single" w:color="auto" w:sz="4" w:space="0"/>
              <w:left w:val="nil"/>
              <w:bottom w:val="single" w:color="auto" w:sz="4" w:space="0"/>
              <w:right w:val="single" w:color="auto" w:sz="4" w:space="0"/>
            </w:tcBorders>
            <w:vAlign w:val="center"/>
          </w:tcPr>
          <w:p w14:paraId="7DC5DE82">
            <w:pPr>
              <w:widowControl/>
              <w:spacing w:line="0" w:lineRule="atLeast"/>
              <w:jc w:val="left"/>
              <w:rPr>
                <w:rFonts w:eastAsia="仿宋_GB2312"/>
                <w:color w:val="auto"/>
                <w:kern w:val="0"/>
                <w:szCs w:val="21"/>
              </w:rPr>
            </w:pPr>
          </w:p>
        </w:tc>
        <w:tc>
          <w:tcPr>
            <w:tcW w:w="1266" w:type="dxa"/>
            <w:tcBorders>
              <w:top w:val="single" w:color="auto" w:sz="4" w:space="0"/>
              <w:left w:val="nil"/>
              <w:bottom w:val="single" w:color="auto" w:sz="4" w:space="0"/>
              <w:right w:val="single" w:color="auto" w:sz="4" w:space="0"/>
            </w:tcBorders>
            <w:vAlign w:val="center"/>
          </w:tcPr>
          <w:p w14:paraId="11FEE374">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57E96E0C">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4EF426F7">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05A01560">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03D41F12">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703462D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52223F8E">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2EE01A60">
            <w:pPr>
              <w:widowControl/>
              <w:spacing w:line="0" w:lineRule="atLeast"/>
              <w:jc w:val="left"/>
              <w:rPr>
                <w:rFonts w:eastAsia="仿宋_GB2312"/>
                <w:color w:val="auto"/>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5FC565D3">
            <w:pPr>
              <w:widowControl/>
              <w:spacing w:line="0" w:lineRule="atLeast"/>
              <w:jc w:val="left"/>
              <w:rPr>
                <w:rFonts w:eastAsia="仿宋_GB2312"/>
                <w:color w:val="auto"/>
                <w:kern w:val="0"/>
                <w:szCs w:val="21"/>
              </w:rPr>
            </w:pPr>
          </w:p>
        </w:tc>
        <w:tc>
          <w:tcPr>
            <w:tcW w:w="1649" w:type="dxa"/>
            <w:tcBorders>
              <w:top w:val="single" w:color="auto" w:sz="4" w:space="0"/>
              <w:left w:val="nil"/>
              <w:bottom w:val="single" w:color="auto" w:sz="4" w:space="0"/>
              <w:right w:val="single" w:color="auto" w:sz="4" w:space="0"/>
            </w:tcBorders>
            <w:vAlign w:val="center"/>
          </w:tcPr>
          <w:p w14:paraId="7D130F7D">
            <w:pPr>
              <w:widowControl/>
              <w:spacing w:line="0" w:lineRule="atLeast"/>
              <w:jc w:val="left"/>
              <w:rPr>
                <w:rFonts w:eastAsia="仿宋_GB2312"/>
                <w:color w:val="auto"/>
                <w:kern w:val="0"/>
                <w:szCs w:val="21"/>
              </w:rPr>
            </w:pPr>
            <w:r>
              <w:rPr>
                <w:rFonts w:eastAsia="仿宋_GB2312"/>
                <w:color w:val="auto"/>
                <w:kern w:val="0"/>
                <w:szCs w:val="21"/>
              </w:rPr>
              <w:t>……</w:t>
            </w:r>
          </w:p>
        </w:tc>
        <w:tc>
          <w:tcPr>
            <w:tcW w:w="1266" w:type="dxa"/>
            <w:tcBorders>
              <w:top w:val="single" w:color="auto" w:sz="4" w:space="0"/>
              <w:left w:val="nil"/>
              <w:bottom w:val="single" w:color="auto" w:sz="4" w:space="0"/>
              <w:right w:val="single" w:color="auto" w:sz="4" w:space="0"/>
            </w:tcBorders>
            <w:vAlign w:val="center"/>
          </w:tcPr>
          <w:p w14:paraId="5EFBBF80">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3154A692">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49AA3B58">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5E16D7C0">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47EECD89">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1FFBF392">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12FC4D33">
            <w:pPr>
              <w:widowControl/>
              <w:spacing w:line="0" w:lineRule="atLeast"/>
              <w:jc w:val="left"/>
              <w:rPr>
                <w:rFonts w:eastAsia="仿宋_GB2312"/>
                <w:color w:val="auto"/>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14:paraId="4370F40B">
            <w:pPr>
              <w:widowControl/>
              <w:spacing w:line="0" w:lineRule="atLeast"/>
              <w:jc w:val="center"/>
              <w:rPr>
                <w:rFonts w:eastAsia="仿宋_GB2312"/>
                <w:color w:val="auto"/>
                <w:kern w:val="0"/>
                <w:szCs w:val="21"/>
              </w:rPr>
            </w:pPr>
            <w:r>
              <w:rPr>
                <w:rFonts w:hint="eastAsia" w:eastAsia="仿宋_GB2312"/>
                <w:color w:val="auto"/>
                <w:kern w:val="0"/>
                <w:szCs w:val="21"/>
              </w:rPr>
              <w:t>效益</w:t>
            </w:r>
          </w:p>
          <w:p w14:paraId="743B6E25">
            <w:pPr>
              <w:widowControl/>
              <w:spacing w:line="0" w:lineRule="atLeast"/>
              <w:jc w:val="center"/>
              <w:rPr>
                <w:rFonts w:eastAsia="仿宋_GB2312"/>
                <w:color w:val="auto"/>
                <w:kern w:val="0"/>
                <w:szCs w:val="21"/>
              </w:rPr>
            </w:pPr>
            <w:r>
              <w:rPr>
                <w:rFonts w:hint="eastAsia" w:eastAsia="仿宋_GB2312"/>
                <w:color w:val="auto"/>
                <w:kern w:val="0"/>
                <w:szCs w:val="21"/>
              </w:rPr>
              <w:t>指标</w:t>
            </w:r>
          </w:p>
          <w:p w14:paraId="1C6AC49C">
            <w:pPr>
              <w:widowControl/>
              <w:spacing w:line="0" w:lineRule="atLeast"/>
              <w:jc w:val="left"/>
              <w:rPr>
                <w:rFonts w:eastAsia="仿宋_GB2312"/>
                <w:color w:val="auto"/>
                <w:kern w:val="0"/>
                <w:szCs w:val="21"/>
              </w:rPr>
            </w:pPr>
            <w:r>
              <w:rPr>
                <w:rFonts w:hint="eastAsia" w:eastAsia="仿宋_GB2312"/>
                <w:color w:val="auto"/>
                <w:kern w:val="0"/>
                <w:szCs w:val="21"/>
              </w:rPr>
              <w:t>（</w:t>
            </w:r>
            <w:r>
              <w:rPr>
                <w:rFonts w:eastAsia="仿宋_GB2312"/>
                <w:color w:val="auto"/>
                <w:kern w:val="0"/>
                <w:szCs w:val="21"/>
              </w:rPr>
              <w:t>30</w:t>
            </w:r>
            <w:r>
              <w:rPr>
                <w:rFonts w:hint="eastAsia" w:eastAsia="仿宋_GB2312"/>
                <w:color w:val="auto"/>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14:paraId="6FF1276F">
            <w:pPr>
              <w:widowControl/>
              <w:spacing w:line="0" w:lineRule="atLeast"/>
              <w:jc w:val="center"/>
              <w:rPr>
                <w:rFonts w:eastAsia="仿宋_GB2312"/>
                <w:color w:val="auto"/>
                <w:kern w:val="0"/>
                <w:szCs w:val="21"/>
              </w:rPr>
            </w:pPr>
            <w:r>
              <w:rPr>
                <w:rFonts w:hint="eastAsia" w:eastAsia="仿宋_GB2312"/>
                <w:color w:val="auto"/>
                <w:kern w:val="0"/>
                <w:szCs w:val="21"/>
              </w:rPr>
              <w:t>经济效</w:t>
            </w:r>
          </w:p>
          <w:p w14:paraId="41D382A3">
            <w:pPr>
              <w:widowControl/>
              <w:spacing w:line="0" w:lineRule="atLeast"/>
              <w:jc w:val="center"/>
              <w:rPr>
                <w:rFonts w:eastAsia="仿宋_GB2312"/>
                <w:color w:val="auto"/>
                <w:kern w:val="0"/>
                <w:szCs w:val="21"/>
              </w:rPr>
            </w:pPr>
            <w:r>
              <w:rPr>
                <w:rFonts w:hint="eastAsia" w:eastAsia="仿宋_GB2312"/>
                <w:color w:val="auto"/>
                <w:kern w:val="0"/>
                <w:szCs w:val="21"/>
              </w:rPr>
              <w:t>益指标</w:t>
            </w:r>
          </w:p>
        </w:tc>
        <w:tc>
          <w:tcPr>
            <w:tcW w:w="1649" w:type="dxa"/>
            <w:tcBorders>
              <w:top w:val="single" w:color="auto" w:sz="4" w:space="0"/>
              <w:left w:val="nil"/>
              <w:bottom w:val="single" w:color="auto" w:sz="4" w:space="0"/>
              <w:right w:val="single" w:color="auto" w:sz="4" w:space="0"/>
            </w:tcBorders>
            <w:vAlign w:val="center"/>
          </w:tcPr>
          <w:p w14:paraId="2A063AB4">
            <w:pPr>
              <w:widowControl/>
              <w:spacing w:line="0" w:lineRule="atLeast"/>
              <w:jc w:val="left"/>
              <w:rPr>
                <w:rFonts w:eastAsia="仿宋_GB2312"/>
                <w:color w:val="auto"/>
                <w:kern w:val="0"/>
                <w:szCs w:val="21"/>
              </w:rPr>
            </w:pPr>
          </w:p>
        </w:tc>
        <w:tc>
          <w:tcPr>
            <w:tcW w:w="1266" w:type="dxa"/>
            <w:tcBorders>
              <w:top w:val="single" w:color="auto" w:sz="4" w:space="0"/>
              <w:left w:val="nil"/>
              <w:bottom w:val="single" w:color="auto" w:sz="4" w:space="0"/>
              <w:right w:val="single" w:color="auto" w:sz="4" w:space="0"/>
            </w:tcBorders>
            <w:vAlign w:val="center"/>
          </w:tcPr>
          <w:p w14:paraId="2F7574FF">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7FAC7845">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3289EBF8">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1F1F6BEA">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49597644">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6E3DEF51">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2A68204C">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19C2AEE1">
            <w:pPr>
              <w:widowControl/>
              <w:spacing w:line="0" w:lineRule="atLeast"/>
              <w:jc w:val="left"/>
              <w:rPr>
                <w:rFonts w:eastAsia="仿宋_GB2312"/>
                <w:color w:val="auto"/>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0EE7362E">
            <w:pPr>
              <w:widowControl/>
              <w:spacing w:line="0" w:lineRule="atLeast"/>
              <w:jc w:val="left"/>
              <w:rPr>
                <w:rFonts w:eastAsia="仿宋_GB2312"/>
                <w:color w:val="auto"/>
                <w:kern w:val="0"/>
                <w:szCs w:val="21"/>
              </w:rPr>
            </w:pPr>
          </w:p>
        </w:tc>
        <w:tc>
          <w:tcPr>
            <w:tcW w:w="1649" w:type="dxa"/>
            <w:tcBorders>
              <w:top w:val="single" w:color="auto" w:sz="4" w:space="0"/>
              <w:left w:val="nil"/>
              <w:bottom w:val="single" w:color="auto" w:sz="4" w:space="0"/>
              <w:right w:val="single" w:color="auto" w:sz="4" w:space="0"/>
            </w:tcBorders>
            <w:vAlign w:val="center"/>
          </w:tcPr>
          <w:p w14:paraId="330ACB2F">
            <w:pPr>
              <w:widowControl/>
              <w:spacing w:line="0" w:lineRule="atLeast"/>
              <w:jc w:val="left"/>
              <w:rPr>
                <w:rFonts w:eastAsia="仿宋_GB2312"/>
                <w:color w:val="auto"/>
                <w:kern w:val="0"/>
                <w:szCs w:val="21"/>
              </w:rPr>
            </w:pPr>
            <w:r>
              <w:rPr>
                <w:rFonts w:eastAsia="仿宋_GB2312"/>
                <w:color w:val="auto"/>
                <w:kern w:val="0"/>
                <w:szCs w:val="21"/>
              </w:rPr>
              <w:t>……</w:t>
            </w:r>
          </w:p>
        </w:tc>
        <w:tc>
          <w:tcPr>
            <w:tcW w:w="1266" w:type="dxa"/>
            <w:tcBorders>
              <w:top w:val="single" w:color="auto" w:sz="4" w:space="0"/>
              <w:left w:val="nil"/>
              <w:bottom w:val="single" w:color="auto" w:sz="4" w:space="0"/>
              <w:right w:val="single" w:color="auto" w:sz="4" w:space="0"/>
            </w:tcBorders>
            <w:vAlign w:val="center"/>
          </w:tcPr>
          <w:p w14:paraId="633FCE45">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087946CC">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2AE00F0A">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23792AB8">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18D4C90E">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21948351">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0A53D2B2">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5B67730E">
            <w:pPr>
              <w:widowControl/>
              <w:spacing w:line="0" w:lineRule="atLeast"/>
              <w:jc w:val="left"/>
              <w:rPr>
                <w:rFonts w:eastAsia="仿宋_GB2312"/>
                <w:color w:val="auto"/>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14:paraId="3D916D1E">
            <w:pPr>
              <w:widowControl/>
              <w:spacing w:line="0" w:lineRule="atLeast"/>
              <w:jc w:val="center"/>
              <w:rPr>
                <w:rFonts w:eastAsia="仿宋_GB2312"/>
                <w:color w:val="auto"/>
                <w:kern w:val="0"/>
                <w:szCs w:val="21"/>
              </w:rPr>
            </w:pPr>
            <w:r>
              <w:rPr>
                <w:rFonts w:hint="eastAsia" w:eastAsia="仿宋_GB2312"/>
                <w:color w:val="auto"/>
                <w:kern w:val="0"/>
                <w:szCs w:val="21"/>
              </w:rPr>
              <w:t>社会效</w:t>
            </w:r>
          </w:p>
          <w:p w14:paraId="38A84D1F">
            <w:pPr>
              <w:widowControl/>
              <w:spacing w:line="0" w:lineRule="atLeast"/>
              <w:jc w:val="center"/>
              <w:rPr>
                <w:rFonts w:eastAsia="仿宋_GB2312"/>
                <w:color w:val="auto"/>
                <w:kern w:val="0"/>
                <w:szCs w:val="21"/>
              </w:rPr>
            </w:pPr>
            <w:r>
              <w:rPr>
                <w:rFonts w:hint="eastAsia" w:eastAsia="仿宋_GB2312"/>
                <w:color w:val="auto"/>
                <w:kern w:val="0"/>
                <w:szCs w:val="21"/>
              </w:rPr>
              <w:t>益指标</w:t>
            </w:r>
          </w:p>
        </w:tc>
        <w:tc>
          <w:tcPr>
            <w:tcW w:w="1649" w:type="dxa"/>
            <w:tcBorders>
              <w:top w:val="single" w:color="auto" w:sz="4" w:space="0"/>
              <w:left w:val="nil"/>
              <w:bottom w:val="single" w:color="auto" w:sz="4" w:space="0"/>
              <w:right w:val="single" w:color="auto" w:sz="4" w:space="0"/>
            </w:tcBorders>
            <w:vAlign w:val="center"/>
          </w:tcPr>
          <w:p w14:paraId="4EF8A9F8">
            <w:pPr>
              <w:widowControl/>
              <w:spacing w:line="0" w:lineRule="atLeast"/>
              <w:jc w:val="left"/>
              <w:rPr>
                <w:rFonts w:eastAsia="仿宋_GB2312"/>
                <w:color w:val="auto"/>
                <w:kern w:val="0"/>
                <w:szCs w:val="21"/>
              </w:rPr>
            </w:pPr>
          </w:p>
        </w:tc>
        <w:tc>
          <w:tcPr>
            <w:tcW w:w="1266" w:type="dxa"/>
            <w:tcBorders>
              <w:top w:val="single" w:color="auto" w:sz="4" w:space="0"/>
              <w:left w:val="nil"/>
              <w:bottom w:val="single" w:color="auto" w:sz="4" w:space="0"/>
              <w:right w:val="single" w:color="auto" w:sz="4" w:space="0"/>
            </w:tcBorders>
            <w:vAlign w:val="center"/>
          </w:tcPr>
          <w:p w14:paraId="4386A42C">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2EEAC090">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53F8CCCC">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56577F67">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6FC552EB">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4B9EEA17">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03162981">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5F48DB95">
            <w:pPr>
              <w:widowControl/>
              <w:spacing w:line="0" w:lineRule="atLeast"/>
              <w:jc w:val="left"/>
              <w:rPr>
                <w:rFonts w:eastAsia="仿宋_GB2312"/>
                <w:color w:val="auto"/>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18C38D2A">
            <w:pPr>
              <w:widowControl/>
              <w:spacing w:line="0" w:lineRule="atLeast"/>
              <w:jc w:val="left"/>
              <w:rPr>
                <w:rFonts w:eastAsia="仿宋_GB2312"/>
                <w:color w:val="auto"/>
                <w:kern w:val="0"/>
                <w:szCs w:val="21"/>
              </w:rPr>
            </w:pPr>
          </w:p>
        </w:tc>
        <w:tc>
          <w:tcPr>
            <w:tcW w:w="1649" w:type="dxa"/>
            <w:tcBorders>
              <w:top w:val="single" w:color="auto" w:sz="4" w:space="0"/>
              <w:left w:val="nil"/>
              <w:bottom w:val="single" w:color="auto" w:sz="4" w:space="0"/>
              <w:right w:val="single" w:color="auto" w:sz="4" w:space="0"/>
            </w:tcBorders>
            <w:vAlign w:val="center"/>
          </w:tcPr>
          <w:p w14:paraId="1D14DD9B">
            <w:pPr>
              <w:widowControl/>
              <w:spacing w:line="0" w:lineRule="atLeast"/>
              <w:jc w:val="left"/>
              <w:rPr>
                <w:rFonts w:eastAsia="仿宋_GB2312"/>
                <w:color w:val="auto"/>
                <w:kern w:val="0"/>
                <w:szCs w:val="21"/>
              </w:rPr>
            </w:pPr>
            <w:r>
              <w:rPr>
                <w:rFonts w:eastAsia="仿宋_GB2312"/>
                <w:color w:val="auto"/>
                <w:kern w:val="0"/>
                <w:szCs w:val="21"/>
              </w:rPr>
              <w:t>……</w:t>
            </w:r>
          </w:p>
        </w:tc>
        <w:tc>
          <w:tcPr>
            <w:tcW w:w="1266" w:type="dxa"/>
            <w:tcBorders>
              <w:top w:val="single" w:color="auto" w:sz="4" w:space="0"/>
              <w:left w:val="nil"/>
              <w:bottom w:val="single" w:color="auto" w:sz="4" w:space="0"/>
              <w:right w:val="single" w:color="auto" w:sz="4" w:space="0"/>
            </w:tcBorders>
            <w:vAlign w:val="center"/>
          </w:tcPr>
          <w:p w14:paraId="786D5E33">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79CE25BA">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nil"/>
              <w:bottom w:val="single" w:color="auto" w:sz="4" w:space="0"/>
              <w:right w:val="single" w:color="auto" w:sz="4" w:space="0"/>
            </w:tcBorders>
            <w:vAlign w:val="center"/>
          </w:tcPr>
          <w:p w14:paraId="501C569F">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42550F03">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3D7ACDCA">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67BBBB1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77740F43">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7C5104A1">
            <w:pPr>
              <w:widowControl/>
              <w:spacing w:line="0" w:lineRule="atLeast"/>
              <w:jc w:val="left"/>
              <w:rPr>
                <w:rFonts w:eastAsia="仿宋_GB2312"/>
                <w:color w:val="auto"/>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14:paraId="42429353">
            <w:pPr>
              <w:widowControl/>
              <w:spacing w:line="0" w:lineRule="atLeast"/>
              <w:jc w:val="center"/>
              <w:rPr>
                <w:rFonts w:eastAsia="仿宋_GB2312"/>
                <w:color w:val="auto"/>
                <w:kern w:val="0"/>
                <w:szCs w:val="21"/>
              </w:rPr>
            </w:pPr>
            <w:r>
              <w:rPr>
                <w:rFonts w:hint="eastAsia" w:eastAsia="仿宋_GB2312"/>
                <w:color w:val="auto"/>
                <w:kern w:val="0"/>
                <w:szCs w:val="21"/>
              </w:rPr>
              <w:t>生态效</w:t>
            </w:r>
          </w:p>
          <w:p w14:paraId="649E774F">
            <w:pPr>
              <w:widowControl/>
              <w:spacing w:line="0" w:lineRule="atLeast"/>
              <w:jc w:val="center"/>
              <w:rPr>
                <w:rFonts w:eastAsia="仿宋_GB2312"/>
                <w:color w:val="auto"/>
                <w:kern w:val="0"/>
                <w:szCs w:val="21"/>
              </w:rPr>
            </w:pPr>
            <w:r>
              <w:rPr>
                <w:rFonts w:hint="eastAsia" w:eastAsia="仿宋_GB2312"/>
                <w:color w:val="auto"/>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14:paraId="16AF1409">
            <w:pPr>
              <w:widowControl/>
              <w:spacing w:line="0" w:lineRule="atLeast"/>
              <w:jc w:val="left"/>
              <w:rPr>
                <w:rFonts w:eastAsia="仿宋_GB2312"/>
                <w:color w:val="auto"/>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14:paraId="102D4974">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14:paraId="5E512254">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14:paraId="4D16F626">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nil"/>
              <w:bottom w:val="single" w:color="auto" w:sz="4" w:space="0"/>
              <w:right w:val="single" w:color="auto" w:sz="4" w:space="0"/>
            </w:tcBorders>
            <w:vAlign w:val="center"/>
          </w:tcPr>
          <w:p w14:paraId="7CAA6DBB">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3F66DA44">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29C3CF7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6110EB5D">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6DE2A085">
            <w:pPr>
              <w:widowControl/>
              <w:spacing w:line="0" w:lineRule="atLeast"/>
              <w:jc w:val="left"/>
              <w:rPr>
                <w:rFonts w:eastAsia="仿宋_GB2312"/>
                <w:color w:val="auto"/>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14:paraId="419DEC5F">
            <w:pPr>
              <w:widowControl/>
              <w:spacing w:line="0" w:lineRule="atLeast"/>
              <w:jc w:val="left"/>
              <w:rPr>
                <w:rFonts w:eastAsia="仿宋_GB2312"/>
                <w:color w:val="auto"/>
                <w:kern w:val="0"/>
                <w:szCs w:val="21"/>
              </w:rPr>
            </w:pPr>
          </w:p>
        </w:tc>
        <w:tc>
          <w:tcPr>
            <w:tcW w:w="1649" w:type="dxa"/>
            <w:tcBorders>
              <w:top w:val="single" w:color="auto" w:sz="4" w:space="0"/>
              <w:left w:val="nil"/>
              <w:bottom w:val="single" w:color="auto" w:sz="4" w:space="0"/>
              <w:right w:val="single" w:color="auto" w:sz="4" w:space="0"/>
            </w:tcBorders>
            <w:vAlign w:val="center"/>
          </w:tcPr>
          <w:p w14:paraId="7E727459">
            <w:pPr>
              <w:widowControl/>
              <w:spacing w:line="0" w:lineRule="atLeast"/>
              <w:jc w:val="left"/>
              <w:rPr>
                <w:rFonts w:eastAsia="仿宋_GB2312"/>
                <w:color w:val="auto"/>
                <w:kern w:val="0"/>
                <w:szCs w:val="21"/>
              </w:rPr>
            </w:pPr>
            <w:r>
              <w:rPr>
                <w:rFonts w:eastAsia="仿宋_GB2312"/>
                <w:color w:val="auto"/>
                <w:kern w:val="0"/>
                <w:szCs w:val="21"/>
              </w:rPr>
              <w:t>……</w:t>
            </w:r>
          </w:p>
        </w:tc>
        <w:tc>
          <w:tcPr>
            <w:tcW w:w="1266" w:type="dxa"/>
            <w:tcBorders>
              <w:top w:val="single" w:color="auto" w:sz="4" w:space="0"/>
              <w:left w:val="nil"/>
              <w:bottom w:val="single" w:color="auto" w:sz="4" w:space="0"/>
              <w:right w:val="single" w:color="auto" w:sz="4" w:space="0"/>
            </w:tcBorders>
            <w:vAlign w:val="center"/>
          </w:tcPr>
          <w:p w14:paraId="24194F05">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nil"/>
              <w:bottom w:val="single" w:color="auto" w:sz="4" w:space="0"/>
              <w:right w:val="single" w:color="auto" w:sz="4" w:space="0"/>
            </w:tcBorders>
            <w:vAlign w:val="center"/>
          </w:tcPr>
          <w:p w14:paraId="400256B2">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nil"/>
              <w:left w:val="nil"/>
              <w:bottom w:val="single" w:color="auto" w:sz="4" w:space="0"/>
              <w:right w:val="single" w:color="auto" w:sz="4" w:space="0"/>
            </w:tcBorders>
            <w:vAlign w:val="center"/>
          </w:tcPr>
          <w:p w14:paraId="681F0E3A">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nil"/>
              <w:left w:val="nil"/>
              <w:bottom w:val="single" w:color="auto" w:sz="4" w:space="0"/>
              <w:right w:val="single" w:color="auto" w:sz="4" w:space="0"/>
            </w:tcBorders>
            <w:vAlign w:val="center"/>
          </w:tcPr>
          <w:p w14:paraId="5DD688EB">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nil"/>
              <w:left w:val="nil"/>
              <w:bottom w:val="single" w:color="auto" w:sz="4" w:space="0"/>
              <w:right w:val="single" w:color="auto" w:sz="4" w:space="0"/>
            </w:tcBorders>
            <w:vAlign w:val="center"/>
          </w:tcPr>
          <w:p w14:paraId="2F9CF5BE">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453058B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20C9BBA1">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23492F6C">
            <w:pPr>
              <w:widowControl/>
              <w:spacing w:line="0" w:lineRule="atLeast"/>
              <w:jc w:val="left"/>
              <w:rPr>
                <w:rFonts w:eastAsia="仿宋_GB2312"/>
                <w:color w:val="auto"/>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14:paraId="2D805868">
            <w:pPr>
              <w:widowControl/>
              <w:spacing w:line="0" w:lineRule="atLeast"/>
              <w:jc w:val="center"/>
              <w:rPr>
                <w:rFonts w:eastAsia="仿宋_GB2312"/>
                <w:color w:val="auto"/>
                <w:kern w:val="0"/>
                <w:szCs w:val="21"/>
              </w:rPr>
            </w:pPr>
            <w:r>
              <w:rPr>
                <w:rFonts w:hint="eastAsia" w:eastAsia="仿宋_GB2312"/>
                <w:color w:val="auto"/>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14:paraId="01DD10AF">
            <w:pPr>
              <w:widowControl/>
              <w:spacing w:line="0" w:lineRule="atLeast"/>
              <w:jc w:val="left"/>
              <w:rPr>
                <w:rFonts w:eastAsia="仿宋_GB2312"/>
                <w:color w:val="auto"/>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14:paraId="01D2D0ED">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14:paraId="599B59AA">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14:paraId="15F762EF">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14:paraId="742B1961">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A6130C3">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6476F7A6">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0B833238">
            <w:pPr>
              <w:widowControl/>
              <w:spacing w:line="0" w:lineRule="atLeast"/>
              <w:jc w:val="left"/>
              <w:rPr>
                <w:rFonts w:eastAsia="仿宋_GB2312"/>
                <w:color w:val="auto"/>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480C0760">
            <w:pPr>
              <w:widowControl/>
              <w:spacing w:line="0" w:lineRule="atLeast"/>
              <w:jc w:val="left"/>
              <w:rPr>
                <w:rFonts w:eastAsia="仿宋_GB2312"/>
                <w:color w:val="auto"/>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14:paraId="14BA88AA">
            <w:pPr>
              <w:widowControl/>
              <w:spacing w:line="0" w:lineRule="atLeast"/>
              <w:jc w:val="left"/>
              <w:rPr>
                <w:rFonts w:eastAsia="仿宋_GB2312"/>
                <w:color w:val="auto"/>
                <w:kern w:val="0"/>
                <w:szCs w:val="21"/>
              </w:rPr>
            </w:pPr>
          </w:p>
        </w:tc>
        <w:tc>
          <w:tcPr>
            <w:tcW w:w="1649" w:type="dxa"/>
            <w:tcBorders>
              <w:top w:val="nil"/>
              <w:left w:val="nil"/>
              <w:bottom w:val="single" w:color="auto" w:sz="4" w:space="0"/>
              <w:right w:val="single" w:color="auto" w:sz="4" w:space="0"/>
            </w:tcBorders>
            <w:vAlign w:val="center"/>
          </w:tcPr>
          <w:p w14:paraId="7A21D566">
            <w:pPr>
              <w:widowControl/>
              <w:spacing w:line="0" w:lineRule="atLeast"/>
              <w:jc w:val="left"/>
              <w:rPr>
                <w:rFonts w:eastAsia="仿宋_GB2312"/>
                <w:color w:val="auto"/>
                <w:kern w:val="0"/>
                <w:szCs w:val="21"/>
              </w:rPr>
            </w:pPr>
            <w:r>
              <w:rPr>
                <w:rFonts w:eastAsia="仿宋_GB2312"/>
                <w:color w:val="auto"/>
                <w:kern w:val="0"/>
                <w:szCs w:val="21"/>
              </w:rPr>
              <w:t>……</w:t>
            </w:r>
          </w:p>
        </w:tc>
        <w:tc>
          <w:tcPr>
            <w:tcW w:w="1266" w:type="dxa"/>
            <w:tcBorders>
              <w:top w:val="nil"/>
              <w:left w:val="nil"/>
              <w:bottom w:val="single" w:color="auto" w:sz="4" w:space="0"/>
              <w:right w:val="single" w:color="auto" w:sz="4" w:space="0"/>
            </w:tcBorders>
            <w:vAlign w:val="center"/>
          </w:tcPr>
          <w:p w14:paraId="4CEC6A1D">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nil"/>
              <w:left w:val="nil"/>
              <w:bottom w:val="single" w:color="auto" w:sz="4" w:space="0"/>
              <w:right w:val="single" w:color="auto" w:sz="4" w:space="0"/>
            </w:tcBorders>
            <w:vAlign w:val="center"/>
          </w:tcPr>
          <w:p w14:paraId="1089305D">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nil"/>
              <w:left w:val="nil"/>
              <w:bottom w:val="single" w:color="auto" w:sz="4" w:space="0"/>
              <w:right w:val="single" w:color="auto" w:sz="4" w:space="0"/>
            </w:tcBorders>
            <w:vAlign w:val="center"/>
          </w:tcPr>
          <w:p w14:paraId="3CDDF6B1">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nil"/>
              <w:left w:val="nil"/>
              <w:bottom w:val="single" w:color="auto" w:sz="4" w:space="0"/>
              <w:right w:val="single" w:color="auto" w:sz="4" w:space="0"/>
            </w:tcBorders>
            <w:vAlign w:val="center"/>
          </w:tcPr>
          <w:p w14:paraId="5599FDA7">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nil"/>
              <w:left w:val="nil"/>
              <w:bottom w:val="single" w:color="auto" w:sz="4" w:space="0"/>
              <w:right w:val="single" w:color="auto" w:sz="4" w:space="0"/>
            </w:tcBorders>
            <w:vAlign w:val="center"/>
          </w:tcPr>
          <w:p w14:paraId="04CA679C">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302E26A0">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00B1C902">
            <w:pPr>
              <w:widowControl/>
              <w:spacing w:line="0" w:lineRule="atLeast"/>
              <w:jc w:val="left"/>
              <w:rPr>
                <w:rFonts w:eastAsia="仿宋_GB2312"/>
                <w:color w:val="auto"/>
                <w:kern w:val="0"/>
                <w:szCs w:val="21"/>
              </w:rPr>
            </w:pPr>
          </w:p>
        </w:tc>
        <w:tc>
          <w:tcPr>
            <w:tcW w:w="780" w:type="dxa"/>
            <w:vMerge w:val="restart"/>
            <w:tcBorders>
              <w:top w:val="nil"/>
              <w:left w:val="nil"/>
              <w:bottom w:val="single" w:color="auto" w:sz="4" w:space="0"/>
              <w:right w:val="single" w:color="auto" w:sz="4" w:space="0"/>
            </w:tcBorders>
            <w:vAlign w:val="center"/>
          </w:tcPr>
          <w:p w14:paraId="1088B6A0">
            <w:pPr>
              <w:widowControl/>
              <w:spacing w:line="0" w:lineRule="atLeast"/>
              <w:ind w:leftChars="-66" w:right="-94" w:rightChars="-45" w:hanging="138" w:hangingChars="66"/>
              <w:jc w:val="center"/>
              <w:rPr>
                <w:rFonts w:eastAsia="仿宋_GB2312"/>
                <w:color w:val="auto"/>
                <w:kern w:val="0"/>
                <w:szCs w:val="21"/>
              </w:rPr>
            </w:pPr>
            <w:r>
              <w:rPr>
                <w:rFonts w:hint="eastAsia" w:eastAsia="仿宋_GB2312"/>
                <w:color w:val="auto"/>
                <w:kern w:val="0"/>
                <w:szCs w:val="21"/>
              </w:rPr>
              <w:t>满意度指标</w:t>
            </w:r>
          </w:p>
          <w:p w14:paraId="66B5C75D">
            <w:pPr>
              <w:widowControl/>
              <w:spacing w:line="0" w:lineRule="atLeast"/>
              <w:ind w:leftChars="-66" w:right="-94" w:rightChars="-45" w:hanging="138" w:hangingChars="66"/>
              <w:jc w:val="center"/>
              <w:rPr>
                <w:rFonts w:eastAsia="仿宋_GB2312"/>
                <w:color w:val="auto"/>
                <w:kern w:val="0"/>
                <w:szCs w:val="21"/>
              </w:rPr>
            </w:pPr>
            <w:r>
              <w:rPr>
                <w:rFonts w:hint="eastAsia" w:eastAsia="仿宋_GB2312"/>
                <w:color w:val="auto"/>
                <w:kern w:val="0"/>
                <w:szCs w:val="21"/>
              </w:rPr>
              <w:t>（</w:t>
            </w:r>
            <w:r>
              <w:rPr>
                <w:rFonts w:eastAsia="仿宋_GB2312"/>
                <w:color w:val="auto"/>
                <w:kern w:val="0"/>
                <w:szCs w:val="21"/>
              </w:rPr>
              <w:t>10</w:t>
            </w:r>
            <w:r>
              <w:rPr>
                <w:rFonts w:hint="eastAsia" w:eastAsia="仿宋_GB2312"/>
                <w:color w:val="auto"/>
                <w:kern w:val="0"/>
                <w:szCs w:val="21"/>
              </w:rPr>
              <w:t>分）</w:t>
            </w:r>
          </w:p>
        </w:tc>
        <w:tc>
          <w:tcPr>
            <w:tcW w:w="1169" w:type="dxa"/>
            <w:vMerge w:val="restart"/>
            <w:tcBorders>
              <w:top w:val="nil"/>
              <w:left w:val="nil"/>
              <w:bottom w:val="single" w:color="auto" w:sz="4" w:space="0"/>
              <w:right w:val="single" w:color="auto" w:sz="4" w:space="0"/>
            </w:tcBorders>
            <w:vAlign w:val="center"/>
          </w:tcPr>
          <w:p w14:paraId="551CBBCD">
            <w:pPr>
              <w:widowControl/>
              <w:spacing w:line="0" w:lineRule="atLeast"/>
              <w:jc w:val="center"/>
              <w:rPr>
                <w:rFonts w:eastAsia="仿宋_GB2312"/>
                <w:color w:val="auto"/>
                <w:kern w:val="0"/>
                <w:szCs w:val="21"/>
              </w:rPr>
            </w:pPr>
            <w:r>
              <w:rPr>
                <w:rFonts w:hint="eastAsia" w:eastAsia="仿宋_GB2312"/>
                <w:color w:val="auto"/>
                <w:kern w:val="0"/>
                <w:szCs w:val="21"/>
              </w:rPr>
              <w:t>服务对象满意度指标</w:t>
            </w:r>
          </w:p>
        </w:tc>
        <w:tc>
          <w:tcPr>
            <w:tcW w:w="1649" w:type="dxa"/>
            <w:tcBorders>
              <w:top w:val="nil"/>
              <w:left w:val="nil"/>
              <w:bottom w:val="single" w:color="auto" w:sz="4" w:space="0"/>
              <w:right w:val="single" w:color="auto" w:sz="4" w:space="0"/>
            </w:tcBorders>
            <w:vAlign w:val="center"/>
          </w:tcPr>
          <w:p w14:paraId="0D25894E">
            <w:pPr>
              <w:widowControl/>
              <w:spacing w:line="0" w:lineRule="atLeast"/>
              <w:jc w:val="left"/>
              <w:rPr>
                <w:rFonts w:eastAsia="仿宋_GB2312"/>
                <w:color w:val="auto"/>
                <w:kern w:val="0"/>
                <w:szCs w:val="21"/>
              </w:rPr>
            </w:pPr>
          </w:p>
        </w:tc>
        <w:tc>
          <w:tcPr>
            <w:tcW w:w="1266" w:type="dxa"/>
            <w:tcBorders>
              <w:top w:val="nil"/>
              <w:left w:val="nil"/>
              <w:bottom w:val="single" w:color="auto" w:sz="4" w:space="0"/>
              <w:right w:val="single" w:color="auto" w:sz="4" w:space="0"/>
            </w:tcBorders>
            <w:vAlign w:val="center"/>
          </w:tcPr>
          <w:p w14:paraId="42C98ED8">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nil"/>
              <w:left w:val="nil"/>
              <w:bottom w:val="single" w:color="auto" w:sz="4" w:space="0"/>
              <w:right w:val="single" w:color="auto" w:sz="4" w:space="0"/>
            </w:tcBorders>
            <w:vAlign w:val="center"/>
          </w:tcPr>
          <w:p w14:paraId="70194EDA">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nil"/>
              <w:left w:val="nil"/>
              <w:bottom w:val="single" w:color="auto" w:sz="4" w:space="0"/>
              <w:right w:val="single" w:color="auto" w:sz="4" w:space="0"/>
            </w:tcBorders>
            <w:vAlign w:val="center"/>
          </w:tcPr>
          <w:p w14:paraId="2155654D">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nil"/>
              <w:left w:val="nil"/>
              <w:bottom w:val="single" w:color="auto" w:sz="4" w:space="0"/>
              <w:right w:val="single" w:color="auto" w:sz="4" w:space="0"/>
            </w:tcBorders>
            <w:vAlign w:val="center"/>
          </w:tcPr>
          <w:p w14:paraId="35DB684F">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nil"/>
              <w:left w:val="nil"/>
              <w:bottom w:val="single" w:color="auto" w:sz="4" w:space="0"/>
              <w:right w:val="single" w:color="auto" w:sz="4" w:space="0"/>
            </w:tcBorders>
            <w:vAlign w:val="center"/>
          </w:tcPr>
          <w:p w14:paraId="3C805AF1">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0E8A02EE">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740E8613">
            <w:pPr>
              <w:widowControl/>
              <w:spacing w:line="0" w:lineRule="atLeast"/>
              <w:jc w:val="left"/>
              <w:rPr>
                <w:rFonts w:eastAsia="仿宋_GB2312"/>
                <w:color w:val="auto"/>
                <w:kern w:val="0"/>
                <w:szCs w:val="21"/>
              </w:rPr>
            </w:pPr>
          </w:p>
        </w:tc>
        <w:tc>
          <w:tcPr>
            <w:tcW w:w="780" w:type="dxa"/>
            <w:vMerge w:val="continue"/>
            <w:tcBorders>
              <w:top w:val="nil"/>
              <w:left w:val="nil"/>
              <w:bottom w:val="single" w:color="auto" w:sz="4" w:space="0"/>
              <w:right w:val="single" w:color="auto" w:sz="4" w:space="0"/>
            </w:tcBorders>
            <w:vAlign w:val="center"/>
          </w:tcPr>
          <w:p w14:paraId="52358F57">
            <w:pPr>
              <w:widowControl/>
              <w:spacing w:line="0" w:lineRule="atLeast"/>
              <w:jc w:val="left"/>
              <w:rPr>
                <w:rFonts w:eastAsia="仿宋_GB2312"/>
                <w:color w:val="auto"/>
                <w:kern w:val="0"/>
                <w:szCs w:val="21"/>
              </w:rPr>
            </w:pPr>
          </w:p>
        </w:tc>
        <w:tc>
          <w:tcPr>
            <w:tcW w:w="1169" w:type="dxa"/>
            <w:vMerge w:val="continue"/>
            <w:tcBorders>
              <w:top w:val="nil"/>
              <w:left w:val="nil"/>
              <w:bottom w:val="single" w:color="auto" w:sz="4" w:space="0"/>
              <w:right w:val="single" w:color="auto" w:sz="4" w:space="0"/>
            </w:tcBorders>
            <w:vAlign w:val="center"/>
          </w:tcPr>
          <w:p w14:paraId="5EBB67E2">
            <w:pPr>
              <w:widowControl/>
              <w:spacing w:line="0" w:lineRule="atLeast"/>
              <w:jc w:val="left"/>
              <w:rPr>
                <w:rFonts w:eastAsia="仿宋_GB2312"/>
                <w:color w:val="auto"/>
                <w:kern w:val="0"/>
                <w:szCs w:val="21"/>
              </w:rPr>
            </w:pPr>
          </w:p>
        </w:tc>
        <w:tc>
          <w:tcPr>
            <w:tcW w:w="1649" w:type="dxa"/>
            <w:tcBorders>
              <w:top w:val="nil"/>
              <w:left w:val="nil"/>
              <w:bottom w:val="single" w:color="auto" w:sz="4" w:space="0"/>
              <w:right w:val="single" w:color="auto" w:sz="4" w:space="0"/>
            </w:tcBorders>
            <w:vAlign w:val="center"/>
          </w:tcPr>
          <w:p w14:paraId="4742DE48">
            <w:pPr>
              <w:widowControl/>
              <w:spacing w:line="0" w:lineRule="atLeast"/>
              <w:jc w:val="left"/>
              <w:rPr>
                <w:rFonts w:eastAsia="仿宋_GB2312"/>
                <w:color w:val="auto"/>
                <w:kern w:val="0"/>
                <w:szCs w:val="21"/>
              </w:rPr>
            </w:pPr>
            <w:r>
              <w:rPr>
                <w:rFonts w:eastAsia="仿宋_GB2312"/>
                <w:color w:val="auto"/>
                <w:kern w:val="0"/>
                <w:szCs w:val="21"/>
              </w:rPr>
              <w:t>……</w:t>
            </w:r>
          </w:p>
        </w:tc>
        <w:tc>
          <w:tcPr>
            <w:tcW w:w="1266" w:type="dxa"/>
            <w:tcBorders>
              <w:top w:val="nil"/>
              <w:left w:val="nil"/>
              <w:bottom w:val="single" w:color="auto" w:sz="4" w:space="0"/>
              <w:right w:val="single" w:color="auto" w:sz="4" w:space="0"/>
            </w:tcBorders>
            <w:vAlign w:val="center"/>
          </w:tcPr>
          <w:p w14:paraId="16D25630">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047" w:type="dxa"/>
            <w:tcBorders>
              <w:top w:val="nil"/>
              <w:left w:val="nil"/>
              <w:bottom w:val="single" w:color="auto" w:sz="4" w:space="0"/>
              <w:right w:val="single" w:color="auto" w:sz="4" w:space="0"/>
            </w:tcBorders>
            <w:vAlign w:val="center"/>
          </w:tcPr>
          <w:p w14:paraId="4ECCCEB3">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6" w:type="dxa"/>
            <w:tcBorders>
              <w:top w:val="nil"/>
              <w:left w:val="nil"/>
              <w:bottom w:val="single" w:color="auto" w:sz="4" w:space="0"/>
              <w:right w:val="single" w:color="auto" w:sz="4" w:space="0"/>
            </w:tcBorders>
            <w:vAlign w:val="center"/>
          </w:tcPr>
          <w:p w14:paraId="654DDF3E">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400" w:type="dxa"/>
            <w:tcBorders>
              <w:top w:val="nil"/>
              <w:left w:val="nil"/>
              <w:bottom w:val="single" w:color="auto" w:sz="4" w:space="0"/>
              <w:right w:val="single" w:color="auto" w:sz="4" w:space="0"/>
            </w:tcBorders>
            <w:vAlign w:val="center"/>
          </w:tcPr>
          <w:p w14:paraId="5AA1BA14">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nil"/>
              <w:left w:val="nil"/>
              <w:bottom w:val="single" w:color="auto" w:sz="4" w:space="0"/>
              <w:right w:val="single" w:color="auto" w:sz="4" w:space="0"/>
            </w:tcBorders>
            <w:vAlign w:val="center"/>
          </w:tcPr>
          <w:p w14:paraId="5A844659">
            <w:pPr>
              <w:widowControl/>
              <w:spacing w:line="0" w:lineRule="atLeast"/>
              <w:jc w:val="left"/>
              <w:rPr>
                <w:rFonts w:eastAsia="仿宋_GB2312"/>
                <w:color w:val="auto"/>
                <w:kern w:val="0"/>
                <w:szCs w:val="21"/>
              </w:rPr>
            </w:pPr>
            <w:r>
              <w:rPr>
                <w:rFonts w:hint="eastAsia" w:eastAsia="仿宋_GB2312"/>
                <w:color w:val="auto"/>
                <w:kern w:val="0"/>
                <w:szCs w:val="21"/>
              </w:rPr>
              <w:t>　</w:t>
            </w:r>
          </w:p>
        </w:tc>
      </w:tr>
      <w:tr w14:paraId="67CA4627">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14:paraId="6BD7DB95">
            <w:pPr>
              <w:widowControl/>
              <w:spacing w:line="0" w:lineRule="atLeast"/>
              <w:jc w:val="center"/>
              <w:rPr>
                <w:rFonts w:eastAsia="仿宋_GB2312"/>
                <w:color w:val="auto"/>
                <w:kern w:val="0"/>
                <w:szCs w:val="21"/>
              </w:rPr>
            </w:pPr>
            <w:r>
              <w:rPr>
                <w:rFonts w:hint="eastAsia" w:eastAsia="仿宋_GB2312"/>
                <w:color w:val="auto"/>
                <w:kern w:val="0"/>
                <w:szCs w:val="21"/>
              </w:rPr>
              <w:t>总分</w:t>
            </w:r>
          </w:p>
        </w:tc>
        <w:tc>
          <w:tcPr>
            <w:tcW w:w="536" w:type="dxa"/>
            <w:tcBorders>
              <w:top w:val="nil"/>
              <w:left w:val="nil"/>
              <w:bottom w:val="single" w:color="auto" w:sz="4" w:space="0"/>
              <w:right w:val="single" w:color="auto" w:sz="4" w:space="0"/>
            </w:tcBorders>
            <w:vAlign w:val="center"/>
          </w:tcPr>
          <w:p w14:paraId="36775CB5">
            <w:pPr>
              <w:widowControl/>
              <w:spacing w:line="0" w:lineRule="atLeast"/>
              <w:jc w:val="center"/>
              <w:rPr>
                <w:rFonts w:eastAsia="仿宋_GB2312"/>
                <w:color w:val="auto"/>
                <w:kern w:val="0"/>
                <w:szCs w:val="21"/>
              </w:rPr>
            </w:pPr>
            <w:r>
              <w:rPr>
                <w:rFonts w:eastAsia="仿宋_GB2312"/>
                <w:color w:val="auto"/>
                <w:kern w:val="0"/>
                <w:szCs w:val="21"/>
              </w:rPr>
              <w:t>100</w:t>
            </w:r>
          </w:p>
        </w:tc>
        <w:tc>
          <w:tcPr>
            <w:tcW w:w="400" w:type="dxa"/>
            <w:tcBorders>
              <w:top w:val="nil"/>
              <w:left w:val="nil"/>
              <w:bottom w:val="single" w:color="auto" w:sz="4" w:space="0"/>
              <w:right w:val="single" w:color="auto" w:sz="4" w:space="0"/>
            </w:tcBorders>
            <w:vAlign w:val="center"/>
          </w:tcPr>
          <w:p w14:paraId="45E93404">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418" w:type="dxa"/>
            <w:gridSpan w:val="2"/>
            <w:tcBorders>
              <w:top w:val="nil"/>
              <w:left w:val="nil"/>
              <w:bottom w:val="single" w:color="auto" w:sz="4" w:space="0"/>
              <w:right w:val="single" w:color="auto" w:sz="4" w:space="0"/>
            </w:tcBorders>
            <w:vAlign w:val="center"/>
          </w:tcPr>
          <w:p w14:paraId="5F5CE64A">
            <w:pPr>
              <w:widowControl/>
              <w:spacing w:line="0" w:lineRule="atLeast"/>
              <w:jc w:val="left"/>
              <w:rPr>
                <w:rFonts w:eastAsia="仿宋_GB2312"/>
                <w:color w:val="auto"/>
                <w:kern w:val="0"/>
                <w:szCs w:val="21"/>
              </w:rPr>
            </w:pPr>
            <w:r>
              <w:rPr>
                <w:rFonts w:hint="eastAsia" w:eastAsia="仿宋_GB2312"/>
                <w:color w:val="auto"/>
                <w:kern w:val="0"/>
                <w:szCs w:val="21"/>
              </w:rPr>
              <w:t>　</w:t>
            </w:r>
          </w:p>
        </w:tc>
      </w:tr>
    </w:tbl>
    <w:p w14:paraId="3B4EF72D">
      <w:pPr>
        <w:pStyle w:val="6"/>
        <w:ind w:left="0" w:leftChars="0"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填表人： 填报日期： 联系电话：单位负责人签字：</w:t>
      </w:r>
    </w:p>
    <w:p w14:paraId="16453B9E">
      <w:pPr>
        <w:spacing w:before="120" w:beforeLines="50"/>
        <w:rPr>
          <w:rFonts w:ascii="Times New Roman" w:hAnsi="Times New Roman" w:eastAsia="仿宋_GB2312"/>
          <w:color w:val="auto"/>
          <w:sz w:val="24"/>
        </w:rPr>
      </w:pPr>
    </w:p>
    <w:p w14:paraId="7F31EDEE">
      <w:pPr>
        <w:ind w:left="10" w:leftChars="5" w:firstLine="406" w:firstLineChars="127"/>
        <w:jc w:val="left"/>
        <w:rPr>
          <w:rFonts w:hint="eastAsia" w:ascii="仿宋" w:hAnsi="仿宋" w:eastAsia="仿宋" w:cs="仿宋"/>
          <w:color w:val="auto"/>
          <w:sz w:val="32"/>
          <w:szCs w:val="32"/>
        </w:rPr>
      </w:pPr>
    </w:p>
    <w:p w14:paraId="2132BF33">
      <w:pPr>
        <w:keepNext w:val="0"/>
        <w:keepLines w:val="0"/>
        <w:pageBreakBefore w:val="0"/>
        <w:widowControl w:val="0"/>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其中，绩效目标自评表填报注意事项如下：</w:t>
      </w:r>
    </w:p>
    <w:p w14:paraId="201DDB4E">
      <w:pPr>
        <w:keepNext w:val="0"/>
        <w:keepLines w:val="0"/>
        <w:pageBreakBefore w:val="0"/>
        <w:widowControl w:val="0"/>
        <w:numPr>
          <w:ilvl w:val="0"/>
          <w:numId w:val="10"/>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14:paraId="6EDB6751">
      <w:pPr>
        <w:keepNext w:val="0"/>
        <w:keepLines w:val="0"/>
        <w:pageBreakBefore w:val="0"/>
        <w:widowControl w:val="0"/>
        <w:numPr>
          <w:ilvl w:val="0"/>
          <w:numId w:val="10"/>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定性指标根据指标完成情况分为：达成预期指标、部分达成预期指标具有一定效果、未达成预期指标且效果较差三档，分别按照该指标对应分值区间100%-80%（含80%）、80%-60%（含60%）、60-0%合理确定得分。</w:t>
      </w:r>
    </w:p>
    <w:p w14:paraId="00F5D7B7">
      <w:pPr>
        <w:keepNext w:val="0"/>
        <w:keepLines w:val="0"/>
        <w:pageBreakBefore w:val="0"/>
        <w:widowControl w:val="0"/>
        <w:numPr>
          <w:ilvl w:val="0"/>
          <w:numId w:val="10"/>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定量指标若为正向指标（即指标值为</w:t>
      </w:r>
      <w:r>
        <w:rPr>
          <w:rFonts w:ascii="Arial" w:hAnsi="Arial" w:eastAsia="仿宋" w:cs="Arial"/>
          <w:color w:val="auto"/>
          <w:sz w:val="32"/>
          <w:szCs w:val="32"/>
        </w:rPr>
        <w:t>≥</w:t>
      </w:r>
      <w:r>
        <w:rPr>
          <w:rFonts w:hint="eastAsia" w:ascii="仿宋" w:hAnsi="仿宋" w:eastAsia="仿宋" w:cs="仿宋"/>
          <w:color w:val="auto"/>
          <w:sz w:val="32"/>
          <w:szCs w:val="32"/>
        </w:rPr>
        <w:t>*），则得分计算方法应用全年实际值/年度指标值*该指标分值；若定量指标为反向指标（即指标值</w:t>
      </w:r>
      <w:r>
        <w:rPr>
          <w:rFonts w:ascii="Arial" w:hAnsi="Arial" w:eastAsia="仿宋" w:cs="Arial"/>
          <w:color w:val="auto"/>
          <w:sz w:val="32"/>
          <w:szCs w:val="32"/>
        </w:rPr>
        <w:t>≤</w:t>
      </w:r>
      <w:r>
        <w:rPr>
          <w:rFonts w:hint="eastAsia" w:ascii="仿宋" w:hAnsi="仿宋" w:eastAsia="仿宋" w:cs="仿宋"/>
          <w:color w:val="auto"/>
          <w:sz w:val="32"/>
          <w:szCs w:val="32"/>
        </w:rPr>
        <w:t>*），则得分计算方法应用年度指标值/全年实际值*该指标分值；定量指标得分最高不得超过该指标分值上限。</w:t>
      </w:r>
    </w:p>
    <w:p w14:paraId="5159DE66">
      <w:pPr>
        <w:keepNext w:val="0"/>
        <w:keepLines w:val="0"/>
        <w:pageBreakBefore w:val="0"/>
        <w:widowControl w:val="0"/>
        <w:kinsoku/>
        <w:wordWrap/>
        <w:overflowPunct/>
        <w:topLinePunct w:val="0"/>
        <w:autoSpaceDE/>
        <w:autoSpaceDN/>
        <w:bidi w:val="0"/>
        <w:snapToGrid/>
        <w:spacing w:line="600" w:lineRule="exact"/>
        <w:ind w:left="277" w:leftChars="132"/>
        <w:jc w:val="left"/>
        <w:textAlignment w:val="auto"/>
        <w:rPr>
          <w:rFonts w:ascii="仿宋" w:hAnsi="仿宋" w:eastAsia="仿宋" w:cs="仿宋"/>
          <w:color w:val="auto"/>
          <w:sz w:val="32"/>
          <w:szCs w:val="32"/>
        </w:rPr>
      </w:pPr>
    </w:p>
    <w:p w14:paraId="7F463470">
      <w:pPr>
        <w:keepNext w:val="0"/>
        <w:keepLines w:val="0"/>
        <w:pageBreakBefore w:val="0"/>
        <w:widowControl w:val="0"/>
        <w:kinsoku/>
        <w:wordWrap/>
        <w:overflowPunct/>
        <w:topLinePunct w:val="0"/>
        <w:autoSpaceDE/>
        <w:autoSpaceDN/>
        <w:bidi w:val="0"/>
        <w:adjustRightInd w:val="0"/>
        <w:snapToGrid/>
        <w:spacing w:line="600" w:lineRule="exact"/>
        <w:ind w:right="641"/>
        <w:textAlignment w:val="auto"/>
        <w:rPr>
          <w:rFonts w:hint="eastAsia" w:ascii="黑体" w:eastAsia="黑体"/>
          <w:color w:val="auto"/>
          <w:sz w:val="32"/>
          <w:szCs w:val="32"/>
        </w:rPr>
      </w:pPr>
    </w:p>
    <w:p w14:paraId="0645A684">
      <w:pPr>
        <w:rPr>
          <w:rFonts w:ascii="仿宋" w:hAnsi="仿宋" w:eastAsia="仿宋" w:cs="仿宋"/>
          <w:color w:val="auto"/>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C075CB0-20F8-4E51-B814-8BA9CBDA6CCC}"/>
  </w:font>
  <w:font w:name="黑体">
    <w:panose1 w:val="02010609060101010101"/>
    <w:charset w:val="86"/>
    <w:family w:val="auto"/>
    <w:pitch w:val="default"/>
    <w:sig w:usb0="800002BF" w:usb1="38CF7CFA" w:usb2="00000016" w:usb3="00000000" w:csb0="00040001" w:csb1="00000000"/>
    <w:embedRegular r:id="rId2" w:fontKey="{A6BD9B87-71DB-420A-B4B1-BFDF19A064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B5C5305B-23A0-40C8-869C-3B6E8109016A}"/>
  </w:font>
  <w:font w:name="方正小标宋简体">
    <w:panose1 w:val="02000000000000000000"/>
    <w:charset w:val="86"/>
    <w:family w:val="auto"/>
    <w:pitch w:val="default"/>
    <w:sig w:usb0="00000001" w:usb1="08000000" w:usb2="00000000" w:usb3="00000000" w:csb0="00040000" w:csb1="00000000"/>
    <w:embedRegular r:id="rId4" w:fontKey="{E9F9327C-2D01-4E3A-B5CA-E7AF18CB8D42}"/>
  </w:font>
  <w:font w:name="楷体">
    <w:panose1 w:val="02010609060101010101"/>
    <w:charset w:val="86"/>
    <w:family w:val="modern"/>
    <w:pitch w:val="default"/>
    <w:sig w:usb0="800002BF" w:usb1="38CF7CFA" w:usb2="00000016" w:usb3="00000000" w:csb0="00040001" w:csb1="00000000"/>
    <w:embedRegular r:id="rId5" w:fontKey="{381D5220-4938-4F85-B8BE-7B836B9B0D7D}"/>
  </w:font>
  <w:font w:name="方正小标宋_GBK">
    <w:panose1 w:val="02000000000000000000"/>
    <w:charset w:val="86"/>
    <w:family w:val="script"/>
    <w:pitch w:val="default"/>
    <w:sig w:usb0="A00002BF" w:usb1="38CF7CFA" w:usb2="00082016" w:usb3="00000000" w:csb0="00040001" w:csb1="00000000"/>
    <w:embedRegular r:id="rId6" w:fontKey="{5449F892-0B7D-4EB5-8334-ED433505C2BC}"/>
  </w:font>
  <w:font w:name="楷体_GB2312">
    <w:altName w:val="楷体"/>
    <w:panose1 w:val="02010609030101010101"/>
    <w:charset w:val="86"/>
    <w:family w:val="modern"/>
    <w:pitch w:val="default"/>
    <w:sig w:usb0="00000000" w:usb1="00000000" w:usb2="00000000" w:usb3="00000000" w:csb0="00040000" w:csb1="00000000"/>
    <w:embedRegular r:id="rId7" w:fontKey="{D8096BBF-FF73-4107-BAB4-187EAC95EB77}"/>
  </w:font>
  <w:font w:name="新宋体">
    <w:panose1 w:val="02010609030101010101"/>
    <w:charset w:val="86"/>
    <w:family w:val="modern"/>
    <w:pitch w:val="default"/>
    <w:sig w:usb0="00000003" w:usb1="288F0000" w:usb2="00000006" w:usb3="00000000" w:csb0="00040001" w:csb1="00000000"/>
    <w:embedRegular r:id="rId8" w:fontKey="{F59542B6-44BE-4437-BABE-6A39313B608D}"/>
  </w:font>
  <w:font w:name="仿宋">
    <w:panose1 w:val="02010609060101010101"/>
    <w:charset w:val="86"/>
    <w:family w:val="modern"/>
    <w:pitch w:val="default"/>
    <w:sig w:usb0="800002BF" w:usb1="38CF7CFA" w:usb2="00000016" w:usb3="00000000" w:csb0="00040001" w:csb1="00000000"/>
    <w:embedRegular r:id="rId9" w:fontKey="{29DD3410-7974-46EC-9BFB-771C6F1865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0F87456B">
        <w:pPr>
          <w:pStyle w:val="3"/>
          <w:jc w:val="center"/>
        </w:pPr>
        <w:r>
          <w:fldChar w:fldCharType="begin"/>
        </w:r>
        <w:r>
          <w:instrText xml:space="preserve">PAGE   \* MERGEFORMAT</w:instrText>
        </w:r>
        <w:r>
          <w:fldChar w:fldCharType="separate"/>
        </w:r>
        <w:r>
          <w:rPr>
            <w:lang w:val="zh-CN"/>
          </w:rPr>
          <w:t>3</w:t>
        </w:r>
        <w:r>
          <w:fldChar w:fldCharType="end"/>
        </w:r>
      </w:p>
    </w:sdtContent>
  </w:sdt>
  <w:p w14:paraId="3D69F811">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BB8FF"/>
    <w:multiLevelType w:val="singleLevel"/>
    <w:tmpl w:val="B9DBB8FF"/>
    <w:lvl w:ilvl="0" w:tentative="0">
      <w:start w:val="7"/>
      <w:numFmt w:val="chineseCounting"/>
      <w:suff w:val="nothing"/>
      <w:lvlText w:val="%1、"/>
      <w:lvlJc w:val="left"/>
      <w:rPr>
        <w:rFonts w:hint="eastAsia"/>
      </w:rPr>
    </w:lvl>
  </w:abstractNum>
  <w:abstractNum w:abstractNumId="1">
    <w:nsid w:val="D005CCA1"/>
    <w:multiLevelType w:val="singleLevel"/>
    <w:tmpl w:val="D005CCA1"/>
    <w:lvl w:ilvl="0" w:tentative="0">
      <w:start w:val="3"/>
      <w:numFmt w:val="chineseCounting"/>
      <w:suff w:val="nothing"/>
      <w:lvlText w:val="（%1）"/>
      <w:lvlJc w:val="left"/>
      <w:rPr>
        <w:rFonts w:hint="eastAsia"/>
      </w:rPr>
    </w:lvl>
  </w:abstractNum>
  <w:abstractNum w:abstractNumId="2">
    <w:nsid w:val="07D146D6"/>
    <w:multiLevelType w:val="singleLevel"/>
    <w:tmpl w:val="07D146D6"/>
    <w:lvl w:ilvl="0" w:tentative="0">
      <w:start w:val="3"/>
      <w:numFmt w:val="chineseCounting"/>
      <w:suff w:val="nothing"/>
      <w:lvlText w:val="（%1）"/>
      <w:lvlJc w:val="left"/>
      <w:rPr>
        <w:rFonts w:hint="eastAsia"/>
      </w:rPr>
    </w:lvl>
  </w:abstractNum>
  <w:abstractNum w:abstractNumId="3">
    <w:nsid w:val="0E3D37FE"/>
    <w:multiLevelType w:val="singleLevel"/>
    <w:tmpl w:val="0E3D37FE"/>
    <w:lvl w:ilvl="0" w:tentative="0">
      <w:start w:val="1"/>
      <w:numFmt w:val="decimal"/>
      <w:lvlText w:val="%1."/>
      <w:lvlJc w:val="left"/>
      <w:pPr>
        <w:tabs>
          <w:tab w:val="left" w:pos="312"/>
        </w:tabs>
      </w:pPr>
    </w:lvl>
  </w:abstractNum>
  <w:abstractNum w:abstractNumId="4">
    <w:nsid w:val="37DA37DF"/>
    <w:multiLevelType w:val="singleLevel"/>
    <w:tmpl w:val="37DA37DF"/>
    <w:lvl w:ilvl="0" w:tentative="0">
      <w:start w:val="1"/>
      <w:numFmt w:val="decimal"/>
      <w:suff w:val="nothing"/>
      <w:lvlText w:val="%1、"/>
      <w:lvlJc w:val="left"/>
      <w:pPr>
        <w:ind w:left="-18"/>
      </w:pPr>
    </w:lvl>
  </w:abstractNum>
  <w:abstractNum w:abstractNumId="5">
    <w:nsid w:val="3D973790"/>
    <w:multiLevelType w:val="singleLevel"/>
    <w:tmpl w:val="3D973790"/>
    <w:lvl w:ilvl="0" w:tentative="0">
      <w:start w:val="3"/>
      <w:numFmt w:val="chineseCounting"/>
      <w:suff w:val="nothing"/>
      <w:lvlText w:val="%1、"/>
      <w:lvlJc w:val="left"/>
      <w:rPr>
        <w:rFonts w:hint="eastAsia"/>
      </w:rPr>
    </w:lvl>
  </w:abstractNum>
  <w:abstractNum w:abstractNumId="6">
    <w:nsid w:val="4113C5D7"/>
    <w:multiLevelType w:val="singleLevel"/>
    <w:tmpl w:val="4113C5D7"/>
    <w:lvl w:ilvl="0" w:tentative="0">
      <w:start w:val="8"/>
      <w:numFmt w:val="chineseCounting"/>
      <w:suff w:val="nothing"/>
      <w:lvlText w:val="%1、"/>
      <w:lvlJc w:val="left"/>
      <w:rPr>
        <w:rFonts w:hint="eastAsia"/>
      </w:rPr>
    </w:lvl>
  </w:abstractNum>
  <w:abstractNum w:abstractNumId="7">
    <w:nsid w:val="649E1975"/>
    <w:multiLevelType w:val="singleLevel"/>
    <w:tmpl w:val="649E1975"/>
    <w:lvl w:ilvl="0" w:tentative="0">
      <w:start w:val="2"/>
      <w:numFmt w:val="chineseCounting"/>
      <w:suff w:val="nothing"/>
      <w:lvlText w:val="（%1）"/>
      <w:lvlJc w:val="left"/>
      <w:rPr>
        <w:rFonts w:hint="eastAsia"/>
      </w:rPr>
    </w:lvl>
  </w:abstractNum>
  <w:abstractNum w:abstractNumId="8">
    <w:nsid w:val="6588993E"/>
    <w:multiLevelType w:val="singleLevel"/>
    <w:tmpl w:val="6588993E"/>
    <w:lvl w:ilvl="0" w:tentative="0">
      <w:start w:val="1"/>
      <w:numFmt w:val="decimal"/>
      <w:suff w:val="nothing"/>
      <w:lvlText w:val="（%1）"/>
      <w:lvlJc w:val="left"/>
    </w:lvl>
  </w:abstractNum>
  <w:abstractNum w:abstractNumId="9">
    <w:nsid w:val="665305C2"/>
    <w:multiLevelType w:val="singleLevel"/>
    <w:tmpl w:val="665305C2"/>
    <w:lvl w:ilvl="0" w:tentative="0">
      <w:start w:val="2"/>
      <w:numFmt w:val="chineseCounting"/>
      <w:suff w:val="nothing"/>
      <w:lvlText w:val="（%1）"/>
      <w:lvlJc w:val="left"/>
      <w:rPr>
        <w:rFonts w:hint="eastAsia"/>
      </w:rPr>
    </w:lvl>
  </w:abstractNum>
  <w:num w:numId="1">
    <w:abstractNumId w:val="7"/>
  </w:num>
  <w:num w:numId="2">
    <w:abstractNumId w:val="4"/>
  </w:num>
  <w:num w:numId="3">
    <w:abstractNumId w:val="2"/>
  </w:num>
  <w:num w:numId="4">
    <w:abstractNumId w:val="5"/>
  </w:num>
  <w:num w:numId="5">
    <w:abstractNumId w:val="3"/>
  </w:num>
  <w:num w:numId="6">
    <w:abstractNumId w:val="0"/>
  </w:num>
  <w:num w:numId="7">
    <w:abstractNumId w:val="6"/>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Y2JkY2Y0ZTYyNTRkNThkNmIwNjc4ZTQ4MTJlZmYifQ=="/>
    <w:docVar w:name="KSO_WPS_MARK_KEY" w:val="ecbe79e6-2a2e-4201-9109-992ce9261d96"/>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6B5288"/>
    <w:rsid w:val="03BA01AE"/>
    <w:rsid w:val="055F72FC"/>
    <w:rsid w:val="056545C6"/>
    <w:rsid w:val="05956254"/>
    <w:rsid w:val="05C63780"/>
    <w:rsid w:val="062736E9"/>
    <w:rsid w:val="06B14C94"/>
    <w:rsid w:val="06F941B3"/>
    <w:rsid w:val="07061C60"/>
    <w:rsid w:val="07601F6F"/>
    <w:rsid w:val="0859360A"/>
    <w:rsid w:val="087251E8"/>
    <w:rsid w:val="08831D69"/>
    <w:rsid w:val="090C0797"/>
    <w:rsid w:val="092550F0"/>
    <w:rsid w:val="09636F12"/>
    <w:rsid w:val="0B402ED3"/>
    <w:rsid w:val="0B5575DE"/>
    <w:rsid w:val="0B595BEC"/>
    <w:rsid w:val="0BE44F45"/>
    <w:rsid w:val="0D013842"/>
    <w:rsid w:val="0D605FA4"/>
    <w:rsid w:val="0DAC1131"/>
    <w:rsid w:val="0DCD1FE2"/>
    <w:rsid w:val="0DE23C9D"/>
    <w:rsid w:val="0EE4409F"/>
    <w:rsid w:val="0F0351A9"/>
    <w:rsid w:val="0F6040CA"/>
    <w:rsid w:val="0F686EA2"/>
    <w:rsid w:val="0FA4224E"/>
    <w:rsid w:val="10125033"/>
    <w:rsid w:val="114C68B4"/>
    <w:rsid w:val="13063EC3"/>
    <w:rsid w:val="14AA545C"/>
    <w:rsid w:val="15751098"/>
    <w:rsid w:val="16FC3F81"/>
    <w:rsid w:val="176B1627"/>
    <w:rsid w:val="184B71E0"/>
    <w:rsid w:val="184B7D68"/>
    <w:rsid w:val="194621AC"/>
    <w:rsid w:val="1B8B72AA"/>
    <w:rsid w:val="1C5540FA"/>
    <w:rsid w:val="1C5B5A42"/>
    <w:rsid w:val="1C96001A"/>
    <w:rsid w:val="1D3D7E2E"/>
    <w:rsid w:val="1DA67C4F"/>
    <w:rsid w:val="1E4A056C"/>
    <w:rsid w:val="1EF66ABE"/>
    <w:rsid w:val="2051109F"/>
    <w:rsid w:val="20DC27D1"/>
    <w:rsid w:val="21192E62"/>
    <w:rsid w:val="213F01B2"/>
    <w:rsid w:val="21486D67"/>
    <w:rsid w:val="217355DC"/>
    <w:rsid w:val="22A17FF1"/>
    <w:rsid w:val="22E91D5D"/>
    <w:rsid w:val="22F175ED"/>
    <w:rsid w:val="24D47687"/>
    <w:rsid w:val="252F091F"/>
    <w:rsid w:val="25355E3F"/>
    <w:rsid w:val="26A1499A"/>
    <w:rsid w:val="26CA0729"/>
    <w:rsid w:val="26EC76C6"/>
    <w:rsid w:val="273137CC"/>
    <w:rsid w:val="27654B82"/>
    <w:rsid w:val="279C010A"/>
    <w:rsid w:val="27E20F6E"/>
    <w:rsid w:val="282F69C3"/>
    <w:rsid w:val="28420756"/>
    <w:rsid w:val="28E30CF3"/>
    <w:rsid w:val="297E7214"/>
    <w:rsid w:val="29AB7A6D"/>
    <w:rsid w:val="2ACD4C49"/>
    <w:rsid w:val="2B003A78"/>
    <w:rsid w:val="2B857C02"/>
    <w:rsid w:val="2B9C3577"/>
    <w:rsid w:val="2BBA09D7"/>
    <w:rsid w:val="2BD440AE"/>
    <w:rsid w:val="2BD575BF"/>
    <w:rsid w:val="2C6944DC"/>
    <w:rsid w:val="2D6C73E1"/>
    <w:rsid w:val="2DB2495A"/>
    <w:rsid w:val="2EBA7105"/>
    <w:rsid w:val="2EC4171C"/>
    <w:rsid w:val="2EF0518E"/>
    <w:rsid w:val="2F373F0A"/>
    <w:rsid w:val="2F465CE9"/>
    <w:rsid w:val="30133FEC"/>
    <w:rsid w:val="301467A7"/>
    <w:rsid w:val="3147341F"/>
    <w:rsid w:val="319E58AE"/>
    <w:rsid w:val="32E672DE"/>
    <w:rsid w:val="33173320"/>
    <w:rsid w:val="33F47CCB"/>
    <w:rsid w:val="348101C9"/>
    <w:rsid w:val="367E6347"/>
    <w:rsid w:val="36B74B2C"/>
    <w:rsid w:val="376A7251"/>
    <w:rsid w:val="38C62B0D"/>
    <w:rsid w:val="38FF20BA"/>
    <w:rsid w:val="3B4A4976"/>
    <w:rsid w:val="3C177780"/>
    <w:rsid w:val="3D6A788A"/>
    <w:rsid w:val="3DBC05DF"/>
    <w:rsid w:val="3E1C6CCE"/>
    <w:rsid w:val="3F07230B"/>
    <w:rsid w:val="401A4DB7"/>
    <w:rsid w:val="40551718"/>
    <w:rsid w:val="412A5093"/>
    <w:rsid w:val="41D96CAB"/>
    <w:rsid w:val="438C45B0"/>
    <w:rsid w:val="43CA6E24"/>
    <w:rsid w:val="440A08B0"/>
    <w:rsid w:val="448C37A5"/>
    <w:rsid w:val="44AE371A"/>
    <w:rsid w:val="45BB7131"/>
    <w:rsid w:val="469C5106"/>
    <w:rsid w:val="4750610E"/>
    <w:rsid w:val="476A2E5A"/>
    <w:rsid w:val="48D77849"/>
    <w:rsid w:val="492E6CEA"/>
    <w:rsid w:val="497F4067"/>
    <w:rsid w:val="499C5626"/>
    <w:rsid w:val="49D62A28"/>
    <w:rsid w:val="4A6A422A"/>
    <w:rsid w:val="4A8A7B5A"/>
    <w:rsid w:val="4B61359F"/>
    <w:rsid w:val="4C3126A7"/>
    <w:rsid w:val="4C8B785D"/>
    <w:rsid w:val="4C985623"/>
    <w:rsid w:val="4D1D75B1"/>
    <w:rsid w:val="4DC14C54"/>
    <w:rsid w:val="4E83512E"/>
    <w:rsid w:val="4E991EA3"/>
    <w:rsid w:val="4F3375F5"/>
    <w:rsid w:val="5025403F"/>
    <w:rsid w:val="512D283B"/>
    <w:rsid w:val="51706157"/>
    <w:rsid w:val="519D4217"/>
    <w:rsid w:val="51A64FE7"/>
    <w:rsid w:val="52245ABB"/>
    <w:rsid w:val="544E62B5"/>
    <w:rsid w:val="54D83964"/>
    <w:rsid w:val="551E5284"/>
    <w:rsid w:val="569958AC"/>
    <w:rsid w:val="576860E5"/>
    <w:rsid w:val="57965D12"/>
    <w:rsid w:val="587B3D9E"/>
    <w:rsid w:val="587F7BAB"/>
    <w:rsid w:val="590B7824"/>
    <w:rsid w:val="598A0134"/>
    <w:rsid w:val="59BA41A7"/>
    <w:rsid w:val="5B0867BA"/>
    <w:rsid w:val="5BC814AD"/>
    <w:rsid w:val="5CD10964"/>
    <w:rsid w:val="5D4D7E93"/>
    <w:rsid w:val="5E2D0ECA"/>
    <w:rsid w:val="5E7E2E48"/>
    <w:rsid w:val="5EB920A6"/>
    <w:rsid w:val="5EE15247"/>
    <w:rsid w:val="5F974E75"/>
    <w:rsid w:val="5F9C32ED"/>
    <w:rsid w:val="5FEB66AA"/>
    <w:rsid w:val="611C2A4E"/>
    <w:rsid w:val="61ED0983"/>
    <w:rsid w:val="621A2785"/>
    <w:rsid w:val="62380621"/>
    <w:rsid w:val="62882906"/>
    <w:rsid w:val="6296592A"/>
    <w:rsid w:val="62AA63A9"/>
    <w:rsid w:val="63287C51"/>
    <w:rsid w:val="64653D4C"/>
    <w:rsid w:val="64821F10"/>
    <w:rsid w:val="64BB7C34"/>
    <w:rsid w:val="657A4758"/>
    <w:rsid w:val="66EE340B"/>
    <w:rsid w:val="693B1A2C"/>
    <w:rsid w:val="6A893D5A"/>
    <w:rsid w:val="6BDD159D"/>
    <w:rsid w:val="6C044DCB"/>
    <w:rsid w:val="6D560FD7"/>
    <w:rsid w:val="70561C9A"/>
    <w:rsid w:val="70710328"/>
    <w:rsid w:val="713D16E3"/>
    <w:rsid w:val="715A4BDC"/>
    <w:rsid w:val="71AF52DC"/>
    <w:rsid w:val="71C15269"/>
    <w:rsid w:val="72A31ED0"/>
    <w:rsid w:val="752D41F9"/>
    <w:rsid w:val="77F770D8"/>
    <w:rsid w:val="78272480"/>
    <w:rsid w:val="783F1A66"/>
    <w:rsid w:val="786A32D4"/>
    <w:rsid w:val="788155F2"/>
    <w:rsid w:val="78EF290F"/>
    <w:rsid w:val="7A794B87"/>
    <w:rsid w:val="7ABD057B"/>
    <w:rsid w:val="7ACB2BF8"/>
    <w:rsid w:val="7C142227"/>
    <w:rsid w:val="7E0E41C6"/>
    <w:rsid w:val="7EE2275E"/>
    <w:rsid w:val="7F810A2B"/>
    <w:rsid w:val="7F9D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pPr>
    <w:rPr>
      <w:rFonts w:ascii="仿宋_GB2312" w:eastAsia="仿宋_GB2312"/>
      <w:bCs/>
      <w:sz w:val="32"/>
      <w:szCs w:val="32"/>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_Style 1"/>
    <w:basedOn w:val="1"/>
    <w:qFormat/>
    <w:uiPriority w:val="99"/>
    <w:pPr>
      <w:ind w:firstLine="420" w:firstLineChars="200"/>
    </w:pPr>
  </w:style>
  <w:style w:type="paragraph" w:styleId="12">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3">
    <w:name w:val="页脚 Char"/>
    <w:basedOn w:val="9"/>
    <w:link w:val="3"/>
    <w:qFormat/>
    <w:uiPriority w:val="99"/>
    <w:rPr>
      <w:kern w:val="2"/>
      <w:sz w:val="18"/>
      <w:szCs w:val="18"/>
    </w:rPr>
  </w:style>
  <w:style w:type="character" w:customStyle="1" w:styleId="14">
    <w:name w:val="font41"/>
    <w:basedOn w:val="9"/>
    <w:qFormat/>
    <w:uiPriority w:val="0"/>
    <w:rPr>
      <w:rFonts w:hint="eastAsia" w:ascii="宋体" w:hAnsi="宋体" w:eastAsia="宋体" w:cs="宋体"/>
      <w:color w:val="000000"/>
      <w:sz w:val="18"/>
      <w:szCs w:val="18"/>
      <w:u w:val="none"/>
    </w:rPr>
  </w:style>
  <w:style w:type="character" w:customStyle="1" w:styleId="15">
    <w:name w:val="font51"/>
    <w:basedOn w:val="9"/>
    <w:qFormat/>
    <w:uiPriority w:val="0"/>
    <w:rPr>
      <w:rFonts w:hint="default" w:ascii="Times New Roman" w:hAnsi="Times New Roman" w:cs="Times New Roman"/>
      <w:color w:val="000000"/>
      <w:sz w:val="18"/>
      <w:szCs w:val="18"/>
      <w:u w:val="none"/>
    </w:rPr>
  </w:style>
  <w:style w:type="character" w:customStyle="1" w:styleId="16">
    <w:name w:val="font71"/>
    <w:basedOn w:val="9"/>
    <w:qFormat/>
    <w:uiPriority w:val="0"/>
    <w:rPr>
      <w:rFonts w:hint="eastAsia" w:ascii="宋体" w:hAnsi="宋体" w:eastAsia="宋体" w:cs="宋体"/>
      <w:color w:val="000000"/>
      <w:sz w:val="18"/>
      <w:szCs w:val="18"/>
      <w:u w:val="none"/>
    </w:rPr>
  </w:style>
  <w:style w:type="character" w:customStyle="1" w:styleId="17">
    <w:name w:val="font61"/>
    <w:basedOn w:val="9"/>
    <w:qFormat/>
    <w:uiPriority w:val="0"/>
    <w:rPr>
      <w:rFonts w:hint="default" w:ascii="Times New Roman" w:hAnsi="Times New Roman" w:cs="Times New Roman"/>
      <w:color w:val="000000"/>
      <w:sz w:val="18"/>
      <w:szCs w:val="18"/>
      <w:u w:val="none"/>
    </w:rPr>
  </w:style>
  <w:style w:type="character" w:customStyle="1" w:styleId="18">
    <w:name w:val="font11"/>
    <w:basedOn w:val="9"/>
    <w:qFormat/>
    <w:uiPriority w:val="0"/>
    <w:rPr>
      <w:rFonts w:hint="eastAsia" w:ascii="宋体" w:hAnsi="宋体" w:eastAsia="宋体" w:cs="宋体"/>
      <w:color w:val="000000"/>
      <w:sz w:val="18"/>
      <w:szCs w:val="18"/>
      <w:u w:val="none"/>
    </w:rPr>
  </w:style>
  <w:style w:type="character" w:customStyle="1" w:styleId="19">
    <w:name w:val="font8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7847</Words>
  <Characters>8125</Characters>
  <Lines>56</Lines>
  <Paragraphs>15</Paragraphs>
  <TotalTime>30</TotalTime>
  <ScaleCrop>false</ScaleCrop>
  <LinksUpToDate>false</LinksUpToDate>
  <CharactersWithSpaces>8310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不若寒潭</cp:lastModifiedBy>
  <cp:lastPrinted>2024-02-29T01:34:00Z</cp:lastPrinted>
  <dcterms:modified xsi:type="dcterms:W3CDTF">2024-07-19T08:44:43Z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E14DCB31DC9F465595AC6C86046A5CA4_13</vt:lpwstr>
  </property>
</Properties>
</file>