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 w:val="44"/>
          <w:szCs w:val="44"/>
        </w:rPr>
      </w:pPr>
    </w:p>
    <w:p>
      <w:pPr>
        <w:jc w:val="center"/>
        <w:rPr>
          <w:rFonts w:hint="eastAsia" w:ascii="宋体" w:hAnsi="宋体"/>
          <w:sz w:val="44"/>
          <w:szCs w:val="44"/>
        </w:rPr>
      </w:pPr>
      <w:r>
        <w:rPr>
          <w:rFonts w:hint="eastAsia" w:ascii="宋体" w:hAnsi="宋体"/>
          <w:sz w:val="44"/>
          <w:szCs w:val="44"/>
        </w:rPr>
        <w:t>邵阳</w:t>
      </w:r>
      <w:r>
        <w:rPr>
          <w:rFonts w:hint="eastAsia" w:ascii="宋体" w:hAnsi="宋体"/>
          <w:sz w:val="44"/>
          <w:szCs w:val="44"/>
          <w:lang w:eastAsia="zh-CN"/>
        </w:rPr>
        <w:t>县</w:t>
      </w:r>
      <w:r>
        <w:rPr>
          <w:rFonts w:ascii="宋体" w:hAnsi="宋体"/>
          <w:sz w:val="44"/>
          <w:szCs w:val="44"/>
        </w:rPr>
        <w:t>20</w:t>
      </w:r>
      <w:r>
        <w:rPr>
          <w:rFonts w:hint="eastAsia" w:ascii="宋体" w:hAnsi="宋体"/>
          <w:sz w:val="44"/>
          <w:szCs w:val="44"/>
          <w:lang w:val="en-US" w:eastAsia="zh-CN"/>
        </w:rPr>
        <w:t>22</w:t>
      </w:r>
      <w:r>
        <w:rPr>
          <w:rFonts w:hint="eastAsia" w:ascii="宋体" w:hAnsi="宋体"/>
          <w:sz w:val="44"/>
          <w:szCs w:val="44"/>
        </w:rPr>
        <w:t xml:space="preserve">年度部门整体支出绩效自评报告   </w:t>
      </w:r>
    </w:p>
    <w:p>
      <w:pPr>
        <w:jc w:val="center"/>
        <w:rPr>
          <w:rFonts w:hint="eastAsia" w:ascii="宋体" w:hAnsi="宋体"/>
          <w:sz w:val="44"/>
          <w:szCs w:val="44"/>
        </w:rPr>
      </w:pPr>
      <w:r>
        <w:rPr>
          <w:rFonts w:hint="eastAsia" w:ascii="宋体" w:hAnsi="宋体"/>
          <w:sz w:val="44"/>
          <w:szCs w:val="44"/>
        </w:rPr>
        <w:t>（封面）</w:t>
      </w:r>
    </w:p>
    <w:p>
      <w:pPr>
        <w:jc w:val="center"/>
        <w:rPr>
          <w:rFonts w:hint="eastAsia" w:ascii="宋体" w:hAnsi="宋体"/>
          <w:sz w:val="44"/>
          <w:szCs w:val="44"/>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1000" w:lineRule="exact"/>
        <w:rPr>
          <w:rFonts w:hint="eastAsia"/>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rPr>
        <w:t>　</w:t>
      </w:r>
      <w:r>
        <w:rPr>
          <w:rFonts w:hint="eastAsia"/>
          <w:b/>
          <w:bCs/>
          <w:sz w:val="32"/>
          <w:szCs w:val="32"/>
          <w:u w:val="single"/>
          <w:lang w:eastAsia="zh-CN"/>
        </w:rPr>
        <w:t>邵阳县</w:t>
      </w:r>
      <w:r>
        <w:rPr>
          <w:rFonts w:hint="eastAsia"/>
          <w:b/>
          <w:bCs/>
          <w:sz w:val="32"/>
          <w:szCs w:val="32"/>
          <w:u w:val="single"/>
          <w:lang w:val="en-US" w:eastAsia="zh-CN"/>
        </w:rPr>
        <w:t>妇女联合会</w:t>
      </w:r>
      <w:r>
        <w:rPr>
          <w:rFonts w:hint="eastAsia"/>
          <w:b/>
          <w:bCs/>
          <w:sz w:val="32"/>
          <w:szCs w:val="32"/>
          <w:u w:val="single"/>
        </w:rPr>
        <w:t>　　</w:t>
      </w:r>
      <w:r>
        <w:rPr>
          <w:rFonts w:hint="eastAsia"/>
          <w:bCs/>
          <w:sz w:val="32"/>
          <w:szCs w:val="32"/>
        </w:rPr>
        <w:t>（单位公章）</w:t>
      </w: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jc w:val="center"/>
        <w:rPr>
          <w:rFonts w:hint="eastAsia"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2023</w:t>
      </w:r>
      <w:r>
        <w:rPr>
          <w:rFonts w:hint="eastAsia" w:ascii="楷体" w:hAnsi="楷体" w:eastAsia="楷体" w:cs="楷体"/>
          <w:sz w:val="36"/>
        </w:rPr>
        <w:t>年</w:t>
      </w:r>
      <w:r>
        <w:rPr>
          <w:rFonts w:hint="eastAsia" w:ascii="楷体" w:hAnsi="楷体" w:eastAsia="楷体" w:cs="楷体"/>
          <w:sz w:val="36"/>
          <w:lang w:val="en-US" w:eastAsia="zh-CN"/>
        </w:rPr>
        <w:t>3</w:t>
      </w:r>
      <w:r>
        <w:rPr>
          <w:rFonts w:hint="eastAsia" w:ascii="楷体" w:hAnsi="楷体" w:eastAsia="楷体" w:cs="楷体"/>
          <w:sz w:val="36"/>
        </w:rPr>
        <w:t>月</w:t>
      </w:r>
      <w:r>
        <w:rPr>
          <w:rFonts w:hint="eastAsia" w:ascii="楷体" w:hAnsi="楷体" w:eastAsia="楷体" w:cs="楷体"/>
          <w:sz w:val="36"/>
          <w:lang w:val="en-US" w:eastAsia="zh-CN"/>
        </w:rPr>
        <w:t>10</w:t>
      </w:r>
      <w:r>
        <w:rPr>
          <w:rFonts w:hint="eastAsia" w:ascii="楷体" w:hAnsi="楷体" w:eastAsia="楷体" w:cs="楷体"/>
          <w:sz w:val="36"/>
        </w:rPr>
        <w:t>日</w:t>
      </w: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adjustRightInd w:val="0"/>
        <w:spacing w:line="600" w:lineRule="exact"/>
        <w:ind w:right="641"/>
        <w:jc w:val="center"/>
        <w:rPr>
          <w:rFonts w:eastAsia="方正小标宋_GBK"/>
          <w:sz w:val="36"/>
          <w:szCs w:val="36"/>
        </w:rPr>
      </w:pPr>
      <w:r>
        <w:rPr>
          <w:rFonts w:hint="eastAsia" w:eastAsia="方正小标宋_GBK"/>
          <w:sz w:val="36"/>
          <w:szCs w:val="36"/>
        </w:rPr>
        <w:t xml:space="preserve"> </w:t>
      </w:r>
      <w:r>
        <w:rPr>
          <w:rFonts w:hint="eastAsia" w:eastAsia="方正小标宋_GBK"/>
          <w:sz w:val="36"/>
          <w:szCs w:val="36"/>
          <w:lang w:eastAsia="zh-CN"/>
        </w:rPr>
        <w:t>邵阳县妇女联合会</w:t>
      </w:r>
      <w:r>
        <w:rPr>
          <w:rFonts w:hint="eastAsia" w:eastAsia="方正小标宋_GBK"/>
          <w:sz w:val="36"/>
          <w:szCs w:val="36"/>
        </w:rPr>
        <w:t>部门整体</w:t>
      </w:r>
      <w:r>
        <w:rPr>
          <w:rFonts w:eastAsia="方正小标宋_GBK"/>
          <w:sz w:val="36"/>
          <w:szCs w:val="36"/>
        </w:rPr>
        <w:t>支出绩效报告</w:t>
      </w:r>
    </w:p>
    <w:p>
      <w:pPr>
        <w:adjustRightInd w:val="0"/>
        <w:spacing w:line="600" w:lineRule="exact"/>
        <w:ind w:right="641"/>
        <w:rPr>
          <w:rFonts w:eastAsia="仿宋_GB2312"/>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一、部门概况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（一）部门基本情况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shd w:val="clear" w:color="auto" w:fill="FFFFFF"/>
          <w:lang w:val="en-US" w:eastAsia="zh-CN"/>
        </w:rPr>
        <w:t>1、</w:t>
      </w:r>
      <w:r>
        <w:rPr>
          <w:rFonts w:hint="eastAsia" w:ascii="仿宋" w:hAnsi="仿宋" w:eastAsia="仿宋" w:cs="仿宋"/>
          <w:b w:val="0"/>
          <w:bCs w:val="0"/>
          <w:i w:val="0"/>
          <w:caps w:val="0"/>
          <w:color w:val="000000"/>
          <w:spacing w:val="0"/>
          <w:sz w:val="32"/>
          <w:szCs w:val="32"/>
          <w:shd w:val="clear" w:color="auto" w:fill="FFFFFF"/>
        </w:rPr>
        <w:t>县</w:t>
      </w:r>
      <w:r>
        <w:rPr>
          <w:rFonts w:hint="eastAsia" w:ascii="仿宋" w:hAnsi="仿宋" w:eastAsia="仿宋" w:cs="仿宋"/>
          <w:b w:val="0"/>
          <w:bCs w:val="0"/>
          <w:i w:val="0"/>
          <w:caps w:val="0"/>
          <w:color w:val="000000"/>
          <w:spacing w:val="0"/>
          <w:sz w:val="32"/>
          <w:szCs w:val="32"/>
          <w:shd w:val="clear" w:color="auto" w:fill="FFFFFF"/>
          <w:lang w:eastAsia="zh-CN"/>
        </w:rPr>
        <w:t>妇女联合会</w:t>
      </w:r>
      <w:r>
        <w:rPr>
          <w:rFonts w:hint="eastAsia" w:ascii="仿宋" w:hAnsi="仿宋" w:eastAsia="仿宋" w:cs="仿宋"/>
          <w:b w:val="0"/>
          <w:bCs w:val="0"/>
          <w:i w:val="0"/>
          <w:caps w:val="0"/>
          <w:color w:val="000000"/>
          <w:spacing w:val="0"/>
          <w:sz w:val="32"/>
          <w:szCs w:val="32"/>
          <w:shd w:val="clear" w:color="auto" w:fill="FFFFFF"/>
        </w:rPr>
        <w:t>是政府组成部门</w:t>
      </w:r>
      <w:r>
        <w:rPr>
          <w:rFonts w:hint="eastAsia" w:ascii="仿宋" w:hAnsi="仿宋" w:eastAsia="仿宋" w:cs="仿宋"/>
          <w:b w:val="0"/>
          <w:bCs w:val="0"/>
          <w:i w:val="0"/>
          <w:caps w:val="0"/>
          <w:color w:val="000000"/>
          <w:spacing w:val="0"/>
          <w:sz w:val="32"/>
          <w:szCs w:val="32"/>
          <w:shd w:val="clear" w:color="auto" w:fill="FFFFFF"/>
          <w:lang w:eastAsia="zh-CN"/>
        </w:rPr>
        <w:t>，编制人数</w:t>
      </w:r>
      <w:r>
        <w:rPr>
          <w:rFonts w:hint="eastAsia" w:ascii="仿宋" w:hAnsi="仿宋" w:eastAsia="仿宋" w:cs="仿宋"/>
          <w:b w:val="0"/>
          <w:bCs w:val="0"/>
          <w:i w:val="0"/>
          <w:caps w:val="0"/>
          <w:color w:val="000000"/>
          <w:spacing w:val="0"/>
          <w:sz w:val="32"/>
          <w:szCs w:val="32"/>
          <w:shd w:val="clear" w:color="auto" w:fill="FFFFFF"/>
          <w:lang w:val="en-US" w:eastAsia="zh-CN"/>
        </w:rPr>
        <w:t>6人，年末在职人数5人、退休人员1人。</w:t>
      </w:r>
      <w:r>
        <w:rPr>
          <w:rFonts w:hint="eastAsia" w:ascii="仿宋" w:hAnsi="仿宋" w:eastAsia="仿宋" w:cs="仿宋"/>
          <w:b w:val="0"/>
          <w:bCs w:val="0"/>
          <w:i w:val="0"/>
          <w:caps w:val="0"/>
          <w:color w:val="000000"/>
          <w:spacing w:val="0"/>
          <w:sz w:val="32"/>
          <w:szCs w:val="32"/>
          <w:shd w:val="clear" w:color="auto" w:fill="FFFFFF"/>
          <w:lang w:eastAsia="zh-CN"/>
        </w:rPr>
        <w:t>下设办公室 、维权室、妇女发展室、组宣室</w:t>
      </w:r>
      <w:r>
        <w:rPr>
          <w:rFonts w:hint="eastAsia" w:ascii="仿宋" w:hAnsi="仿宋" w:eastAsia="仿宋" w:cs="仿宋"/>
          <w:b w:val="0"/>
          <w:bCs w:val="0"/>
          <w:i w:val="0"/>
          <w:caps w:val="0"/>
          <w:color w:val="000000"/>
          <w:spacing w:val="0"/>
          <w:sz w:val="32"/>
          <w:szCs w:val="32"/>
          <w:shd w:val="clear" w:color="auto" w:fill="FFFFFF"/>
          <w:lang w:val="en-US" w:eastAsia="zh-CN"/>
        </w:rPr>
        <w:t>4个职能股室</w:t>
      </w:r>
      <w:r>
        <w:rPr>
          <w:rFonts w:hint="eastAsia" w:ascii="仿宋" w:hAnsi="仿宋" w:eastAsia="仿宋" w:cs="仿宋"/>
          <w:b w:val="0"/>
          <w:bCs w:val="0"/>
          <w:i w:val="0"/>
          <w:caps w:val="0"/>
          <w:color w:val="000000"/>
          <w:spacing w:val="0"/>
          <w:sz w:val="32"/>
          <w:szCs w:val="32"/>
          <w:shd w:val="clear" w:color="auto" w:fill="FFFFFF"/>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主要职能</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根据《邵阳县</w:t>
      </w:r>
      <w:r>
        <w:rPr>
          <w:rFonts w:hint="eastAsia" w:ascii="仿宋" w:hAnsi="仿宋" w:eastAsia="仿宋" w:cs="仿宋"/>
          <w:b w:val="0"/>
          <w:bCs/>
          <w:sz w:val="32"/>
          <w:szCs w:val="32"/>
          <w:lang w:eastAsia="zh-CN"/>
        </w:rPr>
        <w:t>妇女联合会</w:t>
      </w:r>
      <w:r>
        <w:rPr>
          <w:rFonts w:hint="eastAsia" w:ascii="仿宋" w:hAnsi="仿宋" w:eastAsia="仿宋" w:cs="仿宋"/>
          <w:b w:val="0"/>
          <w:bCs/>
          <w:sz w:val="32"/>
          <w:szCs w:val="32"/>
        </w:rPr>
        <w:t>主要职责内设机构和人员编制规定》规定，邵阳县</w:t>
      </w:r>
      <w:r>
        <w:rPr>
          <w:rFonts w:hint="eastAsia" w:ascii="仿宋" w:hAnsi="仿宋" w:eastAsia="仿宋" w:cs="仿宋"/>
          <w:b w:val="0"/>
          <w:bCs/>
          <w:sz w:val="32"/>
          <w:szCs w:val="32"/>
          <w:lang w:eastAsia="zh-CN"/>
        </w:rPr>
        <w:t>妇女联合会</w:t>
      </w:r>
      <w:r>
        <w:rPr>
          <w:rFonts w:hint="eastAsia" w:ascii="仿宋" w:hAnsi="仿宋" w:eastAsia="仿宋" w:cs="仿宋"/>
          <w:b w:val="0"/>
          <w:bCs/>
          <w:sz w:val="32"/>
          <w:szCs w:val="32"/>
        </w:rPr>
        <w:t>依法履行下列职能职责：</w:t>
      </w:r>
      <w:r>
        <w:rPr>
          <w:rFonts w:hint="eastAsia" w:ascii="仿宋" w:hAnsi="仿宋" w:eastAsia="仿宋" w:cs="仿宋"/>
          <w:b w:val="0"/>
          <w:bCs/>
          <w:sz w:val="32"/>
          <w:szCs w:val="32"/>
          <w:lang w:val="en-US" w:eastAsia="zh-CN"/>
        </w:rPr>
        <w:t xml:space="preserve">  </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)坚持正确的政治方向，团结、教育全县广大妇女以及各级妇女组织同党中央在思想上、政治上、行动上保持高度一致。</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)紧密围绕党和政府的中心任务开展工作，发挥组织、引导、服务、维护妇女群众的合法权益的作用，带领广大妇女积极投身和谐社会建设，促进经济发展和社会进步，为维护改革发展稳定的大局服务。</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宣传马克思主义妇女观和男女平等的思想，教育、引导广大妇女树立正确的世界观、人生观、价值观，弘扬“自尊、自信、自立、自强”的精神，表彰各类妇女先进典型，开展妇女职业技术培训和多层次的妇女干部培训，全面提高妇女干部素质，促进妇女人才成长。</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rPr>
        <w:t>)代表妇女参与国家和社会事务的民主管理和民主监督，促进妇女参政。调查研究涉及妇女儿童切身利益的热点、难点问题，及时向党和政府反映社情民意，提出对策建议；参与有关妇女儿童政策的拟定，努力从源头上维护妇女儿童合法权益。</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)坚持为妇女儿童服务、为基层服务，加强与社会各界的联系，协调推动全社会为妇女儿童办实事，促进妇女儿童事业的发展。</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6</w:t>
      </w:r>
      <w:r>
        <w:rPr>
          <w:rFonts w:hint="eastAsia" w:ascii="仿宋" w:hAnsi="仿宋" w:eastAsia="仿宋" w:cs="仿宋"/>
          <w:b w:val="0"/>
          <w:bCs/>
          <w:sz w:val="32"/>
          <w:szCs w:val="32"/>
        </w:rPr>
        <w:t>)指导乡镇、村级妇联和各县直单位妇委会依据《章程》、《条例》和妇女代表大会的任务，开展妇女儿童工作；加强与各界妇女的联系，争取发展与各地妇女的友好交往，增进友谊，加强合作。</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7</w:t>
      </w:r>
      <w:r>
        <w:rPr>
          <w:rFonts w:hint="eastAsia" w:ascii="仿宋" w:hAnsi="仿宋" w:eastAsia="仿宋" w:cs="仿宋"/>
          <w:b w:val="0"/>
          <w:bCs/>
          <w:sz w:val="32"/>
          <w:szCs w:val="32"/>
        </w:rPr>
        <w:t>)邵阳县妇女儿童工作委员会办公室的工作。贯彻落实国家、县妇女儿童发展规划，协助政府制定本县妇女儿童发展《规划》，组织协调并推进《规划》的实施。</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8</w:t>
      </w:r>
      <w:r>
        <w:rPr>
          <w:rFonts w:hint="eastAsia" w:ascii="仿宋" w:hAnsi="仿宋" w:eastAsia="仿宋" w:cs="仿宋"/>
          <w:b w:val="0"/>
          <w:bCs/>
          <w:sz w:val="32"/>
          <w:szCs w:val="32"/>
        </w:rPr>
        <w:t xml:space="preserve">)承办县委、县政府和上级妇联交办的有关事项。   </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（二）部门整体支出</w:t>
      </w:r>
      <w:r>
        <w:rPr>
          <w:rFonts w:hint="eastAsia" w:ascii="仿宋" w:hAnsi="仿宋" w:eastAsia="仿宋" w:cs="仿宋"/>
          <w:sz w:val="32"/>
          <w:szCs w:val="32"/>
          <w:lang w:eastAsia="zh-CN"/>
        </w:rPr>
        <w:t>用于部门基本经费支出和项目工作经费支出。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二、部门整体支出管理及使用情况</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（一）预算执行情况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1．预算执行方面，支出总额</w:t>
      </w:r>
      <w:r>
        <w:rPr>
          <w:rFonts w:hint="eastAsia" w:ascii="仿宋" w:hAnsi="仿宋" w:eastAsia="仿宋" w:cs="仿宋"/>
          <w:b w:val="0"/>
          <w:bCs/>
          <w:sz w:val="32"/>
          <w:szCs w:val="32"/>
          <w:lang w:val="en-US" w:eastAsia="zh-CN"/>
        </w:rPr>
        <w:t>低于</w:t>
      </w:r>
      <w:r>
        <w:rPr>
          <w:rFonts w:hint="eastAsia" w:ascii="仿宋" w:hAnsi="仿宋" w:eastAsia="仿宋" w:cs="仿宋"/>
          <w:b w:val="0"/>
          <w:bCs/>
          <w:sz w:val="32"/>
          <w:szCs w:val="32"/>
        </w:rPr>
        <w:t>预算，主要是人员</w:t>
      </w:r>
      <w:r>
        <w:rPr>
          <w:rFonts w:hint="eastAsia" w:ascii="仿宋" w:hAnsi="仿宋" w:eastAsia="仿宋" w:cs="仿宋"/>
          <w:b w:val="0"/>
          <w:bCs/>
          <w:sz w:val="32"/>
          <w:szCs w:val="32"/>
          <w:lang w:val="en-US" w:eastAsia="zh-CN"/>
        </w:rPr>
        <w:t>减少</w:t>
      </w: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工作经费减少</w:t>
      </w:r>
      <w:r>
        <w:rPr>
          <w:rFonts w:hint="eastAsia" w:ascii="仿宋" w:hAnsi="仿宋" w:eastAsia="仿宋" w:cs="仿宋"/>
          <w:b w:val="0"/>
          <w:bCs/>
          <w:sz w:val="32"/>
          <w:szCs w:val="32"/>
        </w:rPr>
        <w:t>；三公经费总额总体控制较好。</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sz w:val="32"/>
          <w:szCs w:val="32"/>
        </w:rPr>
      </w:pPr>
      <w:r>
        <w:rPr>
          <w:rFonts w:hint="eastAsia" w:ascii="仿宋" w:hAnsi="仿宋" w:eastAsia="仿宋" w:cs="仿宋"/>
          <w:b w:val="0"/>
          <w:bCs/>
          <w:sz w:val="32"/>
          <w:szCs w:val="32"/>
        </w:rPr>
        <w:t>2.预算管理方面，制度执行总体较为有效，仍需进一步强化；资金使用管理需进一步加强。</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（二）基本支出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（一）基本支出管理情况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w:t>
      </w:r>
      <w:r>
        <w:rPr>
          <w:rFonts w:hint="eastAsia" w:ascii="仿宋" w:hAnsi="仿宋" w:eastAsia="仿宋" w:cs="仿宋"/>
          <w:sz w:val="32"/>
          <w:szCs w:val="32"/>
          <w:lang w:eastAsia="zh-CN"/>
        </w:rPr>
        <w:t>会</w:t>
      </w:r>
      <w:r>
        <w:rPr>
          <w:rFonts w:hint="eastAsia" w:ascii="仿宋" w:hAnsi="仿宋" w:eastAsia="仿宋" w:cs="仿宋"/>
          <w:sz w:val="32"/>
          <w:szCs w:val="32"/>
        </w:rPr>
        <w:t>基本支出范围和主要用途包括</w:t>
      </w:r>
      <w:r>
        <w:rPr>
          <w:rFonts w:hint="eastAsia" w:ascii="仿宋" w:hAnsi="仿宋" w:eastAsia="仿宋" w:cs="仿宋"/>
          <w:sz w:val="32"/>
          <w:szCs w:val="32"/>
          <w:lang w:eastAsia="zh-CN"/>
        </w:rPr>
        <w:t>会</w:t>
      </w:r>
      <w:r>
        <w:rPr>
          <w:rFonts w:hint="eastAsia" w:ascii="仿宋" w:hAnsi="仿宋" w:eastAsia="仿宋" w:cs="仿宋"/>
          <w:sz w:val="32"/>
          <w:szCs w:val="32"/>
        </w:rPr>
        <w:t>本级人员经费和日常公用经费。具体包括：工资福利支出、对个人和家庭的补助、商品和服务支出、其他资本性支出。基本支出的管理和使用情况如下：</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1、基本支出总额</w:t>
      </w:r>
      <w:r>
        <w:rPr>
          <w:rFonts w:hint="eastAsia" w:ascii="仿宋" w:hAnsi="仿宋" w:eastAsia="仿宋" w:cs="仿宋"/>
          <w:sz w:val="32"/>
          <w:szCs w:val="32"/>
          <w:lang w:val="en-US" w:eastAsia="zh-CN"/>
        </w:rPr>
        <w:t>229.74</w:t>
      </w:r>
      <w:r>
        <w:rPr>
          <w:rFonts w:hint="eastAsia" w:ascii="仿宋" w:hAnsi="仿宋" w:eastAsia="仿宋" w:cs="仿宋"/>
          <w:sz w:val="32"/>
          <w:szCs w:val="32"/>
        </w:rPr>
        <w:t>万元，其中：工资福利支出</w:t>
      </w:r>
      <w:r>
        <w:rPr>
          <w:rFonts w:hint="eastAsia" w:ascii="仿宋" w:hAnsi="仿宋" w:eastAsia="仿宋" w:cs="仿宋"/>
          <w:sz w:val="32"/>
          <w:szCs w:val="32"/>
          <w:lang w:val="en-US" w:eastAsia="zh-CN"/>
        </w:rPr>
        <w:t>85.87</w:t>
      </w:r>
      <w:r>
        <w:rPr>
          <w:rFonts w:hint="eastAsia" w:ascii="仿宋" w:hAnsi="仿宋" w:eastAsia="仿宋" w:cs="仿宋"/>
          <w:sz w:val="32"/>
          <w:szCs w:val="32"/>
        </w:rPr>
        <w:t>万元；对个人和家庭的补助支出</w:t>
      </w:r>
      <w:r>
        <w:rPr>
          <w:rFonts w:hint="eastAsia" w:ascii="仿宋" w:hAnsi="仿宋" w:eastAsia="仿宋" w:cs="仿宋"/>
          <w:sz w:val="32"/>
          <w:szCs w:val="32"/>
          <w:lang w:val="en-US" w:eastAsia="zh-CN"/>
        </w:rPr>
        <w:t>85.57</w:t>
      </w:r>
      <w:r>
        <w:rPr>
          <w:rFonts w:hint="eastAsia" w:ascii="仿宋" w:hAnsi="仿宋" w:eastAsia="仿宋" w:cs="仿宋"/>
          <w:sz w:val="32"/>
          <w:szCs w:val="32"/>
        </w:rPr>
        <w:t>万元；商品和服务支出</w:t>
      </w:r>
      <w:r>
        <w:rPr>
          <w:rFonts w:hint="eastAsia" w:ascii="仿宋" w:hAnsi="仿宋" w:eastAsia="仿宋" w:cs="仿宋"/>
          <w:sz w:val="32"/>
          <w:szCs w:val="32"/>
          <w:lang w:val="en-US" w:eastAsia="zh-CN"/>
        </w:rPr>
        <w:t>54.24</w:t>
      </w:r>
      <w:r>
        <w:rPr>
          <w:rFonts w:hint="eastAsia" w:ascii="仿宋" w:hAnsi="仿宋" w:eastAsia="仿宋" w:cs="仿宋"/>
          <w:sz w:val="32"/>
          <w:szCs w:val="32"/>
        </w:rPr>
        <w:t>万元</w:t>
      </w:r>
      <w:r>
        <w:rPr>
          <w:rFonts w:hint="eastAsia" w:ascii="仿宋" w:hAnsi="仿宋" w:eastAsia="仿宋" w:cs="仿宋"/>
          <w:sz w:val="32"/>
          <w:szCs w:val="32"/>
          <w:lang w:eastAsia="zh-CN"/>
        </w:rPr>
        <w:t>，资本性支出</w:t>
      </w:r>
      <w:r>
        <w:rPr>
          <w:rFonts w:hint="eastAsia" w:ascii="仿宋" w:hAnsi="仿宋" w:eastAsia="仿宋" w:cs="仿宋"/>
          <w:sz w:val="32"/>
          <w:szCs w:val="32"/>
          <w:lang w:val="en-US" w:eastAsia="zh-CN"/>
        </w:rPr>
        <w:t>3.95万元</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2、“三公”经费支出使用和管理情况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本局“三公”经费各费用均控制在预算范围内，其中：因公出国出境经费支出</w:t>
      </w:r>
      <w:r>
        <w:rPr>
          <w:rFonts w:hint="eastAsia" w:ascii="仿宋" w:hAnsi="仿宋" w:eastAsia="仿宋" w:cs="仿宋"/>
          <w:sz w:val="32"/>
          <w:szCs w:val="32"/>
          <w:lang w:val="en-US" w:eastAsia="zh-CN"/>
        </w:rPr>
        <w:t>0万元</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0.3</w:t>
      </w:r>
      <w:r>
        <w:rPr>
          <w:rFonts w:hint="eastAsia" w:ascii="仿宋" w:hAnsi="仿宋" w:eastAsia="仿宋" w:cs="仿宋"/>
          <w:sz w:val="32"/>
          <w:szCs w:val="32"/>
        </w:rPr>
        <w:t>万元，车辆运行维护费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bookmarkStart w:id="0" w:name="_GoBack"/>
      <w:bookmarkEnd w:id="0"/>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四、资产管理情况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我会制定了</w:t>
      </w:r>
      <w:r>
        <w:rPr>
          <w:rFonts w:hint="eastAsia" w:ascii="仿宋" w:hAnsi="仿宋" w:eastAsia="仿宋" w:cs="仿宋"/>
          <w:sz w:val="32"/>
          <w:szCs w:val="32"/>
        </w:rPr>
        <w:t>《专项资金管理办法》</w:t>
      </w:r>
      <w:r>
        <w:rPr>
          <w:rFonts w:hint="eastAsia" w:ascii="仿宋" w:hAnsi="仿宋" w:eastAsia="仿宋" w:cs="仿宋"/>
          <w:sz w:val="32"/>
          <w:szCs w:val="32"/>
          <w:lang w:eastAsia="zh-CN"/>
        </w:rPr>
        <w:t>，固定资产按需配置，专人管理，按程序处置</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绩效评价工作情况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10101"/>
          <w:kern w:val="0"/>
          <w:sz w:val="32"/>
          <w:szCs w:val="32"/>
        </w:rPr>
        <w:t>根</w:t>
      </w:r>
      <w:r>
        <w:rPr>
          <w:rFonts w:hint="eastAsia" w:ascii="仿宋" w:hAnsi="仿宋" w:eastAsia="仿宋" w:cs="仿宋"/>
          <w:sz w:val="32"/>
          <w:szCs w:val="32"/>
        </w:rPr>
        <w:t>据</w:t>
      </w:r>
      <w:r>
        <w:rPr>
          <w:rFonts w:hint="eastAsia" w:ascii="仿宋" w:hAnsi="仿宋" w:eastAsia="仿宋" w:cs="仿宋"/>
          <w:sz w:val="32"/>
          <w:szCs w:val="32"/>
          <w:lang w:eastAsia="zh-CN"/>
        </w:rPr>
        <w:t>会</w:t>
      </w:r>
      <w:r>
        <w:rPr>
          <w:rFonts w:hint="eastAsia" w:ascii="仿宋" w:hAnsi="仿宋" w:eastAsia="仿宋" w:cs="仿宋"/>
          <w:sz w:val="32"/>
          <w:szCs w:val="32"/>
        </w:rPr>
        <w:t>年初工作规划和重点性工作，围绕县委、县政府全面建成小康社会的发展蓝图，积极履职，强化管理，较好的完成了年度工作目标。通过加强预算收支的管理，不断建立健全内部管理制度，理顺内部管理流程，部门整体支出管理情况得到了提升。部门整体支出绩效情况如下：</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（一）经济性评价</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预算执行方面，支出总额控制在预算总额以内；本年无转移资金支付，不存在截留或滞留专项资金情况。“三公”经费预算总额比上年减少。</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（二）行政效能评价</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为强化部门整体支出，加强国有资产管理，提高资金使用效益，提升财务管理，建立节约型机关，20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我</w:t>
      </w:r>
      <w:r>
        <w:rPr>
          <w:rFonts w:hint="eastAsia" w:ascii="仿宋" w:hAnsi="仿宋" w:eastAsia="仿宋" w:cs="仿宋"/>
          <w:sz w:val="32"/>
          <w:szCs w:val="32"/>
          <w:lang w:eastAsia="zh-CN"/>
        </w:rPr>
        <w:t>会</w:t>
      </w:r>
      <w:r>
        <w:rPr>
          <w:rFonts w:hint="eastAsia" w:ascii="仿宋" w:hAnsi="仿宋" w:eastAsia="仿宋" w:cs="仿宋"/>
          <w:sz w:val="32"/>
          <w:szCs w:val="32"/>
        </w:rPr>
        <w:t>在强化业务管理、财务管理和厉行节约方面开展了大量工作，行政效能显著。</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1、在原有相对健全的财务管理制度基础上，适时地、针对性的进行了相关制度的增补，制度的建立更为完善。</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如：《差旅费管理办法》、《财务报销管理规定》。</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2、重视制度的学习和宣讲工作，并已逐步形成了崇尚厉行节约反对浪费的机关文化。</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中央、湖南省人民政府下发的《党政机关厉行节约反对浪费条例》、《湖南省党政机关国内公务接待管理办法》、《关于厉行节约反对浪费的实施意见》、《关于党政机关停止新建楼堂馆所和清理办公用房的实施意见》、《关于贯彻落实中央纪委要求严禁公款购买印刷寄送贺年卡等物品的通知》等一系列文件精神，及时将上述文件精神在各室进行转发，并结合群众教育路线工作的开展，组织机关人员学习，将厉行节约反对浪费教育作为机关作风建设的重要内容，极大强化了机关厉行节约管理意识。</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3、建立了经费支出定期汇报和公示机制，经费支出的公开透明性得到提高。</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除按照财政要求对部门预算、“三公”经费进行例行公示外，根据经费支出情况，定期进行经费支出财务统计和分析，并及时向分管领导和绩效评价领导小组进行汇报，对经费支出的管理状况提出建设性的意见；使各项经费管理和监督发挥了较好的作用。</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4、严格执行了国库集中支付、公务卡结算制度、政府采购等有关规定，政府采购目录内的货物与服务全部按要求实施了政府采购，确保了支出管理流程、审批手续的完整。</w:t>
      </w:r>
    </w:p>
    <w:p>
      <w:pPr>
        <w:keepNext w:val="0"/>
        <w:keepLines w:val="0"/>
        <w:pageBreakBefore w:val="0"/>
        <w:kinsoku/>
        <w:wordWrap/>
        <w:overflowPunct/>
        <w:topLinePunct w:val="0"/>
        <w:autoSpaceDE/>
        <w:autoSpaceDN/>
        <w:bidi w:val="0"/>
        <w:adjustRightInd w:val="0"/>
        <w:snapToGrid w:val="0"/>
        <w:spacing w:line="60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5</w:t>
      </w:r>
      <w:r>
        <w:rPr>
          <w:rFonts w:hint="eastAsia" w:ascii="仿宋" w:hAnsi="仿宋" w:eastAsia="仿宋" w:cs="仿宋"/>
          <w:sz w:val="32"/>
          <w:szCs w:val="32"/>
        </w:rPr>
        <w:t>、加强了会计核算工作。根据新印发的《行政单位会计制度》，进行了全面系统的学习，按照新制度的要求，对财务管理软件进行优化升级，对相关科目的设置进行了补充和调整，提高了财务核算质量。</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六、综合评价情况及评价结论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我会加强预算配置管理，严控“三公经费”、重点支出安排合理、非税收入管理规范、按程序进行政府采购、管理制度健全、资金使用合规、预决算信息公开及时、资产管理有效、绩效管理达成目标、职责履行效果明显，综合自评得分96分。</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七、部门整体支出主要绩效</w:t>
      </w:r>
    </w:p>
    <w:p>
      <w:pPr>
        <w:spacing w:line="620" w:lineRule="exact"/>
        <w:ind w:firstLine="640" w:firstLineChars="200"/>
        <w:rPr>
          <w:rFonts w:ascii="仿宋_GB2312" w:eastAsia="仿宋_GB2312"/>
          <w:bCs/>
          <w:sz w:val="32"/>
          <w:szCs w:val="32"/>
        </w:rPr>
      </w:pPr>
      <w:r>
        <w:rPr>
          <w:rFonts w:hint="eastAsia" w:ascii="仿宋_GB2312" w:eastAsia="仿宋_GB2312"/>
          <w:bCs/>
          <w:sz w:val="32"/>
          <w:szCs w:val="32"/>
        </w:rPr>
        <w:t>今年以来，面对严峻复杂的经济形势，我</w:t>
      </w:r>
      <w:r>
        <w:rPr>
          <w:rFonts w:hint="eastAsia" w:ascii="仿宋_GB2312" w:eastAsia="仿宋_GB2312"/>
          <w:bCs/>
          <w:sz w:val="32"/>
          <w:szCs w:val="32"/>
          <w:lang w:eastAsia="zh-CN"/>
        </w:rPr>
        <w:t>会</w:t>
      </w:r>
      <w:r>
        <w:rPr>
          <w:rFonts w:hint="eastAsia" w:ascii="仿宋_GB2312" w:eastAsia="仿宋_GB2312"/>
          <w:bCs/>
          <w:sz w:val="32"/>
          <w:szCs w:val="32"/>
        </w:rPr>
        <w:t>紧紧围绕全县工作大局，狠抓三大攻坚战、项目建设、产业发展、优化环境、价格稳控等中心工作，</w:t>
      </w:r>
      <w:r>
        <w:rPr>
          <w:rFonts w:hint="eastAsia" w:ascii="仿宋_GB2312" w:eastAsia="仿宋_GB2312"/>
          <w:bCs/>
          <w:sz w:val="32"/>
          <w:szCs w:val="32"/>
          <w:lang w:eastAsia="zh-CN"/>
        </w:rPr>
        <w:t>合理运用财政资金，</w:t>
      </w:r>
      <w:r>
        <w:rPr>
          <w:rFonts w:hint="eastAsia" w:ascii="仿宋_GB2312" w:eastAsia="仿宋_GB2312"/>
          <w:bCs/>
          <w:sz w:val="32"/>
          <w:szCs w:val="32"/>
        </w:rPr>
        <w:t>为县域经济社会发展稳定持续发展做出了积极贡献。</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八、存在的问题</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资产清查盘点未能及时进行，可能存在资产盘亏情况</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九、改进措施和有关建议</w:t>
      </w:r>
    </w:p>
    <w:p>
      <w:pPr>
        <w:adjustRightInd w:val="0"/>
        <w:snapToGrid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改进措施：及时对资产进行清查盘点，进一步规范资产管理</w:t>
      </w:r>
    </w:p>
    <w:p>
      <w:pPr>
        <w:adjustRightInd w:val="0"/>
        <w:snapToGrid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建议：建议财政部门根据我单位实际，将相关项目经费纳入财政预算，以保证相关工作顺利运行。</w:t>
      </w:r>
    </w:p>
    <w:p>
      <w:pPr>
        <w:widowControl/>
        <w:jc w:val="both"/>
        <w:rPr>
          <w:rFonts w:hint="eastAsia" w:ascii="宋体" w:hAnsi="宋体" w:cs="宋体"/>
          <w:bCs/>
          <w:kern w:val="0"/>
          <w:sz w:val="32"/>
          <w:szCs w:val="32"/>
        </w:rPr>
      </w:pPr>
      <w:r>
        <w:rPr>
          <w:rFonts w:hint="eastAsia" w:ascii="黑体" w:hAnsi="宋体" w:eastAsia="黑体" w:cs="宋体"/>
          <w:kern w:val="0"/>
          <w:sz w:val="32"/>
          <w:szCs w:val="32"/>
        </w:rPr>
        <w:t>附件1</w:t>
      </w:r>
      <w:r>
        <w:rPr>
          <w:rFonts w:ascii="黑体" w:hAnsi="宋体" w:eastAsia="黑体" w:cs="宋体"/>
          <w:kern w:val="0"/>
          <w:sz w:val="32"/>
          <w:szCs w:val="32"/>
        </w:rPr>
        <w:tab/>
      </w:r>
      <w:r>
        <w:rPr>
          <w:rFonts w:ascii="宋体" w:hAnsi="宋体" w:cs="宋体"/>
          <w:kern w:val="0"/>
          <w:sz w:val="32"/>
          <w:szCs w:val="32"/>
        </w:rPr>
        <w:tab/>
      </w:r>
      <w:r>
        <w:rPr>
          <w:rFonts w:hint="eastAsia" w:ascii="宋体" w:hAnsi="宋体" w:cs="宋体"/>
          <w:bCs/>
          <w:kern w:val="0"/>
          <w:sz w:val="32"/>
          <w:szCs w:val="32"/>
        </w:rPr>
        <w:t>部门整体支出绩效评价指标评分表</w:t>
      </w:r>
    </w:p>
    <w:tbl>
      <w:tblPr>
        <w:tblStyle w:val="5"/>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7" w:hRule="atLeast"/>
          <w:tblHeader/>
          <w:jc w:val="center"/>
        </w:trPr>
        <w:tc>
          <w:tcPr>
            <w:tcW w:w="411" w:type="dxa"/>
            <w:vAlign w:val="center"/>
          </w:tcPr>
          <w:p>
            <w:pPr>
              <w:widowControl/>
              <w:jc w:val="left"/>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411" w:type="dxa"/>
            <w:vMerge w:val="restart"/>
            <w:textDirection w:val="tbRlV"/>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19</w:t>
            </w: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财政供养人员</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以100%为标准。在职人员控制率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100%，计1分；每超过一个百分点扣0.1分，扣完为止。</w:t>
            </w:r>
          </w:p>
        </w:tc>
        <w:tc>
          <w:tcPr>
            <w:tcW w:w="3472" w:type="dxa"/>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在职人员控制率=（在职人员数/编制数）×100%，在职人员数：部门（单位）实际在职人数，以财政部门</w:t>
            </w:r>
            <w:r>
              <w:rPr>
                <w:rFonts w:ascii="仿宋_GB2312" w:hAnsi="宋体" w:eastAsia="仿宋_GB2312" w:cs="宋体"/>
                <w:kern w:val="0"/>
                <w:sz w:val="20"/>
                <w:szCs w:val="20"/>
              </w:rPr>
              <w:t>201</w:t>
            </w:r>
            <w:r>
              <w:rPr>
                <w:rFonts w:hint="eastAsia" w:ascii="仿宋_GB2312" w:hAnsi="宋体" w:eastAsia="仿宋_GB2312" w:cs="宋体"/>
                <w:kern w:val="0"/>
                <w:sz w:val="20"/>
                <w:szCs w:val="20"/>
              </w:rPr>
              <w:t>6年决算编制数为准。编制数：机构编制部门核定批复的部门（单位）的人员编制数。</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11" w:type="dxa"/>
            <w:vMerge w:val="continue"/>
            <w:vAlign w:val="top"/>
          </w:tcPr>
          <w:p>
            <w:pPr>
              <w:widowControl/>
              <w:jc w:val="left"/>
              <w:rPr>
                <w:rFonts w:hint="eastAsia" w:ascii="仿宋_GB2312" w:hAnsi="宋体" w:eastAsia="仿宋_GB2312" w:cs="宋体"/>
                <w:kern w:val="0"/>
                <w:sz w:val="20"/>
                <w:szCs w:val="20"/>
              </w:rPr>
            </w:pPr>
          </w:p>
        </w:tc>
        <w:tc>
          <w:tcPr>
            <w:tcW w:w="429" w:type="dxa"/>
            <w:vMerge w:val="continue"/>
            <w:vAlign w:val="top"/>
          </w:tcPr>
          <w:p>
            <w:pPr>
              <w:widowControl/>
              <w:jc w:val="left"/>
              <w:rPr>
                <w:rFonts w:hint="eastAsia" w:ascii="仿宋_GB2312" w:hAnsi="宋体" w:eastAsia="仿宋_GB2312" w:cs="宋体"/>
                <w:kern w:val="0"/>
                <w:sz w:val="20"/>
                <w:szCs w:val="20"/>
              </w:rPr>
            </w:pPr>
          </w:p>
        </w:tc>
        <w:tc>
          <w:tcPr>
            <w:tcW w:w="567" w:type="dxa"/>
            <w:vMerge w:val="continue"/>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411" w:type="dxa"/>
            <w:vMerge w:val="continue"/>
            <w:vAlign w:val="top"/>
          </w:tcPr>
          <w:p>
            <w:pPr>
              <w:widowControl/>
              <w:jc w:val="left"/>
              <w:rPr>
                <w:rFonts w:hint="eastAsia" w:ascii="仿宋_GB2312" w:hAnsi="宋体" w:eastAsia="仿宋_GB2312" w:cs="宋体"/>
                <w:kern w:val="0"/>
                <w:sz w:val="20"/>
                <w:szCs w:val="20"/>
              </w:rPr>
            </w:pPr>
          </w:p>
        </w:tc>
        <w:tc>
          <w:tcPr>
            <w:tcW w:w="429" w:type="dxa"/>
            <w:vMerge w:val="continue"/>
            <w:vAlign w:val="top"/>
          </w:tcPr>
          <w:p>
            <w:pPr>
              <w:widowControl/>
              <w:jc w:val="left"/>
              <w:rPr>
                <w:rFonts w:hint="eastAsia" w:ascii="仿宋_GB2312" w:hAnsi="宋体" w:eastAsia="仿宋_GB2312" w:cs="宋体"/>
                <w:kern w:val="0"/>
                <w:sz w:val="20"/>
                <w:szCs w:val="20"/>
              </w:rPr>
            </w:pPr>
          </w:p>
        </w:tc>
        <w:tc>
          <w:tcPr>
            <w:tcW w:w="567" w:type="dxa"/>
            <w:vMerge w:val="continue"/>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vAlign w:val="top"/>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411" w:type="dxa"/>
            <w:vMerge w:val="continue"/>
            <w:vAlign w:val="top"/>
          </w:tcPr>
          <w:p>
            <w:pPr>
              <w:widowControl/>
              <w:jc w:val="left"/>
              <w:rPr>
                <w:rFonts w:hint="eastAsia" w:ascii="仿宋_GB2312" w:hAnsi="宋体" w:eastAsia="仿宋_GB2312" w:cs="宋体"/>
                <w:kern w:val="0"/>
                <w:sz w:val="20"/>
                <w:szCs w:val="20"/>
              </w:rPr>
            </w:pPr>
          </w:p>
        </w:tc>
        <w:tc>
          <w:tcPr>
            <w:tcW w:w="429" w:type="dxa"/>
            <w:vMerge w:val="continue"/>
            <w:vAlign w:val="top"/>
          </w:tcPr>
          <w:p>
            <w:pPr>
              <w:widowControl/>
              <w:jc w:val="left"/>
              <w:rPr>
                <w:rFonts w:hint="eastAsia" w:ascii="仿宋_GB2312" w:hAnsi="宋体" w:eastAsia="仿宋_GB2312" w:cs="宋体"/>
                <w:kern w:val="0"/>
                <w:sz w:val="20"/>
                <w:szCs w:val="20"/>
              </w:rPr>
            </w:pPr>
          </w:p>
        </w:tc>
        <w:tc>
          <w:tcPr>
            <w:tcW w:w="567" w:type="dxa"/>
            <w:vMerge w:val="continue"/>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11" w:type="dxa"/>
            <w:vMerge w:val="continue"/>
            <w:vAlign w:val="top"/>
          </w:tcPr>
          <w:p>
            <w:pPr>
              <w:widowControl/>
              <w:jc w:val="left"/>
              <w:rPr>
                <w:rFonts w:hint="eastAsia" w:ascii="仿宋_GB2312" w:hAnsi="宋体" w:eastAsia="仿宋_GB2312" w:cs="宋体"/>
                <w:kern w:val="0"/>
                <w:sz w:val="20"/>
                <w:szCs w:val="20"/>
              </w:rPr>
            </w:pPr>
          </w:p>
        </w:tc>
        <w:tc>
          <w:tcPr>
            <w:tcW w:w="429" w:type="dxa"/>
            <w:vMerge w:val="continue"/>
            <w:vAlign w:val="top"/>
          </w:tcPr>
          <w:p>
            <w:pPr>
              <w:widowControl/>
              <w:jc w:val="left"/>
              <w:rPr>
                <w:rFonts w:hint="eastAsia" w:ascii="仿宋_GB2312" w:hAnsi="宋体" w:eastAsia="仿宋_GB2312" w:cs="宋体"/>
                <w:kern w:val="0"/>
                <w:sz w:val="20"/>
                <w:szCs w:val="20"/>
              </w:rPr>
            </w:pPr>
          </w:p>
        </w:tc>
        <w:tc>
          <w:tcPr>
            <w:tcW w:w="567" w:type="dxa"/>
            <w:vMerge w:val="continue"/>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1" w:type="dxa"/>
            <w:vMerge w:val="continue"/>
            <w:vAlign w:val="top"/>
          </w:tcPr>
          <w:p>
            <w:pPr>
              <w:widowControl/>
              <w:jc w:val="left"/>
              <w:rPr>
                <w:rFonts w:hint="eastAsia" w:ascii="仿宋_GB2312" w:hAnsi="宋体" w:eastAsia="仿宋_GB2312" w:cs="宋体"/>
                <w:kern w:val="0"/>
                <w:sz w:val="20"/>
                <w:szCs w:val="20"/>
              </w:rPr>
            </w:pPr>
          </w:p>
        </w:tc>
        <w:tc>
          <w:tcPr>
            <w:tcW w:w="429" w:type="dxa"/>
            <w:vMerge w:val="continue"/>
            <w:vAlign w:val="top"/>
          </w:tcPr>
          <w:p>
            <w:pPr>
              <w:widowControl/>
              <w:jc w:val="left"/>
              <w:rPr>
                <w:rFonts w:hint="eastAsia" w:ascii="仿宋_GB2312" w:hAnsi="宋体" w:eastAsia="仿宋_GB2312" w:cs="宋体"/>
                <w:kern w:val="0"/>
                <w:sz w:val="20"/>
                <w:szCs w:val="20"/>
              </w:rPr>
            </w:pPr>
          </w:p>
        </w:tc>
        <w:tc>
          <w:tcPr>
            <w:tcW w:w="567" w:type="dxa"/>
            <w:vMerge w:val="continue"/>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11" w:type="dxa"/>
            <w:vMerge w:val="continue"/>
            <w:vAlign w:val="top"/>
          </w:tcPr>
          <w:p>
            <w:pPr>
              <w:widowControl/>
              <w:jc w:val="left"/>
              <w:rPr>
                <w:rFonts w:hint="eastAsia" w:ascii="仿宋_GB2312" w:hAnsi="宋体" w:eastAsia="仿宋_GB2312" w:cs="宋体"/>
                <w:kern w:val="0"/>
                <w:sz w:val="20"/>
                <w:szCs w:val="20"/>
              </w:rPr>
            </w:pPr>
          </w:p>
        </w:tc>
        <w:tc>
          <w:tcPr>
            <w:tcW w:w="429" w:type="dxa"/>
            <w:vMerge w:val="continue"/>
            <w:vAlign w:val="top"/>
          </w:tcPr>
          <w:p>
            <w:pPr>
              <w:widowControl/>
              <w:jc w:val="left"/>
              <w:rPr>
                <w:rFonts w:hint="eastAsia" w:ascii="仿宋_GB2312" w:hAnsi="宋体" w:eastAsia="仿宋_GB2312" w:cs="宋体"/>
                <w:kern w:val="0"/>
                <w:sz w:val="20"/>
                <w:szCs w:val="20"/>
              </w:rPr>
            </w:pPr>
          </w:p>
        </w:tc>
        <w:tc>
          <w:tcPr>
            <w:tcW w:w="567" w:type="dxa"/>
            <w:vMerge w:val="continue"/>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重点项目支出：县政府确定的为民办实事和部门重点工程与重点工作支出。项目总支出：部门（单位）年度预算安排的项目支出总额。</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411" w:type="dxa"/>
            <w:vMerge w:val="continue"/>
            <w:vAlign w:val="top"/>
          </w:tcPr>
          <w:p>
            <w:pPr>
              <w:widowControl/>
              <w:jc w:val="left"/>
              <w:rPr>
                <w:rFonts w:hint="eastAsia" w:ascii="仿宋_GB2312" w:hAnsi="宋体" w:eastAsia="仿宋_GB2312" w:cs="宋体"/>
                <w:kern w:val="0"/>
                <w:sz w:val="20"/>
                <w:szCs w:val="20"/>
              </w:rPr>
            </w:pPr>
          </w:p>
        </w:tc>
        <w:tc>
          <w:tcPr>
            <w:tcW w:w="429" w:type="dxa"/>
            <w:vMerge w:val="continue"/>
            <w:vAlign w:val="top"/>
          </w:tcPr>
          <w:p>
            <w:pPr>
              <w:widowControl/>
              <w:jc w:val="left"/>
              <w:rPr>
                <w:rFonts w:hint="eastAsia" w:ascii="仿宋_GB2312" w:hAnsi="宋体" w:eastAsia="仿宋_GB2312" w:cs="宋体"/>
                <w:kern w:val="0"/>
                <w:sz w:val="20"/>
                <w:szCs w:val="20"/>
              </w:rPr>
            </w:pPr>
          </w:p>
        </w:tc>
        <w:tc>
          <w:tcPr>
            <w:tcW w:w="567" w:type="dxa"/>
            <w:vMerge w:val="continue"/>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vAlign w:val="top"/>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vAlign w:val="top"/>
          </w:tcPr>
          <w:p>
            <w:pPr>
              <w:widowControl/>
              <w:jc w:val="left"/>
              <w:rPr>
                <w:rFonts w:hint="eastAsia" w:ascii="仿宋_GB2312" w:hAnsi="宋体" w:eastAsia="仿宋_GB2312" w:cs="宋体"/>
                <w:kern w:val="0"/>
                <w:sz w:val="20"/>
                <w:szCs w:val="20"/>
              </w:rPr>
            </w:pPr>
          </w:p>
        </w:tc>
        <w:tc>
          <w:tcPr>
            <w:tcW w:w="429" w:type="dxa"/>
            <w:vMerge w:val="continue"/>
            <w:vAlign w:val="top"/>
          </w:tcPr>
          <w:p>
            <w:pPr>
              <w:widowControl/>
              <w:jc w:val="left"/>
              <w:rPr>
                <w:rFonts w:hint="eastAsia" w:ascii="仿宋_GB2312" w:hAnsi="宋体" w:eastAsia="仿宋_GB2312" w:cs="宋体"/>
                <w:kern w:val="0"/>
                <w:sz w:val="20"/>
                <w:szCs w:val="20"/>
              </w:rPr>
            </w:pPr>
          </w:p>
        </w:tc>
        <w:tc>
          <w:tcPr>
            <w:tcW w:w="567" w:type="dxa"/>
            <w:vMerge w:val="continue"/>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ascii="仿宋_GB2312" w:hAnsi="宋体" w:eastAsia="仿宋_GB2312" w:cs="宋体"/>
                <w:kern w:val="0"/>
                <w:sz w:val="20"/>
                <w:szCs w:val="20"/>
              </w:rPr>
              <w:t>201</w:t>
            </w:r>
            <w:r>
              <w:rPr>
                <w:rFonts w:hint="eastAsia" w:ascii="仿宋_GB2312" w:hAnsi="宋体" w:eastAsia="仿宋_GB2312" w:cs="宋体"/>
                <w:kern w:val="0"/>
                <w:sz w:val="20"/>
                <w:szCs w:val="20"/>
              </w:rPr>
              <w:t>6年度非税实际收入完成数/</w:t>
            </w:r>
            <w:r>
              <w:rPr>
                <w:rFonts w:ascii="仿宋_GB2312" w:hAnsi="宋体" w:eastAsia="仿宋_GB2312" w:cs="宋体"/>
                <w:kern w:val="0"/>
                <w:sz w:val="20"/>
                <w:szCs w:val="20"/>
              </w:rPr>
              <w:t>201</w:t>
            </w:r>
            <w:r>
              <w:rPr>
                <w:rFonts w:hint="eastAsia" w:ascii="仿宋_GB2312" w:hAnsi="宋体" w:eastAsia="仿宋_GB2312" w:cs="宋体"/>
                <w:kern w:val="0"/>
                <w:sz w:val="20"/>
                <w:szCs w:val="20"/>
              </w:rPr>
              <w:t>6年度非税收入预算数）×100%，有减免因素的，以非税局确定的为准。</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jc w:val="center"/>
        </w:trPr>
        <w:tc>
          <w:tcPr>
            <w:tcW w:w="411" w:type="dxa"/>
            <w:vMerge w:val="restart"/>
            <w:textDirection w:val="tbRlV"/>
            <w:vAlign w:val="top"/>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调整率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预算调整率=0，计2分；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0-20%（含），计1分；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大于20%不得分。</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调整率=（预算调整数/预算数）×100%。预算调整数：部门（单位）在本年度内涉及预算的追加、追减或结构调整的资金总和（因落实国家政策，发生不可抗力、上级部门或本级党委政府临时交办而产生的调整除外）。</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411" w:type="dxa"/>
            <w:vMerge w:val="continue"/>
            <w:vAlign w:val="top"/>
          </w:tcPr>
          <w:p>
            <w:pPr>
              <w:rPr>
                <w:rFonts w:hint="eastAsia" w:ascii="仿宋_GB2312" w:hAnsi="宋体" w:eastAsia="仿宋_GB2312" w:cs="宋体"/>
                <w:kern w:val="0"/>
                <w:sz w:val="20"/>
                <w:szCs w:val="20"/>
              </w:rPr>
            </w:pPr>
          </w:p>
        </w:tc>
        <w:tc>
          <w:tcPr>
            <w:tcW w:w="429" w:type="dxa"/>
            <w:vMerge w:val="continue"/>
            <w:tcBorders>
              <w:right w:val="single" w:color="auto" w:sz="4" w:space="0"/>
            </w:tcBorders>
            <w:vAlign w:val="top"/>
          </w:tcPr>
          <w:p>
            <w:pPr>
              <w:widowControl/>
              <w:jc w:val="left"/>
              <w:rPr>
                <w:rFonts w:hint="eastAsia" w:ascii="仿宋_GB2312" w:hAnsi="宋体" w:eastAsia="仿宋_GB2312" w:cs="宋体"/>
                <w:kern w:val="0"/>
                <w:sz w:val="20"/>
                <w:szCs w:val="20"/>
              </w:rPr>
            </w:pPr>
          </w:p>
        </w:tc>
        <w:tc>
          <w:tcPr>
            <w:tcW w:w="567" w:type="dxa"/>
            <w:vMerge w:val="continue"/>
            <w:tcBorders>
              <w:left w:val="single" w:color="auto" w:sz="4" w:space="0"/>
            </w:tcBorders>
            <w:vAlign w:val="top"/>
          </w:tcPr>
          <w:p>
            <w:pPr>
              <w:widowControl/>
              <w:jc w:val="left"/>
              <w:rPr>
                <w:rFonts w:hint="eastAsia" w:ascii="仿宋_GB2312" w:hAnsi="宋体" w:eastAsia="仿宋_GB2312" w:cs="宋体"/>
                <w:kern w:val="0"/>
                <w:sz w:val="20"/>
                <w:szCs w:val="20"/>
              </w:rPr>
            </w:pPr>
          </w:p>
        </w:tc>
        <w:tc>
          <w:tcPr>
            <w:tcW w:w="851" w:type="dxa"/>
            <w:vAlign w:val="center"/>
          </w:tcPr>
          <w:p>
            <w:pPr>
              <w:autoSpaceDN w:val="0"/>
              <w:jc w:val="center"/>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p>
            <w:pPr>
              <w:widowControl/>
              <w:jc w:val="center"/>
              <w:rPr>
                <w:rFonts w:hint="eastAsia" w:ascii="仿宋_GB2312" w:hAnsi="宋体" w:eastAsia="仿宋_GB2312" w:cs="宋体"/>
                <w:kern w:val="0"/>
                <w:sz w:val="20"/>
                <w:szCs w:val="20"/>
              </w:rPr>
            </w:pP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pPr>
              <w:autoSpaceDN w:val="0"/>
              <w:jc w:val="center"/>
              <w:textAlignment w:val="center"/>
              <w:rPr>
                <w:rFonts w:hint="eastAsia" w:ascii="仿宋_GB2312" w:hAnsi="宋体" w:eastAsia="仿宋_GB2312" w:cs="宋体"/>
                <w:kern w:val="0"/>
                <w:sz w:val="20"/>
                <w:szCs w:val="20"/>
              </w:rPr>
            </w:pPr>
          </w:p>
        </w:tc>
        <w:tc>
          <w:tcPr>
            <w:tcW w:w="3472" w:type="dxa"/>
            <w:vAlign w:val="center"/>
          </w:tcPr>
          <w:p>
            <w:pPr>
              <w:autoSpaceDN w:val="0"/>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tcBorders>
              <w:bottom w:val="single" w:color="auto" w:sz="4" w:space="0"/>
            </w:tcBorders>
            <w:vAlign w:val="center"/>
          </w:tcPr>
          <w:p>
            <w:pPr>
              <w:widowControl/>
              <w:jc w:val="center"/>
              <w:rPr>
                <w:rFonts w:hint="eastAsia" w:ascii="宋体" w:hAnsi="宋体" w:cs="宋体"/>
                <w:kern w:val="0"/>
                <w:sz w:val="24"/>
              </w:rPr>
            </w:pPr>
          </w:p>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411" w:type="dxa"/>
            <w:vMerge w:val="continue"/>
            <w:vAlign w:val="top"/>
          </w:tcPr>
          <w:p>
            <w:pPr>
              <w:rPr>
                <w:rFonts w:ascii="仿宋_GB2312" w:hAnsi="宋体" w:eastAsia="仿宋_GB2312" w:cs="宋体"/>
                <w:kern w:val="0"/>
                <w:sz w:val="20"/>
                <w:szCs w:val="20"/>
              </w:rPr>
            </w:pPr>
          </w:p>
        </w:tc>
        <w:tc>
          <w:tcPr>
            <w:tcW w:w="429" w:type="dxa"/>
            <w:vMerge w:val="continue"/>
            <w:tcBorders>
              <w:right w:val="single" w:color="auto" w:sz="4" w:space="0"/>
            </w:tcBorders>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vAlign w:val="top"/>
          </w:tcPr>
          <w:p>
            <w:pPr>
              <w:jc w:val="center"/>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411" w:type="dxa"/>
            <w:vMerge w:val="continue"/>
            <w:vAlign w:val="top"/>
          </w:tcPr>
          <w:p>
            <w:pPr>
              <w:rPr>
                <w:rFonts w:ascii="仿宋_GB2312" w:hAnsi="宋体" w:eastAsia="仿宋_GB2312" w:cs="宋体"/>
                <w:kern w:val="0"/>
                <w:sz w:val="20"/>
                <w:szCs w:val="20"/>
              </w:rPr>
            </w:pPr>
          </w:p>
        </w:tc>
        <w:tc>
          <w:tcPr>
            <w:tcW w:w="429" w:type="dxa"/>
            <w:vMerge w:val="continue"/>
            <w:tcBorders>
              <w:right w:val="single" w:color="auto" w:sz="4" w:space="0"/>
            </w:tcBorders>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vAlign w:val="top"/>
          </w:tcPr>
          <w:p>
            <w:pPr>
              <w:jc w:val="center"/>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vAlign w:val="top"/>
          </w:tcPr>
          <w:p>
            <w:pP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top"/>
          </w:tcPr>
          <w:p>
            <w:pPr>
              <w:widowControl/>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jc w:val="center"/>
        </w:trPr>
        <w:tc>
          <w:tcPr>
            <w:tcW w:w="411" w:type="dxa"/>
            <w:vMerge w:val="continue"/>
            <w:vAlign w:val="top"/>
          </w:tcPr>
          <w:p>
            <w:pPr>
              <w:widowControl/>
              <w:jc w:val="left"/>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24</w:t>
            </w:r>
          </w:p>
        </w:tc>
        <w:tc>
          <w:tcPr>
            <w:tcW w:w="851" w:type="dxa"/>
            <w:tcBorders>
              <w:top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center"/>
              <w:rPr>
                <w:rFonts w:hint="eastAsia" w:ascii="仿宋_GB2312" w:hAnsi="宋体" w:eastAsia="仿宋_GB2312" w:cs="宋体"/>
                <w:kern w:val="0"/>
                <w:sz w:val="20"/>
                <w:szCs w:val="20"/>
              </w:rPr>
            </w:pPr>
          </w:p>
        </w:tc>
        <w:tc>
          <w:tcPr>
            <w:tcW w:w="3118" w:type="dxa"/>
            <w:tcBorders>
              <w:top w:val="single" w:color="auto" w:sz="4" w:space="0"/>
            </w:tcBorders>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②会计人员继续教育，1分；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11" w:type="dxa"/>
            <w:vMerge w:val="continue"/>
            <w:tcBorders>
              <w:top w:val="nil"/>
            </w:tcBorders>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top"/>
          </w:tcPr>
          <w:p>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top"/>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3118" w:type="dxa"/>
            <w:vAlign w:val="top"/>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2分；②按规定时限公开预决算信息，1.5分；③基础数据信息和会计信息资料真实，0.5分；④基础数据信息和会计信息资料完整，0.5分；⑤基础数据信息和汇集信息资料准确，0.5分。                                            </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vAlign w:val="center"/>
          </w:tcPr>
          <w:p>
            <w:pPr>
              <w:widowControl/>
              <w:jc w:val="left"/>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vAlign w:val="top"/>
          </w:tcPr>
          <w:p>
            <w:pPr>
              <w:widowControl/>
              <w:jc w:val="left"/>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w:t>
            </w:r>
            <w:r>
              <w:rPr>
                <w:rFonts w:hint="eastAsia" w:ascii="微软雅黑" w:hAnsi="微软雅黑" w:eastAsia="微软雅黑" w:cs="宋体"/>
                <w:kern w:val="0"/>
                <w:sz w:val="20"/>
                <w:szCs w:val="20"/>
              </w:rPr>
              <w:t>⑨未</w:t>
            </w:r>
            <w:r>
              <w:rPr>
                <w:rFonts w:hint="eastAsia" w:ascii="仿宋_GB2312" w:hAnsi="宋体" w:eastAsia="仿宋_GB2312" w:cs="宋体"/>
                <w:kern w:val="0"/>
                <w:sz w:val="20"/>
                <w:szCs w:val="20"/>
              </w:rPr>
              <w:t>按时报送2016年行政事业单位资产报表的，每延迟一天，扣1分，扣完为止。</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p>
            <w:pPr>
              <w:widowControl/>
              <w:rPr>
                <w:rFonts w:hint="eastAsia" w:ascii="仿宋_GB2312" w:hAnsi="宋体" w:eastAsia="仿宋_GB2312" w:cs="宋体"/>
                <w:kern w:val="0"/>
                <w:sz w:val="20"/>
                <w:szCs w:val="20"/>
              </w:rPr>
            </w:pP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vAlign w:val="top"/>
          </w:tcPr>
          <w:p>
            <w:pPr>
              <w:widowControl/>
              <w:jc w:val="left"/>
              <w:rPr>
                <w:rFonts w:hint="eastAsia" w:ascii="仿宋_GB2312" w:hAnsi="宋体" w:eastAsia="仿宋_GB2312" w:cs="宋体"/>
                <w:kern w:val="0"/>
                <w:sz w:val="20"/>
                <w:szCs w:val="20"/>
              </w:rPr>
            </w:pPr>
          </w:p>
        </w:tc>
        <w:tc>
          <w:tcPr>
            <w:tcW w:w="851" w:type="dxa"/>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vAlign w:val="top"/>
          </w:tcPr>
          <w:p>
            <w:pPr>
              <w:widowControl/>
              <w:jc w:val="left"/>
              <w:rPr>
                <w:rFonts w:ascii="仿宋_GB2312" w:hAnsi="宋体" w:eastAsia="仿宋_GB2312" w:cs="宋体"/>
                <w:kern w:val="0"/>
                <w:sz w:val="20"/>
                <w:szCs w:val="20"/>
              </w:rPr>
            </w:pPr>
          </w:p>
        </w:tc>
        <w:tc>
          <w:tcPr>
            <w:tcW w:w="429" w:type="dxa"/>
            <w:vMerge w:val="restart"/>
            <w:tcBorders>
              <w:righ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资金均实行目标管理的，2分,每少一个专项扣1分，扣完为止；②资金在10万（含）以上的项目资金实行目标管理的，2分，每少一个项目扣1分，扣完为止；③编制并报送2016年度财政项目预算绩效目标的，2分；④在规定时间内报送以上目标的，1分，否则不得分。</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《邵阳县财政局关于报送2017年县直部门财政项目预算绩效目标的通知》（邵财绩〔2016〕6号）</w:t>
            </w:r>
          </w:p>
          <w:p>
            <w:pPr>
              <w:widowControl/>
              <w:rPr>
                <w:rFonts w:hint="eastAsia" w:ascii="仿宋_GB2312" w:hAnsi="宋体" w:eastAsia="仿宋_GB2312" w:cs="宋体"/>
                <w:kern w:val="0"/>
                <w:sz w:val="20"/>
                <w:szCs w:val="20"/>
              </w:rPr>
            </w:pP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top"/>
          </w:tcPr>
          <w:p>
            <w:pPr>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vAlign w:val="top"/>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开展2017年度专项资金绩效自评的，2分，每少一个专项资金的自评扣1分，扣完为止；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开展2017年度已完工项目绩效自评的，2分，每少一个项目扣1分，扣完为止；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开展2017年度部门整体支出绩效自评的，2分；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在规定时间内报送以上自评报告材料的，1分。</w:t>
            </w:r>
          </w:p>
        </w:tc>
        <w:tc>
          <w:tcPr>
            <w:tcW w:w="3472" w:type="dxa"/>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1.《邵阳县财政局关于做好2017年度部门整体支出绩效自评工作的通知》（邵财绩〔2017〕5号）</w:t>
            </w:r>
          </w:p>
          <w:p>
            <w:pPr>
              <w:widowControl/>
              <w:rPr>
                <w:rFonts w:hint="eastAsia" w:ascii="仿宋_GB2312" w:hAnsi="宋体" w:eastAsia="仿宋_GB2312" w:cs="宋体"/>
                <w:kern w:val="0"/>
                <w:sz w:val="20"/>
                <w:szCs w:val="20"/>
              </w:rPr>
            </w:pP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vAlign w:val="top"/>
          </w:tcPr>
          <w:p>
            <w:pPr>
              <w:widowControl/>
              <w:jc w:val="left"/>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vAlign w:val="top"/>
          </w:tcPr>
          <w:p>
            <w:pPr>
              <w:jc w:val="left"/>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hint="eastAsia" w:ascii="仿宋" w:hAnsi="仿宋" w:eastAsia="仿宋" w:cs="宋体"/>
                <w:sz w:val="20"/>
                <w:szCs w:val="20"/>
              </w:rPr>
            </w:pPr>
            <w:r>
              <w:rPr>
                <w:rFonts w:hint="eastAsia" w:ascii="仿宋_GB2312" w:hAnsi="宋体" w:eastAsia="仿宋_GB2312" w:cs="宋体"/>
                <w:kern w:val="0"/>
                <w:sz w:val="20"/>
                <w:szCs w:val="20"/>
              </w:rPr>
              <w:t>根据2017年度财政重点绩效评价和单位自评情况，向财政报送整改结果并整改到位的，2分，否则不得分。</w:t>
            </w:r>
          </w:p>
        </w:tc>
        <w:tc>
          <w:tcPr>
            <w:tcW w:w="3472" w:type="dxa"/>
            <w:vAlign w:val="center"/>
          </w:tcPr>
          <w:p>
            <w:pPr>
              <w:rPr>
                <w:rFonts w:hint="eastAsia" w:ascii="仿宋_GB2312" w:hAnsi="宋体" w:eastAsia="仿宋_GB2312" w:cs="宋体"/>
                <w:kern w:val="0"/>
                <w:sz w:val="20"/>
                <w:szCs w:val="20"/>
              </w:rPr>
            </w:pP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textDirection w:val="tbRlV"/>
            <w:vAlign w:val="top"/>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该项得分=重点工作完成率×3</w:t>
            </w:r>
          </w:p>
        </w:tc>
        <w:tc>
          <w:tcPr>
            <w:tcW w:w="3472" w:type="dxa"/>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重点工作为县政府确定的为民办实事和部门重点工程与重点工作。</w:t>
            </w: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textDirection w:val="tbRlV"/>
            <w:vAlign w:val="top"/>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3</w:t>
            </w:r>
          </w:p>
        </w:tc>
        <w:tc>
          <w:tcPr>
            <w:tcW w:w="429" w:type="dxa"/>
            <w:vMerge w:val="continue"/>
            <w:tcBorders>
              <w:bottom w:val="single" w:color="auto" w:sz="4" w:space="0"/>
              <w:right w:val="single" w:color="auto" w:sz="4" w:space="0"/>
            </w:tcBorders>
            <w:vAlign w:val="top"/>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top"/>
          </w:tcPr>
          <w:p>
            <w:pPr>
              <w:widowControl/>
              <w:jc w:val="center"/>
              <w:rPr>
                <w:rFonts w:hint="eastAsia" w:ascii="仿宋_GB2312" w:hAnsi="宋体" w:eastAsia="仿宋_GB2312" w:cs="宋体"/>
                <w:kern w:val="0"/>
                <w:sz w:val="20"/>
                <w:szCs w:val="20"/>
              </w:rPr>
            </w:pPr>
          </w:p>
        </w:tc>
        <w:tc>
          <w:tcPr>
            <w:tcW w:w="851" w:type="dxa"/>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top"/>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vAlign w:val="center"/>
          </w:tcPr>
          <w:p>
            <w:pPr>
              <w:autoSpaceDN w:val="0"/>
              <w:jc w:val="left"/>
              <w:textAlignment w:val="center"/>
              <w:rPr>
                <w:rFonts w:hint="eastAsia" w:ascii="仿宋_GB2312" w:hAnsi="宋体" w:eastAsia="仿宋_GB2312" w:cs="宋体"/>
                <w:kern w:val="0"/>
                <w:sz w:val="20"/>
                <w:szCs w:val="20"/>
              </w:rPr>
            </w:pPr>
          </w:p>
        </w:tc>
        <w:tc>
          <w:tcPr>
            <w:tcW w:w="617" w:type="dxa"/>
            <w:vAlign w:val="center"/>
          </w:tcPr>
          <w:p>
            <w:pPr>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6590" w:type="dxa"/>
            <w:gridSpan w:val="2"/>
            <w:vMerge w:val="restart"/>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此三项指标可根据部门实际并结合2017年度部门整体支出绩效目标设立情况有选择的进行评价。</w:t>
            </w:r>
          </w:p>
        </w:tc>
        <w:tc>
          <w:tcPr>
            <w:tcW w:w="617" w:type="dxa"/>
            <w:vMerge w:val="restart"/>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vAlign w:val="center"/>
          </w:tcPr>
          <w:p>
            <w:pPr>
              <w:widowControl/>
              <w:jc w:val="left"/>
              <w:rPr>
                <w:rFonts w:hint="eastAsia" w:ascii="仿宋_GB2312" w:hAnsi="宋体" w:eastAsia="仿宋_GB2312" w:cs="宋体"/>
                <w:kern w:val="0"/>
                <w:sz w:val="20"/>
                <w:szCs w:val="20"/>
              </w:rPr>
            </w:pPr>
          </w:p>
        </w:tc>
        <w:tc>
          <w:tcPr>
            <w:tcW w:w="6590" w:type="dxa"/>
            <w:gridSpan w:val="2"/>
            <w:vMerge w:val="continue"/>
            <w:vAlign w:val="center"/>
          </w:tcPr>
          <w:p>
            <w:pPr>
              <w:widowControl/>
              <w:jc w:val="left"/>
              <w:rPr>
                <w:rFonts w:hint="eastAsia" w:ascii="仿宋_GB2312" w:hAnsi="宋体" w:eastAsia="仿宋_GB2312" w:cs="宋体"/>
                <w:kern w:val="0"/>
                <w:sz w:val="20"/>
                <w:szCs w:val="20"/>
              </w:rPr>
            </w:pPr>
          </w:p>
        </w:tc>
        <w:tc>
          <w:tcPr>
            <w:tcW w:w="617" w:type="dxa"/>
            <w:vMerge w:val="continue"/>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vAlign w:val="center"/>
          </w:tcPr>
          <w:p>
            <w:pPr>
              <w:widowControl/>
              <w:jc w:val="left"/>
              <w:rPr>
                <w:rFonts w:hint="eastAsia" w:ascii="仿宋_GB2312" w:hAnsi="宋体" w:eastAsia="仿宋_GB2312" w:cs="宋体"/>
                <w:kern w:val="0"/>
                <w:sz w:val="20"/>
                <w:szCs w:val="20"/>
              </w:rPr>
            </w:pPr>
          </w:p>
        </w:tc>
        <w:tc>
          <w:tcPr>
            <w:tcW w:w="6590" w:type="dxa"/>
            <w:gridSpan w:val="2"/>
            <w:vMerge w:val="continue"/>
            <w:vAlign w:val="center"/>
          </w:tcPr>
          <w:p>
            <w:pPr>
              <w:widowControl/>
              <w:jc w:val="left"/>
              <w:rPr>
                <w:rFonts w:hint="eastAsia" w:ascii="仿宋_GB2312" w:hAnsi="宋体" w:eastAsia="仿宋_GB2312" w:cs="宋体"/>
                <w:kern w:val="0"/>
                <w:sz w:val="20"/>
                <w:szCs w:val="20"/>
              </w:rPr>
            </w:pPr>
          </w:p>
        </w:tc>
        <w:tc>
          <w:tcPr>
            <w:tcW w:w="617" w:type="dxa"/>
            <w:vMerge w:val="continue"/>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社会公众或服务对象是指部门（单位）履行职责而影响到的部门，群体或个人，一般采取社会调查的方式(不少于10份)。</w:t>
            </w: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vAlign w:val="center"/>
          </w:tcPr>
          <w:p>
            <w:pPr>
              <w:widowControl/>
              <w:rPr>
                <w:rFonts w:hint="eastAsia" w:ascii="仿宋_GB2312" w:hAnsi="宋体" w:eastAsia="仿宋_GB2312" w:cs="宋体"/>
                <w:kern w:val="0"/>
                <w:sz w:val="20"/>
                <w:szCs w:val="20"/>
              </w:rPr>
            </w:pP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96</w:t>
            </w:r>
          </w:p>
        </w:tc>
      </w:tr>
    </w:tbl>
    <w:p>
      <w:pPr>
        <w:spacing w:line="600" w:lineRule="exact"/>
        <w:rPr>
          <w:rFonts w:ascii="宋体" w:hAnsi="宋体" w:cs="宋体"/>
          <w:kern w:val="0"/>
          <w:sz w:val="32"/>
          <w:szCs w:val="32"/>
        </w:rPr>
      </w:pPr>
    </w:p>
    <w:p>
      <w:pPr>
        <w:spacing w:line="600" w:lineRule="exact"/>
        <w:rPr>
          <w:rFonts w:ascii="宋体" w:hAnsi="宋体" w:cs="宋体"/>
          <w:kern w:val="0"/>
          <w:sz w:val="32"/>
          <w:szCs w:val="32"/>
        </w:rPr>
      </w:pPr>
    </w:p>
    <w:p>
      <w:pPr>
        <w:jc w:val="left"/>
        <w:rPr>
          <w:rFonts w:hint="eastAsia" w:ascii="宋体" w:hAnsi="宋体" w:cs="宋体"/>
          <w:sz w:val="44"/>
          <w:szCs w:val="44"/>
        </w:rPr>
      </w:pPr>
      <w:r>
        <w:rPr>
          <w:rFonts w:eastAsia="仿宋_GB2312"/>
          <w:sz w:val="28"/>
          <w:szCs w:val="28"/>
        </w:rPr>
        <w:br w:type="page"/>
      </w:r>
    </w:p>
    <w:p>
      <w:pPr>
        <w:ind w:left="10" w:leftChars="5" w:firstLine="406" w:firstLineChars="127"/>
        <w:jc w:val="left"/>
        <w:rPr>
          <w:rFonts w:hint="eastAsia" w:ascii="仿宋" w:hAnsi="仿宋" w:eastAsia="仿宋" w:cs="仿宋"/>
          <w:sz w:val="32"/>
          <w:szCs w:val="32"/>
        </w:rPr>
      </w:pPr>
    </w:p>
    <w:tbl>
      <w:tblPr>
        <w:tblStyle w:val="5"/>
        <w:tblpPr w:leftFromText="180" w:rightFromText="180" w:vertAnchor="page" w:horzAnchor="page" w:tblpX="1792" w:tblpY="1913"/>
        <w:tblOverlap w:val="never"/>
        <w:tblW w:w="8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726"/>
        <w:gridCol w:w="1138"/>
        <w:gridCol w:w="1348"/>
        <w:gridCol w:w="735"/>
        <w:gridCol w:w="1246"/>
        <w:gridCol w:w="839"/>
        <w:gridCol w:w="866"/>
        <w:gridCol w:w="1602"/>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17" w:hRule="atLeast"/>
        </w:trPr>
        <w:tc>
          <w:tcPr>
            <w:tcW w:w="8920" w:type="dxa"/>
            <w:gridSpan w:val="9"/>
            <w:noWrap w:val="0"/>
            <w:vAlign w:val="center"/>
          </w:tcPr>
          <w:p>
            <w:pPr>
              <w:jc w:val="center"/>
              <w:rPr>
                <w:rFonts w:hint="eastAsia"/>
              </w:rPr>
            </w:pPr>
            <w:r>
              <w:rPr>
                <w:rFonts w:hint="eastAsia"/>
              </w:rPr>
              <w:t>绩效目标自评表</w:t>
            </w:r>
          </w:p>
          <w:p>
            <w:pPr>
              <w:jc w:val="center"/>
            </w:pPr>
            <w:r>
              <w:rPr>
                <w:rFonts w:hint="eastAsia"/>
              </w:rPr>
              <w:t>（20</w:t>
            </w:r>
            <w:r>
              <w:rPr>
                <w:rFonts w:hint="eastAsia"/>
                <w:lang w:val="en-US" w:eastAsia="zh-CN"/>
              </w:rPr>
              <w:t>22</w:t>
            </w:r>
            <w:r>
              <w:rPr>
                <w:rFonts w:hint="eastAsia"/>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11" w:hRule="atLeast"/>
        </w:trPr>
        <w:tc>
          <w:tcPr>
            <w:tcW w:w="2284" w:type="dxa"/>
            <w:gridSpan w:val="3"/>
            <w:noWrap w:val="0"/>
            <w:vAlign w:val="center"/>
          </w:tcPr>
          <w:p>
            <w:pPr>
              <w:jc w:val="center"/>
            </w:pPr>
            <w:r>
              <w:rPr>
                <w:rFonts w:hint="eastAsia"/>
              </w:rPr>
              <w:t>项目名称</w:t>
            </w:r>
          </w:p>
        </w:tc>
        <w:tc>
          <w:tcPr>
            <w:tcW w:w="2083" w:type="dxa"/>
            <w:gridSpan w:val="2"/>
            <w:noWrap w:val="0"/>
            <w:vAlign w:val="center"/>
          </w:tcPr>
          <w:p>
            <w:pPr>
              <w:jc w:val="center"/>
              <w:rPr>
                <w:rFonts w:hint="default" w:eastAsia="宋体"/>
                <w:lang w:val="en-US" w:eastAsia="zh-CN"/>
              </w:rPr>
            </w:pPr>
            <w:r>
              <w:rPr>
                <w:rFonts w:hint="eastAsia"/>
                <w:lang w:val="en-US" w:eastAsia="zh-CN"/>
              </w:rPr>
              <w:t>邵阳县妇女联合会</w:t>
            </w:r>
          </w:p>
        </w:tc>
        <w:tc>
          <w:tcPr>
            <w:tcW w:w="1246" w:type="dxa"/>
            <w:noWrap w:val="0"/>
            <w:vAlign w:val="center"/>
          </w:tcPr>
          <w:p>
            <w:pPr>
              <w:jc w:val="center"/>
              <w:rPr>
                <w:rFonts w:hint="eastAsia"/>
              </w:rPr>
            </w:pPr>
            <w:r>
              <w:rPr>
                <w:rFonts w:hint="eastAsia"/>
              </w:rPr>
              <w:t>项目负责人及电话</w:t>
            </w:r>
          </w:p>
        </w:tc>
        <w:tc>
          <w:tcPr>
            <w:tcW w:w="3307" w:type="dxa"/>
            <w:gridSpan w:val="3"/>
            <w:noWrap w:val="0"/>
            <w:vAlign w:val="center"/>
          </w:tcPr>
          <w:p>
            <w:pPr>
              <w:jc w:val="center"/>
              <w:rPr>
                <w:rFonts w:hint="default" w:eastAsia="宋体"/>
                <w:lang w:val="en-US" w:eastAsia="zh-CN"/>
              </w:rPr>
            </w:pPr>
            <w:r>
              <w:rPr>
                <w:rFonts w:hint="eastAsia"/>
                <w:lang w:val="en-US" w:eastAsia="zh-CN"/>
              </w:rPr>
              <w:t>向丽洁13874266868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17" w:hRule="atLeast"/>
        </w:trPr>
        <w:tc>
          <w:tcPr>
            <w:tcW w:w="2284" w:type="dxa"/>
            <w:gridSpan w:val="3"/>
            <w:noWrap w:val="0"/>
            <w:vAlign w:val="center"/>
          </w:tcPr>
          <w:p>
            <w:pPr>
              <w:jc w:val="center"/>
            </w:pPr>
            <w:r>
              <w:rPr>
                <w:rFonts w:hint="eastAsia"/>
              </w:rPr>
              <w:t>主管部门</w:t>
            </w:r>
          </w:p>
        </w:tc>
        <w:tc>
          <w:tcPr>
            <w:tcW w:w="2083" w:type="dxa"/>
            <w:gridSpan w:val="2"/>
            <w:noWrap w:val="0"/>
            <w:vAlign w:val="center"/>
          </w:tcPr>
          <w:p>
            <w:pPr>
              <w:jc w:val="center"/>
              <w:rPr>
                <w:rFonts w:hint="default" w:eastAsia="宋体"/>
                <w:lang w:val="en-US" w:eastAsia="zh-CN"/>
              </w:rPr>
            </w:pPr>
          </w:p>
        </w:tc>
        <w:tc>
          <w:tcPr>
            <w:tcW w:w="1246" w:type="dxa"/>
            <w:noWrap w:val="0"/>
            <w:vAlign w:val="center"/>
          </w:tcPr>
          <w:p>
            <w:pPr>
              <w:jc w:val="center"/>
            </w:pPr>
            <w:r>
              <w:rPr>
                <w:rFonts w:hint="eastAsia"/>
              </w:rPr>
              <w:t>实施单位</w:t>
            </w:r>
          </w:p>
        </w:tc>
        <w:tc>
          <w:tcPr>
            <w:tcW w:w="3307" w:type="dxa"/>
            <w:gridSpan w:val="3"/>
            <w:noWrap w:val="0"/>
            <w:vAlign w:val="center"/>
          </w:tcPr>
          <w:p>
            <w:pPr>
              <w:jc w:val="center"/>
              <w:rPr>
                <w:rFonts w:hint="default" w:eastAsia="宋体"/>
                <w:lang w:val="en-US" w:eastAsia="zh-CN"/>
              </w:rPr>
            </w:pPr>
            <w:r>
              <w:rPr>
                <w:rFonts w:hint="eastAsia"/>
                <w:lang w:val="en-US" w:eastAsia="zh-CN"/>
              </w:rPr>
              <w:t>邵阳县妇女联合会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2284" w:type="dxa"/>
            <w:gridSpan w:val="3"/>
            <w:noWrap w:val="0"/>
            <w:vAlign w:val="center"/>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资金情况</w:t>
            </w:r>
          </w:p>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（万元）</w:t>
            </w:r>
          </w:p>
        </w:tc>
        <w:tc>
          <w:tcPr>
            <w:tcW w:w="1348" w:type="dxa"/>
            <w:noWrap w:val="0"/>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229.74</w:t>
            </w:r>
          </w:p>
        </w:tc>
        <w:tc>
          <w:tcPr>
            <w:tcW w:w="735" w:type="dxa"/>
            <w:noWrap w:val="0"/>
            <w:vAlign w:val="center"/>
          </w:tcPr>
          <w:p>
            <w:pPr>
              <w:jc w:val="center"/>
            </w:pPr>
            <w:r>
              <w:rPr>
                <w:rFonts w:hint="eastAsia"/>
              </w:rPr>
              <w:t>全年预算数（A)</w:t>
            </w:r>
          </w:p>
        </w:tc>
        <w:tc>
          <w:tcPr>
            <w:tcW w:w="1246" w:type="dxa"/>
            <w:noWrap w:val="0"/>
            <w:vAlign w:val="center"/>
          </w:tcPr>
          <w:p>
            <w:pPr>
              <w:jc w:val="center"/>
              <w:rPr>
                <w:rFonts w:hint="eastAsia"/>
              </w:rPr>
            </w:pPr>
            <w:r>
              <w:rPr>
                <w:rFonts w:hint="eastAsia"/>
              </w:rPr>
              <w:t>全年执行数</w:t>
            </w:r>
          </w:p>
          <w:p>
            <w:pPr>
              <w:jc w:val="center"/>
            </w:pPr>
            <w:r>
              <w:rPr>
                <w:rFonts w:hint="eastAsia"/>
              </w:rPr>
              <w:t>（B）</w:t>
            </w:r>
          </w:p>
        </w:tc>
        <w:tc>
          <w:tcPr>
            <w:tcW w:w="839" w:type="dxa"/>
            <w:noWrap w:val="0"/>
            <w:vAlign w:val="center"/>
          </w:tcPr>
          <w:p>
            <w:pPr>
              <w:jc w:val="center"/>
              <w:rPr>
                <w:rFonts w:hint="eastAsia"/>
              </w:rPr>
            </w:pPr>
            <w:r>
              <w:rPr>
                <w:rFonts w:hint="eastAsia"/>
              </w:rPr>
              <w:t>分值</w:t>
            </w:r>
          </w:p>
        </w:tc>
        <w:tc>
          <w:tcPr>
            <w:tcW w:w="866" w:type="dxa"/>
            <w:noWrap w:val="0"/>
            <w:vAlign w:val="center"/>
          </w:tcPr>
          <w:p>
            <w:pPr>
              <w:jc w:val="center"/>
            </w:pPr>
            <w:r>
              <w:rPr>
                <w:rFonts w:hint="eastAsia"/>
              </w:rPr>
              <w:t>执行率（B/A）</w:t>
            </w:r>
          </w:p>
        </w:tc>
        <w:tc>
          <w:tcPr>
            <w:tcW w:w="1617" w:type="dxa"/>
            <w:gridSpan w:val="2"/>
            <w:noWrap w:val="0"/>
            <w:vAlign w:val="center"/>
          </w:tcPr>
          <w:p>
            <w:pPr>
              <w:jc w:val="center"/>
              <w:rPr>
                <w:rFonts w:hint="eastAsia"/>
              </w:rPr>
            </w:pPr>
            <w:r>
              <w:rPr>
                <w:rFonts w:hint="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20" w:type="dxa"/>
            <w:noWrap w:val="0"/>
            <w:vAlign w:val="center"/>
          </w:tcPr>
          <w:p>
            <w:pPr>
              <w:jc w:val="center"/>
            </w:pPr>
          </w:p>
        </w:tc>
        <w:tc>
          <w:tcPr>
            <w:tcW w:w="726" w:type="dxa"/>
            <w:noWrap w:val="0"/>
            <w:vAlign w:val="center"/>
          </w:tcPr>
          <w:p>
            <w:pPr>
              <w:jc w:val="center"/>
            </w:pPr>
          </w:p>
        </w:tc>
        <w:tc>
          <w:tcPr>
            <w:tcW w:w="1138" w:type="dxa"/>
            <w:noWrap w:val="0"/>
            <w:vAlign w:val="center"/>
          </w:tcPr>
          <w:p>
            <w:pPr>
              <w:jc w:val="center"/>
            </w:pPr>
          </w:p>
        </w:tc>
        <w:tc>
          <w:tcPr>
            <w:tcW w:w="1348" w:type="dxa"/>
            <w:noWrap w:val="0"/>
            <w:vAlign w:val="center"/>
          </w:tcPr>
          <w:p>
            <w:pPr>
              <w:jc w:val="center"/>
              <w:rPr>
                <w:rFonts w:hint="eastAsia"/>
              </w:rPr>
            </w:pPr>
            <w:r>
              <w:rPr>
                <w:rFonts w:hint="eastAsia"/>
              </w:rPr>
              <w:t>年度资金总额：</w:t>
            </w:r>
          </w:p>
        </w:tc>
        <w:tc>
          <w:tcPr>
            <w:tcW w:w="735" w:type="dxa"/>
            <w:noWrap w:val="0"/>
            <w:vAlign w:val="center"/>
          </w:tcPr>
          <w:p>
            <w:pPr>
              <w:jc w:val="center"/>
              <w:rPr>
                <w:rFonts w:hint="default" w:eastAsia="宋体"/>
                <w:lang w:val="en-US" w:eastAsia="zh-CN"/>
              </w:rPr>
            </w:pPr>
            <w:r>
              <w:rPr>
                <w:rFonts w:hint="eastAsia"/>
                <w:lang w:val="en-US" w:eastAsia="zh-CN"/>
              </w:rPr>
              <w:t>225.79</w:t>
            </w:r>
          </w:p>
        </w:tc>
        <w:tc>
          <w:tcPr>
            <w:tcW w:w="1246" w:type="dxa"/>
            <w:noWrap w:val="0"/>
            <w:vAlign w:val="center"/>
          </w:tcPr>
          <w:p>
            <w:pPr>
              <w:jc w:val="center"/>
              <w:rPr>
                <w:rFonts w:hint="default" w:eastAsia="宋体"/>
                <w:lang w:val="en-US" w:eastAsia="zh-CN"/>
              </w:rPr>
            </w:pPr>
            <w:r>
              <w:rPr>
                <w:rFonts w:hint="eastAsia"/>
                <w:lang w:val="en-US" w:eastAsia="zh-CN"/>
              </w:rPr>
              <w:t>225.79</w:t>
            </w:r>
          </w:p>
        </w:tc>
        <w:tc>
          <w:tcPr>
            <w:tcW w:w="839" w:type="dxa"/>
            <w:noWrap w:val="0"/>
            <w:vAlign w:val="center"/>
          </w:tcPr>
          <w:p>
            <w:pPr>
              <w:jc w:val="center"/>
            </w:pPr>
            <w:r>
              <w:rPr>
                <w:rFonts w:hint="eastAsia"/>
              </w:rPr>
              <w:t>10</w:t>
            </w:r>
          </w:p>
        </w:tc>
        <w:tc>
          <w:tcPr>
            <w:tcW w:w="866" w:type="dxa"/>
            <w:noWrap w:val="0"/>
            <w:vAlign w:val="center"/>
          </w:tcPr>
          <w:p>
            <w:pPr>
              <w:jc w:val="center"/>
              <w:rPr>
                <w:rFonts w:hint="default" w:eastAsia="宋体"/>
                <w:lang w:val="en-US" w:eastAsia="zh-CN"/>
              </w:rPr>
            </w:pPr>
            <w:r>
              <w:rPr>
                <w:rFonts w:hint="eastAsia"/>
                <w:lang w:val="en-US" w:eastAsia="zh-CN"/>
              </w:rPr>
              <w:t>100%</w:t>
            </w: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20" w:type="dxa"/>
            <w:noWrap w:val="0"/>
            <w:vAlign w:val="center"/>
          </w:tcPr>
          <w:p>
            <w:pPr>
              <w:jc w:val="center"/>
            </w:pPr>
          </w:p>
        </w:tc>
        <w:tc>
          <w:tcPr>
            <w:tcW w:w="726" w:type="dxa"/>
            <w:noWrap w:val="0"/>
            <w:vAlign w:val="center"/>
          </w:tcPr>
          <w:p>
            <w:pPr>
              <w:jc w:val="center"/>
            </w:pPr>
          </w:p>
        </w:tc>
        <w:tc>
          <w:tcPr>
            <w:tcW w:w="1138" w:type="dxa"/>
            <w:noWrap w:val="0"/>
            <w:vAlign w:val="center"/>
          </w:tcPr>
          <w:p>
            <w:pPr>
              <w:jc w:val="center"/>
            </w:pPr>
          </w:p>
        </w:tc>
        <w:tc>
          <w:tcPr>
            <w:tcW w:w="1348" w:type="dxa"/>
            <w:noWrap w:val="0"/>
            <w:vAlign w:val="center"/>
          </w:tcPr>
          <w:p>
            <w:pPr>
              <w:jc w:val="center"/>
              <w:rPr>
                <w:rFonts w:hint="eastAsia"/>
              </w:rPr>
            </w:pPr>
            <w:r>
              <w:rPr>
                <w:rFonts w:hint="eastAsia"/>
              </w:rPr>
              <w:t>其中：本年财政拨款</w:t>
            </w:r>
          </w:p>
        </w:tc>
        <w:tc>
          <w:tcPr>
            <w:tcW w:w="735" w:type="dxa"/>
            <w:noWrap w:val="0"/>
            <w:vAlign w:val="center"/>
          </w:tcPr>
          <w:p>
            <w:pPr>
              <w:jc w:val="center"/>
              <w:rPr>
                <w:rFonts w:hint="default" w:eastAsia="宋体"/>
                <w:lang w:val="en-US" w:eastAsia="zh-CN"/>
              </w:rPr>
            </w:pPr>
            <w:r>
              <w:rPr>
                <w:rFonts w:hint="eastAsia"/>
                <w:lang w:val="en-US" w:eastAsia="zh-CN"/>
              </w:rPr>
              <w:t>225.79</w:t>
            </w:r>
          </w:p>
        </w:tc>
        <w:tc>
          <w:tcPr>
            <w:tcW w:w="1246" w:type="dxa"/>
            <w:noWrap w:val="0"/>
            <w:vAlign w:val="center"/>
          </w:tcPr>
          <w:p>
            <w:pPr>
              <w:jc w:val="center"/>
              <w:rPr>
                <w:rFonts w:hint="default" w:eastAsia="宋体"/>
                <w:lang w:val="en-US" w:eastAsia="zh-CN"/>
              </w:rPr>
            </w:pPr>
            <w:r>
              <w:rPr>
                <w:rFonts w:hint="eastAsia"/>
                <w:lang w:val="en-US" w:eastAsia="zh-CN"/>
              </w:rPr>
              <w:t>225.79</w:t>
            </w:r>
          </w:p>
        </w:tc>
        <w:tc>
          <w:tcPr>
            <w:tcW w:w="839" w:type="dxa"/>
            <w:noWrap w:val="0"/>
            <w:vAlign w:val="center"/>
          </w:tcPr>
          <w:p>
            <w:pPr>
              <w:jc w:val="center"/>
              <w:rPr>
                <w:rFonts w:hint="eastAsia"/>
              </w:rPr>
            </w:pPr>
            <w:r>
              <w:rPr>
                <w:rFonts w:hint="eastAsia"/>
              </w:rPr>
              <w:t>-</w:t>
            </w:r>
          </w:p>
        </w:tc>
        <w:tc>
          <w:tcPr>
            <w:tcW w:w="866" w:type="dxa"/>
            <w:noWrap w:val="0"/>
            <w:vAlign w:val="center"/>
          </w:tcPr>
          <w:p>
            <w:pPr>
              <w:jc w:val="center"/>
              <w:rPr>
                <w:rFonts w:hint="default" w:eastAsia="宋体"/>
                <w:lang w:val="en-US" w:eastAsia="zh-CN"/>
              </w:rPr>
            </w:pPr>
            <w:r>
              <w:rPr>
                <w:rFonts w:hint="eastAsia"/>
                <w:lang w:val="en-US" w:eastAsia="zh-CN"/>
              </w:rPr>
              <w:t>100%</w:t>
            </w:r>
          </w:p>
        </w:tc>
        <w:tc>
          <w:tcPr>
            <w:tcW w:w="1617" w:type="dxa"/>
            <w:gridSpan w:val="2"/>
            <w:noWrap w:val="0"/>
            <w:vAlign w:val="center"/>
          </w:tcPr>
          <w:p>
            <w:pPr>
              <w:jc w:val="center"/>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20" w:type="dxa"/>
            <w:noWrap w:val="0"/>
            <w:vAlign w:val="center"/>
          </w:tcPr>
          <w:p>
            <w:pPr>
              <w:jc w:val="center"/>
            </w:pPr>
          </w:p>
        </w:tc>
        <w:tc>
          <w:tcPr>
            <w:tcW w:w="726" w:type="dxa"/>
            <w:noWrap w:val="0"/>
            <w:vAlign w:val="center"/>
          </w:tcPr>
          <w:p>
            <w:pPr>
              <w:jc w:val="center"/>
            </w:pPr>
          </w:p>
        </w:tc>
        <w:tc>
          <w:tcPr>
            <w:tcW w:w="1138" w:type="dxa"/>
            <w:noWrap w:val="0"/>
            <w:vAlign w:val="center"/>
          </w:tcPr>
          <w:p>
            <w:pPr>
              <w:jc w:val="center"/>
            </w:pPr>
          </w:p>
        </w:tc>
        <w:tc>
          <w:tcPr>
            <w:tcW w:w="1348" w:type="dxa"/>
            <w:noWrap w:val="0"/>
            <w:vAlign w:val="center"/>
          </w:tcPr>
          <w:p>
            <w:pPr>
              <w:jc w:val="center"/>
              <w:rPr>
                <w:rFonts w:hint="eastAsia"/>
              </w:rPr>
            </w:pPr>
            <w:r>
              <w:rPr>
                <w:rFonts w:hint="eastAsia"/>
              </w:rPr>
              <w:t>其他</w:t>
            </w:r>
          </w:p>
          <w:p>
            <w:pPr>
              <w:jc w:val="center"/>
              <w:rPr>
                <w:rFonts w:hint="eastAsia"/>
              </w:rPr>
            </w:pPr>
            <w:r>
              <w:rPr>
                <w:rFonts w:hint="eastAsia"/>
              </w:rPr>
              <w:t>资金</w:t>
            </w: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r>
              <w:rPr>
                <w:rFonts w:hint="eastAsia"/>
              </w:rPr>
              <w:t>-</w:t>
            </w:r>
          </w:p>
        </w:tc>
        <w:tc>
          <w:tcPr>
            <w:tcW w:w="866" w:type="dxa"/>
            <w:noWrap w:val="0"/>
            <w:vAlign w:val="center"/>
          </w:tcPr>
          <w:p>
            <w:pPr>
              <w:jc w:val="center"/>
            </w:pPr>
          </w:p>
        </w:tc>
        <w:tc>
          <w:tcPr>
            <w:tcW w:w="1617" w:type="dxa"/>
            <w:gridSpan w:val="2"/>
            <w:noWrap w:val="0"/>
            <w:vAlign w:val="center"/>
          </w:tcPr>
          <w:p>
            <w:pPr>
              <w:jc w:val="center"/>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13" w:hRule="atLeast"/>
        </w:trPr>
        <w:tc>
          <w:tcPr>
            <w:tcW w:w="420" w:type="dxa"/>
            <w:vMerge w:val="restart"/>
            <w:noWrap w:val="0"/>
            <w:vAlign w:val="center"/>
          </w:tcPr>
          <w:p>
            <w:pPr>
              <w:jc w:val="center"/>
              <w:rPr>
                <w:rFonts w:hint="eastAsia"/>
              </w:rPr>
            </w:pPr>
            <w:r>
              <w:rPr>
                <w:rFonts w:hint="eastAsia"/>
              </w:rPr>
              <w:t>年</w:t>
            </w:r>
          </w:p>
          <w:p>
            <w:pPr>
              <w:jc w:val="center"/>
              <w:rPr>
                <w:rFonts w:hint="eastAsia"/>
              </w:rPr>
            </w:pPr>
            <w:r>
              <w:rPr>
                <w:rFonts w:hint="eastAsia"/>
              </w:rPr>
              <w:t>度</w:t>
            </w:r>
          </w:p>
          <w:p>
            <w:pPr>
              <w:jc w:val="center"/>
              <w:rPr>
                <w:rFonts w:hint="eastAsia"/>
              </w:rPr>
            </w:pPr>
            <w:r>
              <w:rPr>
                <w:rFonts w:hint="eastAsia"/>
              </w:rPr>
              <w:t>总</w:t>
            </w:r>
          </w:p>
          <w:p>
            <w:pPr>
              <w:jc w:val="center"/>
              <w:rPr>
                <w:rFonts w:hint="eastAsia"/>
              </w:rPr>
            </w:pPr>
            <w:r>
              <w:rPr>
                <w:rFonts w:hint="eastAsia"/>
              </w:rPr>
              <w:t>体</w:t>
            </w:r>
          </w:p>
          <w:p>
            <w:pPr>
              <w:jc w:val="center"/>
              <w:rPr>
                <w:rFonts w:hint="eastAsia"/>
              </w:rPr>
            </w:pPr>
            <w:r>
              <w:rPr>
                <w:rFonts w:hint="eastAsia"/>
              </w:rPr>
              <w:t>目</w:t>
            </w:r>
          </w:p>
          <w:p>
            <w:pPr>
              <w:jc w:val="center"/>
              <w:rPr>
                <w:rFonts w:hint="eastAsia"/>
              </w:rPr>
            </w:pPr>
            <w:r>
              <w:rPr>
                <w:rFonts w:hint="eastAsia"/>
              </w:rPr>
              <w:t>标</w:t>
            </w:r>
          </w:p>
        </w:tc>
        <w:tc>
          <w:tcPr>
            <w:tcW w:w="3947" w:type="dxa"/>
            <w:gridSpan w:val="4"/>
            <w:noWrap w:val="0"/>
            <w:vAlign w:val="center"/>
          </w:tcPr>
          <w:p>
            <w:pPr>
              <w:jc w:val="center"/>
            </w:pPr>
            <w:r>
              <w:rPr>
                <w:rFonts w:hint="eastAsia"/>
              </w:rPr>
              <w:t>年初设定目标</w:t>
            </w:r>
          </w:p>
        </w:tc>
        <w:tc>
          <w:tcPr>
            <w:tcW w:w="4553" w:type="dxa"/>
            <w:gridSpan w:val="4"/>
            <w:noWrap w:val="0"/>
            <w:vAlign w:val="center"/>
          </w:tcPr>
          <w:p>
            <w:pPr>
              <w:jc w:val="center"/>
            </w:pPr>
            <w:r>
              <w:rPr>
                <w:rFonts w:hint="eastAsia"/>
              </w:rPr>
              <w:t>年度总体目标完成情况综述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trPr>
        <w:tc>
          <w:tcPr>
            <w:tcW w:w="420" w:type="dxa"/>
            <w:vMerge w:val="continue"/>
            <w:noWrap w:val="0"/>
            <w:vAlign w:val="center"/>
          </w:tcPr>
          <w:p>
            <w:pPr>
              <w:jc w:val="center"/>
              <w:rPr>
                <w:rFonts w:hint="eastAsia"/>
              </w:rPr>
            </w:pPr>
          </w:p>
        </w:tc>
        <w:tc>
          <w:tcPr>
            <w:tcW w:w="3947" w:type="dxa"/>
            <w:gridSpan w:val="4"/>
            <w:noWrap w:val="0"/>
            <w:vAlign w:val="center"/>
          </w:tcPr>
          <w:p>
            <w:pPr>
              <w:jc w:val="center"/>
              <w:rPr>
                <w:rFonts w:hint="default" w:eastAsia="仿宋_GB2312"/>
                <w:lang w:val="en-US" w:eastAsia="zh-CN"/>
              </w:rPr>
            </w:pPr>
            <w:r>
              <w:rPr>
                <w:rFonts w:hint="eastAsia" w:ascii="仿宋_GB2312" w:hAnsi="黑体" w:eastAsia="仿宋_GB2312" w:cs="黑体"/>
                <w:szCs w:val="21"/>
              </w:rPr>
              <w:t>1.服务县委县政府中心工作。2.维护妇女权益。3.关心妇女儿童健康成长。4.开展家庭文明建设活动。</w:t>
            </w:r>
          </w:p>
        </w:tc>
        <w:tc>
          <w:tcPr>
            <w:tcW w:w="4568" w:type="dxa"/>
            <w:gridSpan w:val="5"/>
            <w:noWrap w:val="0"/>
            <w:vAlign w:val="center"/>
          </w:tcPr>
          <w:p>
            <w:pPr>
              <w:jc w:val="left"/>
              <w:rPr>
                <w:rFonts w:hint="eastAsia" w:ascii="仿宋_GB2312" w:hAnsi="黑体" w:eastAsia="仿宋_GB2312" w:cs="黑体"/>
                <w:szCs w:val="21"/>
              </w:rPr>
            </w:pPr>
            <w:r>
              <w:rPr>
                <w:rFonts w:hint="eastAsia" w:ascii="仿宋_GB2312" w:hAnsi="黑体" w:eastAsia="仿宋_GB2312" w:cs="黑体"/>
                <w:szCs w:val="21"/>
                <w:lang w:val="en-US" w:eastAsia="zh-CN"/>
              </w:rPr>
              <w:t>1.</w:t>
            </w:r>
            <w:r>
              <w:rPr>
                <w:rFonts w:hint="eastAsia" w:ascii="仿宋_GB2312" w:hAnsi="黑体" w:eastAsia="仿宋_GB2312" w:cs="黑体"/>
                <w:szCs w:val="21"/>
              </w:rPr>
              <w:t>完成“两癌”免费检查</w:t>
            </w:r>
            <w:r>
              <w:rPr>
                <w:rFonts w:hint="eastAsia" w:ascii="仿宋_GB2312" w:hAnsi="黑体" w:eastAsia="仿宋_GB2312" w:cs="黑体"/>
                <w:szCs w:val="21"/>
                <w:lang w:val="en-US" w:eastAsia="zh-CN"/>
              </w:rPr>
              <w:t>10025人</w:t>
            </w:r>
            <w:r>
              <w:rPr>
                <w:rFonts w:hint="eastAsia" w:ascii="仿宋_GB2312" w:hAnsi="黑体" w:eastAsia="仿宋_GB2312" w:cs="黑体"/>
                <w:szCs w:val="21"/>
              </w:rPr>
              <w:t>、</w:t>
            </w:r>
            <w:r>
              <w:rPr>
                <w:rFonts w:hint="eastAsia" w:ascii="仿宋_GB2312" w:hAnsi="黑体" w:eastAsia="仿宋_GB2312" w:cs="黑体"/>
                <w:szCs w:val="21"/>
                <w:lang w:val="en-US" w:eastAsia="zh-CN"/>
              </w:rPr>
              <w:t>举办一期基层妇联领头雁</w:t>
            </w:r>
            <w:r>
              <w:rPr>
                <w:rFonts w:hint="eastAsia" w:ascii="仿宋_GB2312" w:hAnsi="黑体" w:eastAsia="仿宋_GB2312" w:cs="黑体"/>
                <w:szCs w:val="21"/>
              </w:rPr>
              <w:t>妇女培训班。</w:t>
            </w:r>
            <w:r>
              <w:rPr>
                <w:rFonts w:hint="eastAsia" w:ascii="仿宋_GB2312" w:hAnsi="黑体" w:eastAsia="仿宋_GB2312" w:cs="黑体"/>
                <w:szCs w:val="21"/>
                <w:lang w:val="en-US" w:eastAsia="zh-CN"/>
              </w:rPr>
              <w:t>2.</w:t>
            </w:r>
            <w:r>
              <w:rPr>
                <w:rFonts w:hint="eastAsia" w:ascii="仿宋_GB2312" w:hAnsi="黑体" w:eastAsia="仿宋_GB2312" w:cs="黑体"/>
                <w:szCs w:val="21"/>
              </w:rPr>
              <w:t>举办法律维权周活动</w:t>
            </w:r>
            <w:r>
              <w:rPr>
                <w:rFonts w:hint="eastAsia" w:ascii="仿宋_GB2312" w:hAnsi="黑体" w:eastAsia="仿宋_GB2312" w:cs="黑体"/>
                <w:szCs w:val="21"/>
                <w:lang w:eastAsia="zh-CN"/>
              </w:rPr>
              <w:t>；</w:t>
            </w:r>
            <w:r>
              <w:rPr>
                <w:rFonts w:hint="eastAsia" w:ascii="仿宋_GB2312" w:hAnsi="黑体" w:eastAsia="仿宋_GB2312" w:cs="黑体"/>
                <w:szCs w:val="21"/>
                <w:lang w:val="en-US" w:eastAsia="zh-CN"/>
              </w:rPr>
              <w:t>社区家长学校开展13场；3.</w:t>
            </w:r>
            <w:r>
              <w:rPr>
                <w:rFonts w:hint="eastAsia" w:ascii="仿宋_GB2312" w:hAnsi="黑体" w:eastAsia="仿宋_GB2312" w:cs="黑体"/>
                <w:szCs w:val="21"/>
              </w:rPr>
              <w:t>开展“六一”慰问活动；开展关爱留守儿童行动；开展关爱贫困妇女行动。</w:t>
            </w:r>
            <w:r>
              <w:rPr>
                <w:rFonts w:hint="eastAsia" w:ascii="仿宋_GB2312" w:hAnsi="黑体" w:eastAsia="仿宋_GB2312" w:cs="黑体"/>
                <w:szCs w:val="21"/>
                <w:lang w:val="en-US" w:eastAsia="zh-CN"/>
              </w:rPr>
              <w:t>4.评选了</w:t>
            </w:r>
            <w:r>
              <w:rPr>
                <w:rFonts w:hint="eastAsia" w:ascii="仿宋_GB2312" w:hAnsi="黑体" w:eastAsia="仿宋_GB2312" w:cs="黑体"/>
                <w:szCs w:val="21"/>
              </w:rPr>
              <w:t>“</w:t>
            </w:r>
            <w:r>
              <w:rPr>
                <w:rFonts w:hint="eastAsia" w:ascii="仿宋_GB2312" w:hAnsi="黑体" w:eastAsia="仿宋_GB2312" w:cs="黑体"/>
                <w:szCs w:val="21"/>
                <w:lang w:val="en-US" w:eastAsia="zh-CN"/>
              </w:rPr>
              <w:t>清廉</w:t>
            </w:r>
            <w:r>
              <w:rPr>
                <w:rFonts w:hint="eastAsia" w:ascii="仿宋_GB2312" w:hAnsi="黑体" w:eastAsia="仿宋_GB2312" w:cs="黑体"/>
                <w:szCs w:val="21"/>
              </w:rPr>
              <w:t>家庭”、“</w:t>
            </w:r>
            <w:r>
              <w:rPr>
                <w:rFonts w:hint="eastAsia" w:ascii="仿宋_GB2312" w:hAnsi="黑体" w:eastAsia="仿宋_GB2312" w:cs="黑体"/>
                <w:szCs w:val="21"/>
                <w:lang w:val="en-US" w:eastAsia="zh-CN"/>
              </w:rPr>
              <w:t>平安</w:t>
            </w:r>
            <w:r>
              <w:rPr>
                <w:rFonts w:hint="eastAsia" w:ascii="仿宋_GB2312" w:hAnsi="黑体" w:eastAsia="仿宋_GB2312" w:cs="黑体"/>
                <w:szCs w:val="21"/>
              </w:rPr>
              <w:t>家庭”活动；开展</w:t>
            </w:r>
            <w:r>
              <w:rPr>
                <w:rFonts w:hint="eastAsia" w:ascii="仿宋_GB2312" w:hAnsi="黑体" w:eastAsia="仿宋_GB2312" w:cs="黑体"/>
                <w:szCs w:val="21"/>
                <w:lang w:eastAsia="zh-CN"/>
              </w:rPr>
              <w:t>“</w:t>
            </w:r>
            <w:r>
              <w:rPr>
                <w:rFonts w:hint="eastAsia" w:ascii="仿宋_GB2312" w:hAnsi="黑体" w:eastAsia="仿宋_GB2312" w:cs="黑体"/>
                <w:szCs w:val="21"/>
                <w:lang w:val="en-US" w:eastAsia="zh-CN"/>
              </w:rPr>
              <w:t>家书抵万金</w:t>
            </w:r>
            <w:r>
              <w:rPr>
                <w:rFonts w:hint="eastAsia" w:ascii="仿宋_GB2312" w:hAnsi="黑体" w:eastAsia="仿宋_GB2312" w:cs="黑体"/>
                <w:szCs w:val="21"/>
                <w:lang w:eastAsia="zh-CN"/>
              </w:rPr>
              <w:t>”</w:t>
            </w:r>
            <w:r>
              <w:rPr>
                <w:rFonts w:hint="eastAsia" w:ascii="仿宋_GB2312" w:hAnsi="黑体" w:eastAsia="仿宋_GB2312" w:cs="黑体"/>
                <w:szCs w:val="21"/>
                <w:lang w:val="en-US" w:eastAsia="zh-CN"/>
              </w:rPr>
              <w:t>优秀家书征集</w:t>
            </w:r>
            <w:r>
              <w:rPr>
                <w:rFonts w:hint="eastAsia" w:ascii="仿宋_GB2312" w:hAnsi="黑体" w:eastAsia="仿宋_GB2312" w:cs="黑体"/>
                <w:szCs w:val="21"/>
              </w:rPr>
              <w:t>活动。</w:t>
            </w:r>
          </w:p>
          <w:p>
            <w:pPr>
              <w:jc w:val="left"/>
              <w:rPr>
                <w:rFonts w:hint="default" w:ascii="仿宋_GB2312" w:hAnsi="黑体" w:eastAsia="仿宋_GB2312" w:cs="黑体"/>
                <w:szCs w:val="21"/>
                <w:lang w:val="en-US" w:eastAsia="zh-CN"/>
              </w:rPr>
            </w:pPr>
          </w:p>
          <w:p>
            <w:pPr>
              <w:jc w:val="left"/>
              <w:rPr>
                <w:rFonts w:hint="default" w:ascii="仿宋_GB2312" w:hAnsi="黑体" w:eastAsia="仿宋_GB2312" w:cs="黑体"/>
                <w:szCs w:val="21"/>
                <w:lang w:val="en-US" w:eastAsia="zh-CN"/>
              </w:rP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20" w:type="dxa"/>
            <w:vMerge w:val="restart"/>
            <w:noWrap w:val="0"/>
            <w:vAlign w:val="center"/>
          </w:tcPr>
          <w:p>
            <w:pPr>
              <w:jc w:val="center"/>
              <w:rPr>
                <w:rFonts w:hint="eastAsia"/>
              </w:rPr>
            </w:pPr>
            <w:r>
              <w:rPr>
                <w:rFonts w:hint="eastAsia"/>
              </w:rPr>
              <w:t>绩</w:t>
            </w:r>
          </w:p>
          <w:p>
            <w:pPr>
              <w:jc w:val="center"/>
              <w:rPr>
                <w:rFonts w:hint="eastAsia"/>
              </w:rPr>
            </w:pPr>
            <w:r>
              <w:rPr>
                <w:rFonts w:hint="eastAsia"/>
              </w:rPr>
              <w:t>效</w:t>
            </w:r>
          </w:p>
          <w:p>
            <w:pPr>
              <w:jc w:val="center"/>
              <w:rPr>
                <w:rFonts w:hint="eastAsia"/>
              </w:rPr>
            </w:pPr>
            <w:r>
              <w:rPr>
                <w:rFonts w:hint="eastAsia"/>
              </w:rPr>
              <w:t>指</w:t>
            </w:r>
          </w:p>
          <w:p>
            <w:pPr>
              <w:jc w:val="center"/>
              <w:rPr>
                <w:rFonts w:hint="eastAsia"/>
              </w:rPr>
            </w:pPr>
            <w:r>
              <w:rPr>
                <w:rFonts w:hint="eastAsia"/>
              </w:rPr>
              <w:t>标</w:t>
            </w:r>
          </w:p>
        </w:tc>
        <w:tc>
          <w:tcPr>
            <w:tcW w:w="726" w:type="dxa"/>
            <w:noWrap w:val="0"/>
            <w:vAlign w:val="center"/>
          </w:tcPr>
          <w:p>
            <w:pPr>
              <w:jc w:val="center"/>
              <w:rPr>
                <w:rFonts w:hint="eastAsia"/>
              </w:rPr>
            </w:pPr>
            <w:r>
              <w:rPr>
                <w:rFonts w:hint="eastAsia"/>
              </w:rPr>
              <w:t>一级指标</w:t>
            </w:r>
          </w:p>
        </w:tc>
        <w:tc>
          <w:tcPr>
            <w:tcW w:w="1138" w:type="dxa"/>
            <w:noWrap w:val="0"/>
            <w:vAlign w:val="center"/>
          </w:tcPr>
          <w:p>
            <w:pPr>
              <w:jc w:val="center"/>
              <w:rPr>
                <w:rFonts w:hint="eastAsia"/>
              </w:rPr>
            </w:pPr>
            <w:r>
              <w:rPr>
                <w:rFonts w:hint="eastAsia"/>
              </w:rPr>
              <w:t>二级指标</w:t>
            </w:r>
          </w:p>
        </w:tc>
        <w:tc>
          <w:tcPr>
            <w:tcW w:w="1348" w:type="dxa"/>
            <w:noWrap w:val="0"/>
            <w:vAlign w:val="center"/>
          </w:tcPr>
          <w:p>
            <w:pPr>
              <w:jc w:val="center"/>
              <w:rPr>
                <w:rFonts w:hint="eastAsia"/>
              </w:rPr>
            </w:pPr>
            <w:r>
              <w:rPr>
                <w:rFonts w:hint="eastAsia"/>
              </w:rPr>
              <w:t>三级指标</w:t>
            </w:r>
          </w:p>
        </w:tc>
        <w:tc>
          <w:tcPr>
            <w:tcW w:w="735" w:type="dxa"/>
            <w:noWrap w:val="0"/>
            <w:vAlign w:val="center"/>
          </w:tcPr>
          <w:p>
            <w:pPr>
              <w:jc w:val="center"/>
            </w:pPr>
            <w:r>
              <w:rPr>
                <w:rFonts w:hint="eastAsia"/>
              </w:rPr>
              <w:t>分值</w:t>
            </w:r>
          </w:p>
        </w:tc>
        <w:tc>
          <w:tcPr>
            <w:tcW w:w="1246" w:type="dxa"/>
            <w:noWrap w:val="0"/>
            <w:vAlign w:val="center"/>
          </w:tcPr>
          <w:p>
            <w:pPr>
              <w:jc w:val="center"/>
              <w:rPr>
                <w:rFonts w:hint="eastAsia"/>
              </w:rPr>
            </w:pPr>
            <w:r>
              <w:rPr>
                <w:rFonts w:hint="eastAsia"/>
              </w:rPr>
              <w:t>年度指标值</w:t>
            </w:r>
          </w:p>
        </w:tc>
        <w:tc>
          <w:tcPr>
            <w:tcW w:w="839" w:type="dxa"/>
            <w:noWrap w:val="0"/>
            <w:vAlign w:val="center"/>
          </w:tcPr>
          <w:p>
            <w:pPr>
              <w:jc w:val="center"/>
              <w:rPr>
                <w:rFonts w:hint="eastAsia"/>
              </w:rPr>
            </w:pPr>
            <w:r>
              <w:rPr>
                <w:rFonts w:hint="eastAsia"/>
              </w:rPr>
              <w:t>全年实际值</w:t>
            </w:r>
          </w:p>
        </w:tc>
        <w:tc>
          <w:tcPr>
            <w:tcW w:w="866" w:type="dxa"/>
            <w:noWrap w:val="0"/>
            <w:vAlign w:val="center"/>
          </w:tcPr>
          <w:p>
            <w:pPr>
              <w:jc w:val="center"/>
              <w:rPr>
                <w:rFonts w:hint="eastAsia"/>
              </w:rPr>
            </w:pPr>
            <w:r>
              <w:rPr>
                <w:rFonts w:hint="eastAsia"/>
              </w:rPr>
              <w:t>得分</w:t>
            </w:r>
          </w:p>
        </w:tc>
        <w:tc>
          <w:tcPr>
            <w:tcW w:w="1617" w:type="dxa"/>
            <w:gridSpan w:val="2"/>
            <w:noWrap w:val="0"/>
            <w:vAlign w:val="center"/>
          </w:tcPr>
          <w:p>
            <w:pPr>
              <w:jc w:val="center"/>
              <w:rPr>
                <w:rFonts w:hint="eastAsia"/>
              </w:rPr>
            </w:pPr>
            <w:r>
              <w:rPr>
                <w:rFonts w:hint="eastAsia"/>
              </w:rPr>
              <w:t>未完成原因及采取的改进措施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rPr>
                <w:rFonts w:hint="eastAsia"/>
              </w:rPr>
            </w:pPr>
          </w:p>
        </w:tc>
        <w:tc>
          <w:tcPr>
            <w:tcW w:w="726" w:type="dxa"/>
            <w:vMerge w:val="restart"/>
            <w:noWrap w:val="0"/>
            <w:vAlign w:val="center"/>
          </w:tcPr>
          <w:p>
            <w:pPr>
              <w:jc w:val="center"/>
              <w:rPr>
                <w:rFonts w:hint="eastAsia"/>
              </w:rPr>
            </w:pPr>
            <w:r>
              <w:rPr>
                <w:rFonts w:hint="eastAsia"/>
              </w:rPr>
              <w:t>产</w:t>
            </w:r>
          </w:p>
          <w:p>
            <w:pPr>
              <w:jc w:val="center"/>
              <w:rPr>
                <w:rFonts w:hint="eastAsia"/>
              </w:rPr>
            </w:pPr>
            <w:r>
              <w:rPr>
                <w:rFonts w:hint="eastAsia"/>
              </w:rPr>
              <w:t>出</w:t>
            </w:r>
          </w:p>
          <w:p>
            <w:pPr>
              <w:jc w:val="center"/>
              <w:rPr>
                <w:rFonts w:hint="eastAsia"/>
              </w:rPr>
            </w:pPr>
            <w:r>
              <w:rPr>
                <w:rFonts w:hint="eastAsia"/>
              </w:rPr>
              <w:t>指</w:t>
            </w:r>
          </w:p>
          <w:p>
            <w:pPr>
              <w:jc w:val="center"/>
              <w:rPr>
                <w:rFonts w:hint="eastAsia"/>
              </w:rPr>
            </w:pPr>
            <w:r>
              <w:rPr>
                <w:rFonts w:hint="eastAsia"/>
              </w:rPr>
              <w:t>标</w:t>
            </w:r>
          </w:p>
          <w:p>
            <w:pPr>
              <w:jc w:val="center"/>
            </w:pPr>
            <w:r>
              <w:rPr>
                <w:rFonts w:hint="eastAsia"/>
              </w:rPr>
              <w:t>（50</w:t>
            </w:r>
          </w:p>
          <w:p>
            <w:pPr>
              <w:jc w:val="center"/>
            </w:pPr>
            <w:r>
              <w:rPr>
                <w:rFonts w:hint="eastAsia"/>
              </w:rPr>
              <w:t>分）</w:t>
            </w:r>
          </w:p>
        </w:tc>
        <w:tc>
          <w:tcPr>
            <w:tcW w:w="1138" w:type="dxa"/>
            <w:vMerge w:val="restart"/>
            <w:noWrap w:val="0"/>
            <w:vAlign w:val="center"/>
          </w:tcPr>
          <w:p>
            <w:pPr>
              <w:jc w:val="center"/>
              <w:rPr>
                <w:rFonts w:hint="eastAsia"/>
              </w:rPr>
            </w:pPr>
            <w:r>
              <w:rPr>
                <w:rFonts w:hint="eastAsia"/>
              </w:rPr>
              <w:t>数量指标</w:t>
            </w:r>
          </w:p>
        </w:tc>
        <w:tc>
          <w:tcPr>
            <w:tcW w:w="1348" w:type="dxa"/>
            <w:noWrap w:val="0"/>
            <w:vAlign w:val="center"/>
          </w:tcPr>
          <w:p>
            <w:pPr>
              <w:jc w:val="center"/>
              <w:rPr>
                <w:sz w:val="18"/>
                <w:szCs w:val="21"/>
              </w:rPr>
            </w:pPr>
            <w:r>
              <w:rPr>
                <w:rFonts w:hint="eastAsia" w:ascii="仿宋_GB2312" w:hAnsi="黑体" w:eastAsia="仿宋_GB2312" w:cs="黑体"/>
                <w:szCs w:val="21"/>
                <w:lang w:val="en-US" w:eastAsia="zh-CN"/>
              </w:rPr>
              <w:t>基层妇联领头雁</w:t>
            </w:r>
            <w:r>
              <w:rPr>
                <w:rFonts w:hint="eastAsia" w:ascii="仿宋_GB2312" w:hAnsi="黑体" w:eastAsia="仿宋_GB2312" w:cs="黑体"/>
                <w:szCs w:val="21"/>
              </w:rPr>
              <w:t>妇女培训班</w:t>
            </w:r>
          </w:p>
        </w:tc>
        <w:tc>
          <w:tcPr>
            <w:tcW w:w="735" w:type="dxa"/>
            <w:noWrap w:val="0"/>
            <w:vAlign w:val="center"/>
          </w:tcPr>
          <w:p>
            <w:pPr>
              <w:jc w:val="center"/>
              <w:rPr>
                <w:rFonts w:hint="default" w:eastAsia="宋体"/>
                <w:lang w:val="en-US" w:eastAsia="zh-CN"/>
              </w:rPr>
            </w:pPr>
            <w:r>
              <w:rPr>
                <w:rFonts w:hint="eastAsia"/>
                <w:lang w:val="en-US" w:eastAsia="zh-CN"/>
              </w:rPr>
              <w:t>20</w:t>
            </w:r>
          </w:p>
        </w:tc>
        <w:tc>
          <w:tcPr>
            <w:tcW w:w="1246" w:type="dxa"/>
            <w:noWrap w:val="0"/>
            <w:vAlign w:val="center"/>
          </w:tcPr>
          <w:p>
            <w:pPr>
              <w:jc w:val="center"/>
              <w:rPr>
                <w:rFonts w:hint="eastAsia" w:eastAsia="宋体"/>
                <w:lang w:val="en-US" w:eastAsia="zh-CN"/>
              </w:rPr>
            </w:pPr>
            <w:r>
              <w:rPr>
                <w:rFonts w:hint="eastAsia"/>
                <w:lang w:val="en-US" w:eastAsia="zh-CN"/>
              </w:rPr>
              <w:t>完成</w:t>
            </w:r>
          </w:p>
        </w:tc>
        <w:tc>
          <w:tcPr>
            <w:tcW w:w="839" w:type="dxa"/>
            <w:noWrap w:val="0"/>
            <w:vAlign w:val="center"/>
          </w:tcPr>
          <w:p>
            <w:pPr>
              <w:jc w:val="center"/>
              <w:rPr>
                <w:rFonts w:hint="eastAsia" w:eastAsia="宋体"/>
                <w:lang w:val="en-US" w:eastAsia="zh-CN"/>
              </w:rPr>
            </w:pPr>
            <w:r>
              <w:rPr>
                <w:rFonts w:hint="eastAsia"/>
                <w:lang w:val="en-US" w:eastAsia="zh-CN"/>
              </w:rPr>
              <w:t>完成</w:t>
            </w:r>
          </w:p>
        </w:tc>
        <w:tc>
          <w:tcPr>
            <w:tcW w:w="866" w:type="dxa"/>
            <w:noWrap w:val="0"/>
            <w:vAlign w:val="center"/>
          </w:tcPr>
          <w:p>
            <w:pPr>
              <w:jc w:val="center"/>
              <w:rPr>
                <w:rFonts w:hint="default" w:eastAsia="宋体"/>
                <w:lang w:val="en-US" w:eastAsia="zh-CN"/>
              </w:rPr>
            </w:pPr>
            <w:r>
              <w:rPr>
                <w:rFonts w:hint="eastAsia"/>
                <w:lang w:val="en-US" w:eastAsia="zh-CN"/>
              </w:rPr>
              <w:t>20</w:t>
            </w: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rPr>
                <w:rFonts w:hint="eastAsia"/>
              </w:rPr>
            </w:pPr>
          </w:p>
        </w:tc>
        <w:tc>
          <w:tcPr>
            <w:tcW w:w="726" w:type="dxa"/>
            <w:vMerge w:val="continue"/>
            <w:noWrap w:val="0"/>
            <w:vAlign w:val="center"/>
          </w:tcPr>
          <w:p>
            <w:pPr>
              <w:jc w:val="center"/>
              <w:rPr>
                <w:rFonts w:hint="eastAsia"/>
              </w:rPr>
            </w:pPr>
          </w:p>
        </w:tc>
        <w:tc>
          <w:tcPr>
            <w:tcW w:w="1138" w:type="dxa"/>
            <w:vMerge w:val="continue"/>
            <w:noWrap w:val="0"/>
            <w:vAlign w:val="center"/>
          </w:tcPr>
          <w:p>
            <w:pPr>
              <w:jc w:val="center"/>
            </w:pPr>
          </w:p>
        </w:tc>
        <w:tc>
          <w:tcPr>
            <w:tcW w:w="1348" w:type="dxa"/>
            <w:noWrap w:val="0"/>
            <w:vAlign w:val="center"/>
          </w:tcPr>
          <w:p>
            <w:pPr>
              <w:jc w:val="center"/>
              <w:rPr>
                <w:sz w:val="18"/>
                <w:szCs w:val="21"/>
              </w:rPr>
            </w:pPr>
            <w:r>
              <w:rPr>
                <w:rFonts w:hint="eastAsia" w:ascii="仿宋_GB2312" w:hAnsi="黑体" w:eastAsia="仿宋_GB2312" w:cs="黑体"/>
                <w:szCs w:val="21"/>
                <w:lang w:val="en-US" w:eastAsia="zh-CN"/>
              </w:rPr>
              <w:t>社区家长学校开展13场</w:t>
            </w:r>
          </w:p>
        </w:tc>
        <w:tc>
          <w:tcPr>
            <w:tcW w:w="735" w:type="dxa"/>
            <w:noWrap w:val="0"/>
            <w:vAlign w:val="center"/>
          </w:tcPr>
          <w:p>
            <w:pPr>
              <w:jc w:val="center"/>
              <w:rPr>
                <w:rFonts w:hint="default" w:eastAsia="宋体"/>
                <w:lang w:val="en-US" w:eastAsia="zh-CN"/>
              </w:rPr>
            </w:pPr>
            <w:r>
              <w:rPr>
                <w:rFonts w:hint="eastAsia"/>
                <w:lang w:val="en-US" w:eastAsia="zh-CN"/>
              </w:rPr>
              <w:t>10</w:t>
            </w:r>
          </w:p>
        </w:tc>
        <w:tc>
          <w:tcPr>
            <w:tcW w:w="1246" w:type="dxa"/>
            <w:noWrap w:val="0"/>
            <w:vAlign w:val="center"/>
          </w:tcPr>
          <w:p>
            <w:pPr>
              <w:jc w:val="center"/>
              <w:rPr>
                <w:rFonts w:hint="eastAsia" w:eastAsia="宋体"/>
                <w:lang w:val="en-US" w:eastAsia="zh-CN"/>
              </w:rPr>
            </w:pPr>
            <w:r>
              <w:rPr>
                <w:rFonts w:hint="eastAsia"/>
                <w:lang w:val="en-US" w:eastAsia="zh-CN"/>
              </w:rPr>
              <w:t>完成</w:t>
            </w:r>
          </w:p>
        </w:tc>
        <w:tc>
          <w:tcPr>
            <w:tcW w:w="839" w:type="dxa"/>
            <w:noWrap w:val="0"/>
            <w:vAlign w:val="center"/>
          </w:tcPr>
          <w:p>
            <w:pPr>
              <w:jc w:val="center"/>
              <w:rPr>
                <w:rFonts w:hint="eastAsia" w:eastAsia="宋体"/>
                <w:lang w:val="en-US" w:eastAsia="zh-CN"/>
              </w:rPr>
            </w:pPr>
            <w:r>
              <w:rPr>
                <w:rFonts w:hint="eastAsia"/>
                <w:lang w:val="en-US" w:eastAsia="zh-CN"/>
              </w:rPr>
              <w:t>完成</w:t>
            </w:r>
          </w:p>
        </w:tc>
        <w:tc>
          <w:tcPr>
            <w:tcW w:w="866" w:type="dxa"/>
            <w:noWrap w:val="0"/>
            <w:vAlign w:val="center"/>
          </w:tcPr>
          <w:p>
            <w:pPr>
              <w:jc w:val="center"/>
              <w:rPr>
                <w:rFonts w:hint="default" w:eastAsia="宋体"/>
                <w:lang w:val="en-US" w:eastAsia="zh-CN"/>
              </w:rPr>
            </w:pPr>
            <w:r>
              <w:rPr>
                <w:rFonts w:hint="eastAsia"/>
                <w:lang w:val="en-US" w:eastAsia="zh-CN"/>
              </w:rPr>
              <w:t>10</w:t>
            </w: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rPr>
                <w:rFonts w:hint="eastAsia"/>
              </w:rPr>
            </w:pPr>
          </w:p>
        </w:tc>
        <w:tc>
          <w:tcPr>
            <w:tcW w:w="726" w:type="dxa"/>
            <w:vMerge w:val="continue"/>
            <w:noWrap w:val="0"/>
            <w:vAlign w:val="center"/>
          </w:tcPr>
          <w:p>
            <w:pPr>
              <w:jc w:val="center"/>
              <w:rPr>
                <w:rFonts w:hint="eastAsia"/>
              </w:rPr>
            </w:pPr>
          </w:p>
        </w:tc>
        <w:tc>
          <w:tcPr>
            <w:tcW w:w="1138" w:type="dxa"/>
            <w:vMerge w:val="continue"/>
            <w:noWrap w:val="0"/>
            <w:vAlign w:val="center"/>
          </w:tcPr>
          <w:p>
            <w:pPr>
              <w:jc w:val="center"/>
            </w:pPr>
          </w:p>
        </w:tc>
        <w:tc>
          <w:tcPr>
            <w:tcW w:w="1348" w:type="dxa"/>
            <w:noWrap w:val="0"/>
            <w:vAlign w:val="center"/>
          </w:tcPr>
          <w:p>
            <w:pPr>
              <w:jc w:val="center"/>
              <w:rPr>
                <w:sz w:val="18"/>
                <w:szCs w:val="21"/>
              </w:rP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rPr>
                <w:rFonts w:hint="eastAsia"/>
              </w:rPr>
            </w:pPr>
          </w:p>
        </w:tc>
        <w:tc>
          <w:tcPr>
            <w:tcW w:w="1138" w:type="dxa"/>
            <w:vMerge w:val="restart"/>
            <w:noWrap w:val="0"/>
            <w:vAlign w:val="center"/>
          </w:tcPr>
          <w:p>
            <w:pPr>
              <w:jc w:val="center"/>
              <w:rPr>
                <w:rFonts w:hint="eastAsia"/>
              </w:rPr>
            </w:pPr>
            <w:r>
              <w:rPr>
                <w:rFonts w:hint="eastAsia"/>
              </w:rPr>
              <w:t>质量指标</w:t>
            </w:r>
          </w:p>
        </w:tc>
        <w:tc>
          <w:tcPr>
            <w:tcW w:w="1348" w:type="dxa"/>
            <w:noWrap w:val="0"/>
            <w:vAlign w:val="center"/>
          </w:tcPr>
          <w:p>
            <w:pPr>
              <w:jc w:val="center"/>
            </w:pPr>
            <w:r>
              <w:rPr>
                <w:rFonts w:hint="eastAsia" w:ascii="仿宋_GB2312" w:hAnsi="黑体" w:eastAsia="仿宋_GB2312" w:cs="黑体"/>
                <w:szCs w:val="21"/>
              </w:rPr>
              <w:t>“两癌”免费检查</w:t>
            </w:r>
            <w:r>
              <w:rPr>
                <w:rFonts w:hint="eastAsia" w:ascii="仿宋_GB2312" w:hAnsi="黑体" w:eastAsia="仿宋_GB2312" w:cs="黑体"/>
                <w:szCs w:val="21"/>
                <w:lang w:val="en-US" w:eastAsia="zh-CN"/>
              </w:rPr>
              <w:t>10025人</w:t>
            </w:r>
          </w:p>
        </w:tc>
        <w:tc>
          <w:tcPr>
            <w:tcW w:w="735" w:type="dxa"/>
            <w:noWrap w:val="0"/>
            <w:vAlign w:val="center"/>
          </w:tcPr>
          <w:p>
            <w:pPr>
              <w:jc w:val="center"/>
              <w:rPr>
                <w:rFonts w:hint="default" w:eastAsia="宋体"/>
                <w:lang w:val="en-US" w:eastAsia="zh-CN"/>
              </w:rPr>
            </w:pPr>
            <w:r>
              <w:rPr>
                <w:rFonts w:hint="eastAsia"/>
                <w:lang w:val="en-US" w:eastAsia="zh-CN"/>
              </w:rPr>
              <w:t>20</w:t>
            </w:r>
          </w:p>
        </w:tc>
        <w:tc>
          <w:tcPr>
            <w:tcW w:w="1246" w:type="dxa"/>
            <w:noWrap w:val="0"/>
            <w:vAlign w:val="center"/>
          </w:tcPr>
          <w:p>
            <w:pPr>
              <w:jc w:val="center"/>
              <w:rPr>
                <w:rFonts w:hint="default" w:eastAsia="宋体"/>
                <w:lang w:val="en-US" w:eastAsia="zh-CN"/>
              </w:rPr>
            </w:pPr>
            <w:r>
              <w:rPr>
                <w:rFonts w:hint="eastAsia"/>
                <w:lang w:val="en-US" w:eastAsia="zh-CN"/>
              </w:rPr>
              <w:t>完成</w:t>
            </w:r>
          </w:p>
        </w:tc>
        <w:tc>
          <w:tcPr>
            <w:tcW w:w="839" w:type="dxa"/>
            <w:noWrap w:val="0"/>
            <w:vAlign w:val="center"/>
          </w:tcPr>
          <w:p>
            <w:pPr>
              <w:jc w:val="center"/>
              <w:rPr>
                <w:rFonts w:hint="eastAsia" w:eastAsia="宋体"/>
                <w:lang w:val="en-US" w:eastAsia="zh-CN"/>
              </w:rPr>
            </w:pPr>
            <w:r>
              <w:rPr>
                <w:rFonts w:hint="eastAsia"/>
                <w:lang w:val="en-US" w:eastAsia="zh-CN"/>
              </w:rPr>
              <w:t>完成</w:t>
            </w:r>
          </w:p>
        </w:tc>
        <w:tc>
          <w:tcPr>
            <w:tcW w:w="866" w:type="dxa"/>
            <w:noWrap w:val="0"/>
            <w:vAlign w:val="center"/>
          </w:tcPr>
          <w:p>
            <w:pPr>
              <w:jc w:val="center"/>
              <w:rPr>
                <w:rFonts w:hint="default" w:eastAsia="宋体"/>
                <w:lang w:val="en-US" w:eastAsia="zh-CN"/>
              </w:rPr>
            </w:pPr>
            <w:r>
              <w:rPr>
                <w:rFonts w:hint="eastAsia"/>
                <w:lang w:val="en-US" w:eastAsia="zh-CN"/>
              </w:rPr>
              <w:t>20</w:t>
            </w: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pPr>
          </w:p>
        </w:tc>
        <w:tc>
          <w:tcPr>
            <w:tcW w:w="1348" w:type="dxa"/>
            <w:noWrap w:val="0"/>
            <w:vAlign w:val="center"/>
          </w:tcPr>
          <w:p>
            <w:pPr>
              <w:jc w:val="cente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pPr>
          </w:p>
        </w:tc>
        <w:tc>
          <w:tcPr>
            <w:tcW w:w="1348" w:type="dxa"/>
            <w:noWrap w:val="0"/>
            <w:vAlign w:val="center"/>
          </w:tcPr>
          <w:p>
            <w:pPr>
              <w:jc w:val="cente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restart"/>
            <w:noWrap w:val="0"/>
            <w:vAlign w:val="center"/>
          </w:tcPr>
          <w:p>
            <w:pPr>
              <w:jc w:val="center"/>
              <w:rPr>
                <w:rFonts w:hint="eastAsia"/>
              </w:rPr>
            </w:pPr>
            <w:r>
              <w:rPr>
                <w:rFonts w:hint="eastAsia"/>
              </w:rPr>
              <w:t>时效指标</w:t>
            </w:r>
          </w:p>
        </w:tc>
        <w:tc>
          <w:tcPr>
            <w:tcW w:w="1348" w:type="dxa"/>
            <w:noWrap w:val="0"/>
            <w:vAlign w:val="center"/>
          </w:tcPr>
          <w:p>
            <w:pPr>
              <w:jc w:val="center"/>
            </w:pPr>
          </w:p>
        </w:tc>
        <w:tc>
          <w:tcPr>
            <w:tcW w:w="735" w:type="dxa"/>
            <w:noWrap w:val="0"/>
            <w:vAlign w:val="center"/>
          </w:tcPr>
          <w:p>
            <w:pPr>
              <w:jc w:val="center"/>
              <w:rPr>
                <w:rFonts w:hint="default" w:eastAsia="宋体"/>
                <w:lang w:val="en-US" w:eastAsia="zh-CN"/>
              </w:rPr>
            </w:pPr>
          </w:p>
        </w:tc>
        <w:tc>
          <w:tcPr>
            <w:tcW w:w="1246" w:type="dxa"/>
            <w:noWrap w:val="0"/>
            <w:vAlign w:val="center"/>
          </w:tcPr>
          <w:p>
            <w:pPr>
              <w:jc w:val="center"/>
              <w:rPr>
                <w:rFonts w:hint="default" w:eastAsia="宋体"/>
                <w:lang w:val="en-US" w:eastAsia="zh-CN"/>
              </w:rPr>
            </w:pPr>
          </w:p>
        </w:tc>
        <w:tc>
          <w:tcPr>
            <w:tcW w:w="839" w:type="dxa"/>
            <w:noWrap w:val="0"/>
            <w:vAlign w:val="center"/>
          </w:tcPr>
          <w:p>
            <w:pPr>
              <w:jc w:val="center"/>
              <w:rPr>
                <w:rFonts w:hint="default" w:eastAsia="宋体"/>
                <w:lang w:val="en-US" w:eastAsia="zh-CN"/>
              </w:rPr>
            </w:pPr>
          </w:p>
        </w:tc>
        <w:tc>
          <w:tcPr>
            <w:tcW w:w="866" w:type="dxa"/>
            <w:noWrap w:val="0"/>
            <w:vAlign w:val="center"/>
          </w:tcPr>
          <w:p>
            <w:pPr>
              <w:jc w:val="center"/>
              <w:rPr>
                <w:rFonts w:hint="default" w:eastAsia="宋体"/>
                <w:lang w:val="en-US" w:eastAsia="zh-CN"/>
              </w:rP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pPr>
          </w:p>
        </w:tc>
        <w:tc>
          <w:tcPr>
            <w:tcW w:w="1348" w:type="dxa"/>
            <w:noWrap w:val="0"/>
            <w:vAlign w:val="center"/>
          </w:tcPr>
          <w:p>
            <w:pPr>
              <w:jc w:val="cente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pPr>
          </w:p>
        </w:tc>
        <w:tc>
          <w:tcPr>
            <w:tcW w:w="1348" w:type="dxa"/>
            <w:noWrap w:val="0"/>
            <w:vAlign w:val="center"/>
          </w:tcPr>
          <w:p>
            <w:pPr>
              <w:jc w:val="cente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restart"/>
            <w:noWrap w:val="0"/>
            <w:vAlign w:val="center"/>
          </w:tcPr>
          <w:p>
            <w:pPr>
              <w:jc w:val="center"/>
              <w:rPr>
                <w:rFonts w:hint="eastAsia"/>
              </w:rPr>
            </w:pPr>
            <w:r>
              <w:rPr>
                <w:rFonts w:hint="eastAsia"/>
              </w:rPr>
              <w:t>成本指标</w:t>
            </w:r>
          </w:p>
        </w:tc>
        <w:tc>
          <w:tcPr>
            <w:tcW w:w="1348" w:type="dxa"/>
            <w:noWrap w:val="0"/>
            <w:vAlign w:val="center"/>
          </w:tcPr>
          <w:p>
            <w:pPr>
              <w:jc w:val="cente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pPr>
          </w:p>
        </w:tc>
        <w:tc>
          <w:tcPr>
            <w:tcW w:w="1348" w:type="dxa"/>
            <w:noWrap w:val="0"/>
            <w:vAlign w:val="center"/>
          </w:tcPr>
          <w:p>
            <w:pPr>
              <w:jc w:val="cente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pPr>
          </w:p>
        </w:tc>
        <w:tc>
          <w:tcPr>
            <w:tcW w:w="1348" w:type="dxa"/>
            <w:noWrap w:val="0"/>
            <w:vAlign w:val="center"/>
          </w:tcPr>
          <w:p>
            <w:pPr>
              <w:jc w:val="cente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noWrap w:val="0"/>
            <w:vAlign w:val="center"/>
          </w:tcPr>
          <w:p>
            <w:pPr>
              <w:jc w:val="center"/>
            </w:pPr>
            <w:r>
              <w:rPr>
                <w:rFonts w:hint="eastAsia"/>
              </w:rPr>
              <w:t>......</w:t>
            </w:r>
          </w:p>
        </w:tc>
        <w:tc>
          <w:tcPr>
            <w:tcW w:w="1348" w:type="dxa"/>
            <w:noWrap w:val="0"/>
            <w:vAlign w:val="center"/>
          </w:tcPr>
          <w:p>
            <w:pPr>
              <w:jc w:val="cente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20" w:type="dxa"/>
            <w:vMerge w:val="continue"/>
            <w:noWrap w:val="0"/>
            <w:vAlign w:val="center"/>
          </w:tcPr>
          <w:p>
            <w:pPr>
              <w:jc w:val="center"/>
            </w:pPr>
          </w:p>
        </w:tc>
        <w:tc>
          <w:tcPr>
            <w:tcW w:w="726" w:type="dxa"/>
            <w:vMerge w:val="restart"/>
            <w:noWrap w:val="0"/>
            <w:vAlign w:val="center"/>
          </w:tcPr>
          <w:p>
            <w:pPr>
              <w:jc w:val="center"/>
              <w:rPr>
                <w:rFonts w:hint="eastAsia"/>
              </w:rPr>
            </w:pPr>
            <w:r>
              <w:rPr>
                <w:rFonts w:hint="eastAsia"/>
              </w:rPr>
              <w:t>效</w:t>
            </w:r>
          </w:p>
          <w:p>
            <w:pPr>
              <w:jc w:val="center"/>
              <w:rPr>
                <w:rFonts w:hint="eastAsia"/>
              </w:rPr>
            </w:pPr>
            <w:r>
              <w:rPr>
                <w:rFonts w:hint="eastAsia"/>
              </w:rPr>
              <w:t>效益</w:t>
            </w:r>
          </w:p>
          <w:p>
            <w:pPr>
              <w:jc w:val="center"/>
              <w:rPr>
                <w:rFonts w:hint="eastAsia"/>
              </w:rPr>
            </w:pPr>
            <w:r>
              <w:rPr>
                <w:rFonts w:hint="eastAsia"/>
              </w:rPr>
              <w:t>指</w:t>
            </w:r>
          </w:p>
          <w:p>
            <w:pPr>
              <w:jc w:val="center"/>
              <w:rPr>
                <w:rFonts w:hint="eastAsia"/>
              </w:rPr>
            </w:pPr>
            <w:r>
              <w:rPr>
                <w:rFonts w:hint="eastAsia"/>
              </w:rPr>
              <w:t>标</w:t>
            </w:r>
          </w:p>
          <w:p>
            <w:pPr>
              <w:jc w:val="center"/>
            </w:pPr>
            <w:r>
              <w:rPr>
                <w:rFonts w:hint="eastAsia"/>
              </w:rPr>
              <w:t>（30</w:t>
            </w:r>
          </w:p>
          <w:p>
            <w:pPr>
              <w:jc w:val="center"/>
              <w:rPr>
                <w:rFonts w:hint="eastAsia"/>
              </w:rPr>
            </w:pPr>
            <w:r>
              <w:rPr>
                <w:rFonts w:hint="eastAsia"/>
              </w:rPr>
              <w:t>分）</w:t>
            </w:r>
          </w:p>
        </w:tc>
        <w:tc>
          <w:tcPr>
            <w:tcW w:w="1138" w:type="dxa"/>
            <w:vMerge w:val="restart"/>
            <w:noWrap w:val="0"/>
            <w:vAlign w:val="center"/>
          </w:tcPr>
          <w:p>
            <w:pPr>
              <w:jc w:val="center"/>
              <w:rPr>
                <w:rFonts w:hint="eastAsia"/>
              </w:rPr>
            </w:pPr>
            <w:r>
              <w:rPr>
                <w:rFonts w:hint="eastAsia"/>
              </w:rPr>
              <w:t>经济效益指标</w:t>
            </w:r>
          </w:p>
        </w:tc>
        <w:tc>
          <w:tcPr>
            <w:tcW w:w="1348" w:type="dxa"/>
            <w:noWrap w:val="0"/>
            <w:vAlign w:val="center"/>
          </w:tcPr>
          <w:p>
            <w:pPr>
              <w:jc w:val="cente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rPr>
                <w:rFonts w:hint="eastAsia"/>
              </w:rPr>
            </w:pPr>
          </w:p>
        </w:tc>
        <w:tc>
          <w:tcPr>
            <w:tcW w:w="1138" w:type="dxa"/>
            <w:vMerge w:val="continue"/>
            <w:noWrap w:val="0"/>
            <w:vAlign w:val="center"/>
          </w:tcPr>
          <w:p>
            <w:pPr>
              <w:jc w:val="center"/>
              <w:rPr>
                <w:rFonts w:hint="eastAsia"/>
              </w:rPr>
            </w:pPr>
          </w:p>
        </w:tc>
        <w:tc>
          <w:tcPr>
            <w:tcW w:w="1348" w:type="dxa"/>
            <w:noWrap w:val="0"/>
            <w:vAlign w:val="center"/>
          </w:tcPr>
          <w:p>
            <w:pPr>
              <w:jc w:val="cente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rPr>
                <w:rFonts w:hint="eastAsia"/>
              </w:rPr>
            </w:pPr>
          </w:p>
        </w:tc>
        <w:tc>
          <w:tcPr>
            <w:tcW w:w="1138" w:type="dxa"/>
            <w:vMerge w:val="continue"/>
            <w:noWrap w:val="0"/>
            <w:vAlign w:val="center"/>
          </w:tcPr>
          <w:p>
            <w:pPr>
              <w:jc w:val="center"/>
            </w:pPr>
          </w:p>
        </w:tc>
        <w:tc>
          <w:tcPr>
            <w:tcW w:w="1348" w:type="dxa"/>
            <w:noWrap w:val="0"/>
            <w:vAlign w:val="center"/>
          </w:tcPr>
          <w:p>
            <w:pPr>
              <w:jc w:val="cente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0" w:type="dxa"/>
            <w:vMerge w:val="restart"/>
            <w:noWrap w:val="0"/>
            <w:vAlign w:val="center"/>
          </w:tcPr>
          <w:p>
            <w:pPr>
              <w:jc w:val="center"/>
            </w:pPr>
          </w:p>
        </w:tc>
        <w:tc>
          <w:tcPr>
            <w:tcW w:w="726" w:type="dxa"/>
            <w:vMerge w:val="continue"/>
            <w:noWrap w:val="0"/>
            <w:vAlign w:val="center"/>
          </w:tcPr>
          <w:p>
            <w:pPr>
              <w:jc w:val="center"/>
              <w:rPr>
                <w:rFonts w:hint="eastAsia"/>
              </w:rPr>
            </w:pPr>
          </w:p>
        </w:tc>
        <w:tc>
          <w:tcPr>
            <w:tcW w:w="1138" w:type="dxa"/>
            <w:vMerge w:val="restart"/>
            <w:noWrap w:val="0"/>
            <w:vAlign w:val="center"/>
          </w:tcPr>
          <w:p>
            <w:pPr>
              <w:jc w:val="center"/>
              <w:rPr>
                <w:rFonts w:hint="eastAsia"/>
              </w:rPr>
            </w:pPr>
            <w:r>
              <w:rPr>
                <w:rFonts w:hint="eastAsia"/>
              </w:rPr>
              <w:t>社会效益指标</w:t>
            </w:r>
          </w:p>
        </w:tc>
        <w:tc>
          <w:tcPr>
            <w:tcW w:w="1348" w:type="dxa"/>
            <w:noWrap w:val="0"/>
            <w:vAlign w:val="center"/>
          </w:tcPr>
          <w:p>
            <w:pPr>
              <w:jc w:val="left"/>
              <w:rPr>
                <w:rFonts w:hint="eastAsia" w:ascii="仿宋_GB2312" w:hAnsi="黑体" w:eastAsia="仿宋_GB2312" w:cs="黑体"/>
                <w:szCs w:val="21"/>
              </w:rPr>
            </w:pPr>
            <w:r>
              <w:rPr>
                <w:rFonts w:hint="eastAsia" w:ascii="仿宋_GB2312" w:hAnsi="黑体" w:eastAsia="仿宋_GB2312" w:cs="黑体"/>
                <w:szCs w:val="21"/>
                <w:lang w:val="en-US" w:eastAsia="zh-CN"/>
              </w:rPr>
              <w:t>优秀家书征集</w:t>
            </w:r>
            <w:r>
              <w:rPr>
                <w:rFonts w:hint="eastAsia" w:ascii="仿宋_GB2312" w:hAnsi="黑体" w:eastAsia="仿宋_GB2312" w:cs="黑体"/>
                <w:szCs w:val="21"/>
              </w:rPr>
              <w:t>活动</w:t>
            </w:r>
          </w:p>
          <w:p>
            <w:pPr>
              <w:jc w:val="center"/>
            </w:pPr>
          </w:p>
        </w:tc>
        <w:tc>
          <w:tcPr>
            <w:tcW w:w="735" w:type="dxa"/>
            <w:noWrap w:val="0"/>
            <w:vAlign w:val="center"/>
          </w:tcPr>
          <w:p>
            <w:pPr>
              <w:jc w:val="center"/>
              <w:rPr>
                <w:rFonts w:hint="default" w:eastAsia="宋体"/>
                <w:lang w:val="en-US" w:eastAsia="zh-CN"/>
              </w:rPr>
            </w:pPr>
            <w:r>
              <w:rPr>
                <w:rFonts w:hint="eastAsia"/>
                <w:lang w:val="en-US" w:eastAsia="zh-CN"/>
              </w:rPr>
              <w:t>30</w:t>
            </w:r>
          </w:p>
        </w:tc>
        <w:tc>
          <w:tcPr>
            <w:tcW w:w="1246" w:type="dxa"/>
            <w:noWrap w:val="0"/>
            <w:vAlign w:val="center"/>
          </w:tcPr>
          <w:p>
            <w:pPr>
              <w:jc w:val="center"/>
              <w:rPr>
                <w:rFonts w:hint="eastAsia" w:eastAsia="宋体"/>
                <w:lang w:val="en-US" w:eastAsia="zh-CN"/>
              </w:rPr>
            </w:pPr>
            <w:r>
              <w:rPr>
                <w:rFonts w:hint="eastAsia"/>
                <w:lang w:val="en-US" w:eastAsia="zh-CN"/>
              </w:rPr>
              <w:t>评选</w:t>
            </w:r>
          </w:p>
        </w:tc>
        <w:tc>
          <w:tcPr>
            <w:tcW w:w="839" w:type="dxa"/>
            <w:noWrap w:val="0"/>
            <w:vAlign w:val="center"/>
          </w:tcPr>
          <w:p>
            <w:pPr>
              <w:jc w:val="center"/>
              <w:rPr>
                <w:rFonts w:hint="eastAsia" w:eastAsia="宋体"/>
                <w:lang w:val="en-US" w:eastAsia="zh-CN"/>
              </w:rPr>
            </w:pPr>
            <w:r>
              <w:rPr>
                <w:rFonts w:hint="eastAsia"/>
                <w:lang w:val="en-US" w:eastAsia="zh-CN"/>
              </w:rPr>
              <w:t>评选</w:t>
            </w:r>
          </w:p>
        </w:tc>
        <w:tc>
          <w:tcPr>
            <w:tcW w:w="866" w:type="dxa"/>
            <w:noWrap w:val="0"/>
            <w:vAlign w:val="center"/>
          </w:tcPr>
          <w:p>
            <w:pPr>
              <w:jc w:val="center"/>
              <w:rPr>
                <w:rFonts w:hint="default" w:eastAsia="宋体"/>
                <w:lang w:val="en-US" w:eastAsia="zh-CN"/>
              </w:rPr>
            </w:pPr>
            <w:r>
              <w:rPr>
                <w:rFonts w:hint="eastAsia"/>
                <w:lang w:val="en-US" w:eastAsia="zh-CN"/>
              </w:rPr>
              <w:t>30</w:t>
            </w: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rPr>
                <w:rFonts w:hint="eastAsia"/>
              </w:rPr>
            </w:pPr>
          </w:p>
        </w:tc>
        <w:tc>
          <w:tcPr>
            <w:tcW w:w="1348" w:type="dxa"/>
            <w:noWrap w:val="0"/>
            <w:vAlign w:val="center"/>
          </w:tcPr>
          <w:p>
            <w:pPr>
              <w:jc w:val="cente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rPr>
                <w:rFonts w:hint="eastAsia"/>
              </w:rPr>
            </w:pPr>
          </w:p>
        </w:tc>
        <w:tc>
          <w:tcPr>
            <w:tcW w:w="1138" w:type="dxa"/>
            <w:vMerge w:val="continue"/>
            <w:noWrap w:val="0"/>
            <w:vAlign w:val="center"/>
          </w:tcPr>
          <w:p>
            <w:pPr>
              <w:jc w:val="center"/>
            </w:pPr>
          </w:p>
        </w:tc>
        <w:tc>
          <w:tcPr>
            <w:tcW w:w="1348" w:type="dxa"/>
            <w:noWrap w:val="0"/>
            <w:vAlign w:val="center"/>
          </w:tcPr>
          <w:p>
            <w:pPr>
              <w:jc w:val="cente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restart"/>
            <w:noWrap w:val="0"/>
            <w:vAlign w:val="center"/>
          </w:tcPr>
          <w:p>
            <w:pPr>
              <w:jc w:val="center"/>
              <w:rPr>
                <w:rFonts w:hint="eastAsia"/>
              </w:rPr>
            </w:pPr>
            <w:r>
              <w:rPr>
                <w:rFonts w:hint="eastAsia"/>
              </w:rPr>
              <w:t>生态效益指标</w:t>
            </w:r>
          </w:p>
        </w:tc>
        <w:tc>
          <w:tcPr>
            <w:tcW w:w="1348" w:type="dxa"/>
            <w:noWrap w:val="0"/>
            <w:vAlign w:val="center"/>
          </w:tcPr>
          <w:p>
            <w:pPr>
              <w:jc w:val="cente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pPr>
          </w:p>
        </w:tc>
        <w:tc>
          <w:tcPr>
            <w:tcW w:w="1348" w:type="dxa"/>
            <w:noWrap w:val="0"/>
            <w:vAlign w:val="center"/>
          </w:tcPr>
          <w:p>
            <w:pPr>
              <w:jc w:val="cente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pPr>
          </w:p>
        </w:tc>
        <w:tc>
          <w:tcPr>
            <w:tcW w:w="1348" w:type="dxa"/>
            <w:noWrap w:val="0"/>
            <w:vAlign w:val="center"/>
          </w:tcPr>
          <w:p>
            <w:pPr>
              <w:jc w:val="cente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restart"/>
            <w:noWrap w:val="0"/>
            <w:vAlign w:val="center"/>
          </w:tcPr>
          <w:p>
            <w:pPr>
              <w:jc w:val="center"/>
              <w:rPr>
                <w:rFonts w:hint="eastAsia"/>
              </w:rPr>
            </w:pPr>
            <w:r>
              <w:rPr>
                <w:rFonts w:hint="eastAsia"/>
              </w:rPr>
              <w:t>可持续影响指标</w:t>
            </w:r>
          </w:p>
        </w:tc>
        <w:tc>
          <w:tcPr>
            <w:tcW w:w="1348" w:type="dxa"/>
            <w:noWrap w:val="0"/>
            <w:vAlign w:val="center"/>
          </w:tcPr>
          <w:p>
            <w:pPr>
              <w:jc w:val="cente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pPr>
          </w:p>
        </w:tc>
        <w:tc>
          <w:tcPr>
            <w:tcW w:w="1348" w:type="dxa"/>
            <w:noWrap w:val="0"/>
            <w:vAlign w:val="center"/>
          </w:tcPr>
          <w:p>
            <w:pPr>
              <w:jc w:val="cente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pPr>
          </w:p>
        </w:tc>
        <w:tc>
          <w:tcPr>
            <w:tcW w:w="1348" w:type="dxa"/>
            <w:noWrap w:val="0"/>
            <w:vAlign w:val="center"/>
          </w:tcPr>
          <w:p>
            <w:pPr>
              <w:jc w:val="cente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noWrap w:val="0"/>
            <w:vAlign w:val="center"/>
          </w:tcPr>
          <w:p>
            <w:pPr>
              <w:jc w:val="center"/>
            </w:pPr>
            <w:r>
              <w:rPr>
                <w:rFonts w:hint="eastAsia"/>
              </w:rPr>
              <w:t>......</w:t>
            </w:r>
          </w:p>
        </w:tc>
        <w:tc>
          <w:tcPr>
            <w:tcW w:w="1348" w:type="dxa"/>
            <w:noWrap w:val="0"/>
            <w:vAlign w:val="center"/>
          </w:tcPr>
          <w:p>
            <w:pPr>
              <w:jc w:val="cente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20" w:type="dxa"/>
            <w:vMerge w:val="continue"/>
            <w:noWrap w:val="0"/>
            <w:vAlign w:val="center"/>
          </w:tcPr>
          <w:p>
            <w:pPr>
              <w:jc w:val="center"/>
            </w:pPr>
          </w:p>
        </w:tc>
        <w:tc>
          <w:tcPr>
            <w:tcW w:w="726" w:type="dxa"/>
            <w:vMerge w:val="restart"/>
            <w:noWrap w:val="0"/>
            <w:vAlign w:val="center"/>
          </w:tcPr>
          <w:p>
            <w:pPr>
              <w:jc w:val="center"/>
            </w:pPr>
            <w:r>
              <w:rPr>
                <w:rFonts w:hint="eastAsia"/>
              </w:rPr>
              <w:t>满意度指标（10分）</w:t>
            </w:r>
          </w:p>
        </w:tc>
        <w:tc>
          <w:tcPr>
            <w:tcW w:w="1138" w:type="dxa"/>
            <w:vMerge w:val="restart"/>
            <w:noWrap w:val="0"/>
            <w:vAlign w:val="center"/>
          </w:tcPr>
          <w:p>
            <w:pPr>
              <w:jc w:val="center"/>
              <w:rPr>
                <w:rFonts w:hint="eastAsia"/>
              </w:rPr>
            </w:pPr>
            <w:r>
              <w:rPr>
                <w:rFonts w:hint="eastAsia"/>
              </w:rPr>
              <w:t>服务对象满意度指标</w:t>
            </w:r>
          </w:p>
        </w:tc>
        <w:tc>
          <w:tcPr>
            <w:tcW w:w="1348" w:type="dxa"/>
            <w:noWrap w:val="0"/>
            <w:vAlign w:val="center"/>
          </w:tcPr>
          <w:p>
            <w:pPr>
              <w:jc w:val="center"/>
              <w:rPr>
                <w:rFonts w:hint="default" w:eastAsia="宋体"/>
                <w:lang w:val="en-US" w:eastAsia="zh-CN"/>
              </w:rPr>
            </w:pPr>
            <w:r>
              <w:rPr>
                <w:rFonts w:hint="eastAsia"/>
                <w:lang w:val="en-US" w:eastAsia="zh-CN"/>
              </w:rPr>
              <w:t>维护妇女儿童合法权益</w:t>
            </w:r>
          </w:p>
        </w:tc>
        <w:tc>
          <w:tcPr>
            <w:tcW w:w="735" w:type="dxa"/>
            <w:noWrap w:val="0"/>
            <w:vAlign w:val="center"/>
          </w:tcPr>
          <w:p>
            <w:pPr>
              <w:jc w:val="center"/>
              <w:rPr>
                <w:rFonts w:hint="default" w:eastAsia="宋体"/>
                <w:lang w:val="en-US" w:eastAsia="zh-CN"/>
              </w:rPr>
            </w:pPr>
            <w:r>
              <w:rPr>
                <w:rFonts w:hint="eastAsia"/>
                <w:lang w:val="en-US" w:eastAsia="zh-CN"/>
              </w:rPr>
              <w:t>10</w:t>
            </w:r>
          </w:p>
        </w:tc>
        <w:tc>
          <w:tcPr>
            <w:tcW w:w="1246" w:type="dxa"/>
            <w:noWrap w:val="0"/>
            <w:vAlign w:val="center"/>
          </w:tcPr>
          <w:p>
            <w:pPr>
              <w:jc w:val="center"/>
              <w:rPr>
                <w:rFonts w:hint="default" w:eastAsia="宋体"/>
                <w:lang w:val="en-US" w:eastAsia="zh-CN"/>
              </w:rPr>
            </w:pPr>
            <w:r>
              <w:rPr>
                <w:rFonts w:hint="eastAsia"/>
                <w:lang w:val="en-US" w:eastAsia="zh-CN"/>
              </w:rPr>
              <w:t>100%</w:t>
            </w:r>
          </w:p>
        </w:tc>
        <w:tc>
          <w:tcPr>
            <w:tcW w:w="839" w:type="dxa"/>
            <w:noWrap w:val="0"/>
            <w:vAlign w:val="center"/>
          </w:tcPr>
          <w:p>
            <w:pPr>
              <w:jc w:val="center"/>
              <w:rPr>
                <w:rFonts w:hint="default" w:eastAsia="宋体"/>
                <w:lang w:val="en-US" w:eastAsia="zh-CN"/>
              </w:rPr>
            </w:pPr>
            <w:r>
              <w:rPr>
                <w:rFonts w:hint="eastAsia"/>
                <w:lang w:val="en-US" w:eastAsia="zh-CN"/>
              </w:rPr>
              <w:t>100%</w:t>
            </w:r>
          </w:p>
        </w:tc>
        <w:tc>
          <w:tcPr>
            <w:tcW w:w="866" w:type="dxa"/>
            <w:noWrap w:val="0"/>
            <w:vAlign w:val="center"/>
          </w:tcPr>
          <w:p>
            <w:pPr>
              <w:jc w:val="center"/>
              <w:rPr>
                <w:rFonts w:hint="default" w:eastAsia="宋体"/>
                <w:lang w:val="en-US" w:eastAsia="zh-CN"/>
              </w:rPr>
            </w:pPr>
            <w:r>
              <w:rPr>
                <w:rFonts w:hint="eastAsia"/>
                <w:lang w:val="en-US" w:eastAsia="zh-CN"/>
              </w:rPr>
              <w:t>10</w:t>
            </w: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rPr>
                <w:rFonts w:hint="eastAsia"/>
              </w:rPr>
            </w:pPr>
          </w:p>
        </w:tc>
        <w:tc>
          <w:tcPr>
            <w:tcW w:w="1348" w:type="dxa"/>
            <w:noWrap w:val="0"/>
            <w:vAlign w:val="center"/>
          </w:tcPr>
          <w:p>
            <w:pPr>
              <w:jc w:val="cente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rPr>
                <w:rFonts w:hint="eastAsia"/>
              </w:rPr>
            </w:pPr>
          </w:p>
        </w:tc>
        <w:tc>
          <w:tcPr>
            <w:tcW w:w="1348" w:type="dxa"/>
            <w:noWrap w:val="0"/>
            <w:vAlign w:val="center"/>
          </w:tcPr>
          <w:p>
            <w:pPr>
              <w:jc w:val="cente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noWrap w:val="0"/>
            <w:vAlign w:val="center"/>
          </w:tcPr>
          <w:p>
            <w:pPr>
              <w:jc w:val="center"/>
            </w:pPr>
            <w:r>
              <w:rPr>
                <w:rFonts w:hint="eastAsia"/>
              </w:rPr>
              <w:t>......</w:t>
            </w:r>
          </w:p>
        </w:tc>
        <w:tc>
          <w:tcPr>
            <w:tcW w:w="1348" w:type="dxa"/>
            <w:noWrap w:val="0"/>
            <w:vAlign w:val="center"/>
          </w:tcPr>
          <w:p>
            <w:pPr>
              <w:jc w:val="cente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632" w:type="dxa"/>
            <w:gridSpan w:val="4"/>
            <w:noWrap w:val="0"/>
            <w:vAlign w:val="center"/>
          </w:tcPr>
          <w:p>
            <w:pPr>
              <w:jc w:val="center"/>
            </w:pPr>
            <w:r>
              <w:rPr>
                <w:rFonts w:hint="eastAsia"/>
              </w:rPr>
              <w:t>总分</w:t>
            </w:r>
          </w:p>
        </w:tc>
        <w:tc>
          <w:tcPr>
            <w:tcW w:w="735" w:type="dxa"/>
            <w:noWrap w:val="0"/>
            <w:vAlign w:val="center"/>
          </w:tcPr>
          <w:p>
            <w:pPr>
              <w:jc w:val="center"/>
            </w:pPr>
            <w:r>
              <w:rPr>
                <w:rFonts w:hint="eastAsia"/>
              </w:rPr>
              <w:t>100</w:t>
            </w: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rPr>
                <w:rFonts w:hint="default" w:eastAsia="宋体"/>
                <w:lang w:val="en-US" w:eastAsia="zh-CN"/>
              </w:rPr>
            </w:pPr>
            <w:r>
              <w:rPr>
                <w:rFonts w:hint="eastAsia"/>
                <w:lang w:val="en-US" w:eastAsia="zh-CN"/>
              </w:rPr>
              <w:t>100</w:t>
            </w:r>
          </w:p>
        </w:tc>
        <w:tc>
          <w:tcPr>
            <w:tcW w:w="1617" w:type="dxa"/>
            <w:gridSpan w:val="2"/>
            <w:noWrap w:val="0"/>
            <w:vAlign w:val="center"/>
          </w:tcPr>
          <w:p>
            <w:pPr>
              <w:jc w:val="center"/>
            </w:pPr>
          </w:p>
        </w:tc>
      </w:tr>
    </w:tbl>
    <w:p>
      <w:pPr>
        <w:ind w:left="10" w:leftChars="5" w:firstLine="406" w:firstLineChars="127"/>
        <w:jc w:val="left"/>
        <w:rPr>
          <w:rFonts w:hint="eastAsia" w:ascii="仿宋" w:hAnsi="仿宋" w:eastAsia="仿宋" w:cs="仿宋"/>
          <w:sz w:val="32"/>
          <w:szCs w:val="32"/>
        </w:rPr>
      </w:pPr>
      <w:r>
        <w:rPr>
          <w:rFonts w:hint="eastAsia" w:ascii="仿宋" w:hAnsi="仿宋" w:eastAsia="仿宋" w:cs="仿宋"/>
          <w:sz w:val="32"/>
          <w:szCs w:val="32"/>
        </w:rPr>
        <w:t>其中，绩效目标自评表填报注意事项如下：</w:t>
      </w:r>
    </w:p>
    <w:p>
      <w:pPr>
        <w:numPr>
          <w:ilvl w:val="0"/>
          <w:numId w:val="1"/>
        </w:numPr>
        <w:ind w:left="10" w:leftChars="5" w:firstLine="406" w:firstLineChars="127"/>
        <w:jc w:val="left"/>
        <w:rPr>
          <w:rFonts w:hint="eastAsia" w:ascii="仿宋" w:hAnsi="仿宋" w:eastAsia="仿宋" w:cs="仿宋"/>
          <w:sz w:val="32"/>
          <w:szCs w:val="32"/>
        </w:rPr>
      </w:pPr>
      <w:r>
        <w:rPr>
          <w:rFonts w:hint="eastAsia" w:ascii="仿宋" w:hAnsi="仿宋" w:eastAsia="仿宋" w:cs="仿宋"/>
          <w:sz w:val="32"/>
          <w:szCs w:val="32"/>
        </w:rPr>
        <w:t>一级指标分值设置为：产出指标50分、效益指标30分、满意度指标10分、预算资金执行率10分，上述权重可根据项目实际情况进行适当调整，但加总后应等于100分。预算资金申请单位可根据各项指标重要程度确定三级指标的分值。得分最高不能超过该指标分值上限。</w:t>
      </w:r>
    </w:p>
    <w:p>
      <w:pPr>
        <w:numPr>
          <w:ilvl w:val="0"/>
          <w:numId w:val="1"/>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定性指标根据指标完成情况分为：达成预期指标、部分达成预期指标具有一定效果、未达成预期指标且效果较差三档，分别按照该指标对应分值区间100%-80%（含80%）、80%-60%（含60%）、60-0%合理确定得分。</w:t>
      </w:r>
    </w:p>
    <w:p>
      <w:pPr>
        <w:numPr>
          <w:ilvl w:val="0"/>
          <w:numId w:val="1"/>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定量指标若为正向指标（即指标值为</w:t>
      </w:r>
      <w:r>
        <w:rPr>
          <w:rFonts w:ascii="Arial" w:hAnsi="Arial" w:eastAsia="仿宋" w:cs="Arial"/>
          <w:sz w:val="32"/>
          <w:szCs w:val="32"/>
        </w:rPr>
        <w:t>≥</w:t>
      </w:r>
      <w:r>
        <w:rPr>
          <w:rFonts w:hint="eastAsia" w:ascii="仿宋" w:hAnsi="仿宋" w:eastAsia="仿宋" w:cs="仿宋"/>
          <w:sz w:val="32"/>
          <w:szCs w:val="32"/>
        </w:rPr>
        <w:t>*），则得分计算方法应用全年实际值/年度指标值*该指标分值；若定量指标为反向指标（即指标值</w:t>
      </w:r>
      <w:r>
        <w:rPr>
          <w:rFonts w:ascii="Arial" w:hAnsi="Arial" w:eastAsia="仿宋" w:cs="Arial"/>
          <w:sz w:val="32"/>
          <w:szCs w:val="32"/>
        </w:rPr>
        <w:t>≤</w:t>
      </w:r>
      <w:r>
        <w:rPr>
          <w:rFonts w:hint="eastAsia" w:ascii="仿宋" w:hAnsi="仿宋" w:eastAsia="仿宋" w:cs="仿宋"/>
          <w:sz w:val="32"/>
          <w:szCs w:val="32"/>
        </w:rPr>
        <w:t>*），则得分计算方法应用年度指标值/全年实际值*该指标分值；定量指标得分最高不得超过该指标分值上限。</w:t>
      </w:r>
    </w:p>
    <w:p>
      <w:pPr>
        <w:ind w:left="277" w:leftChars="132"/>
        <w:jc w:val="left"/>
        <w:rPr>
          <w:rFonts w:ascii="仿宋" w:hAnsi="仿宋" w:eastAsia="仿宋" w:cs="仿宋"/>
          <w:sz w:val="32"/>
          <w:szCs w:val="32"/>
        </w:rPr>
      </w:pPr>
    </w:p>
    <w:p>
      <w:pPr>
        <w:ind w:left="10" w:leftChars="5" w:firstLine="406" w:firstLineChars="127"/>
        <w:jc w:val="left"/>
        <w:rPr>
          <w:rFonts w:hint="eastAsia" w:ascii="仿宋" w:hAnsi="仿宋" w:eastAsia="仿宋" w:cs="仿宋"/>
          <w:sz w:val="32"/>
          <w:szCs w:val="32"/>
        </w:rPr>
      </w:pPr>
    </w:p>
    <w:p/>
    <w:sectPr>
      <w:headerReference r:id="rId3" w:type="default"/>
      <w:footerReference r:id="rId4" w:type="default"/>
      <w:footerReference r:id="rId5" w:type="even"/>
      <w:pgSz w:w="11905" w:h="16837"/>
      <w:pgMar w:top="1418" w:right="1418" w:bottom="1418" w:left="1418" w:header="0" w:footer="0" w:gutter="0"/>
      <w:pgNumType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separate"/>
    </w:r>
    <w:r>
      <w:rPr>
        <w:rStyle w:val="7"/>
      </w:rPr>
      <w:t>4</w: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88993E"/>
    <w:multiLevelType w:val="singleLevel"/>
    <w:tmpl w:val="6588993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wYWU0YWM5ZDMxMDdmZTZiOTgwMGVjMWMzNTY0MDIifQ=="/>
  </w:docVars>
  <w:rsids>
    <w:rsidRoot w:val="272B5641"/>
    <w:rsid w:val="011C626C"/>
    <w:rsid w:val="016D4D19"/>
    <w:rsid w:val="01BF09B0"/>
    <w:rsid w:val="10DF06AF"/>
    <w:rsid w:val="15CC7B97"/>
    <w:rsid w:val="16AB5C70"/>
    <w:rsid w:val="17B31280"/>
    <w:rsid w:val="18BB6905"/>
    <w:rsid w:val="1DF61391"/>
    <w:rsid w:val="20193875"/>
    <w:rsid w:val="23BC78E2"/>
    <w:rsid w:val="23D53E88"/>
    <w:rsid w:val="23EC4760"/>
    <w:rsid w:val="272B5641"/>
    <w:rsid w:val="28C31CCF"/>
    <w:rsid w:val="298544FD"/>
    <w:rsid w:val="2B4C75CA"/>
    <w:rsid w:val="2B7A502F"/>
    <w:rsid w:val="2BCA0FE1"/>
    <w:rsid w:val="31D61AC3"/>
    <w:rsid w:val="331C3D26"/>
    <w:rsid w:val="364A1323"/>
    <w:rsid w:val="3B6A5ED5"/>
    <w:rsid w:val="42B27078"/>
    <w:rsid w:val="458C16DE"/>
    <w:rsid w:val="4AAC15DF"/>
    <w:rsid w:val="4DA8119B"/>
    <w:rsid w:val="566B352B"/>
    <w:rsid w:val="58666C7C"/>
    <w:rsid w:val="5AA61FA3"/>
    <w:rsid w:val="5BBA331D"/>
    <w:rsid w:val="5E40626B"/>
    <w:rsid w:val="60235E44"/>
    <w:rsid w:val="649E018F"/>
    <w:rsid w:val="64EA5182"/>
    <w:rsid w:val="683230C8"/>
    <w:rsid w:val="69445A73"/>
    <w:rsid w:val="6C951E77"/>
    <w:rsid w:val="6DE77224"/>
    <w:rsid w:val="744A34E5"/>
    <w:rsid w:val="77FF782B"/>
    <w:rsid w:val="78736B37"/>
    <w:rsid w:val="7DBC40B5"/>
    <w:rsid w:val="7EC209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6619</Words>
  <Characters>7016</Characters>
  <Lines>0</Lines>
  <Paragraphs>0</Paragraphs>
  <TotalTime>10</TotalTime>
  <ScaleCrop>false</ScaleCrop>
  <LinksUpToDate>false</LinksUpToDate>
  <CharactersWithSpaces>7190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2019-04-09T05:52:00Z</dcterms:created>
  <dc:creator>j</dc:creator>
  <cp:lastModifiedBy>苏江村</cp:lastModifiedBy>
  <cp:lastPrinted>2022-03-02T07:47:00Z</cp:lastPrinted>
  <dcterms:modified xsi:type="dcterms:W3CDTF">2023-03-30T01:26:50Z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602CCC9EAE48454B905E6F1915F0BD51_13</vt:lpwstr>
  </property>
</Properties>
</file>