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rPr>
      </w:pPr>
    </w:p>
    <w:p>
      <w:pPr>
        <w:jc w:val="center"/>
        <w:rPr>
          <w:rFonts w:hint="eastAsia" w:ascii="宋体" w:hAnsi="宋体"/>
          <w:sz w:val="44"/>
          <w:szCs w:val="44"/>
        </w:rPr>
      </w:pPr>
      <w:r>
        <w:rPr>
          <w:rFonts w:hint="eastAsia" w:ascii="宋体" w:hAnsi="宋体"/>
          <w:sz w:val="44"/>
          <w:szCs w:val="44"/>
        </w:rPr>
        <w:t>邵阳</w:t>
      </w:r>
      <w:r>
        <w:rPr>
          <w:rFonts w:hint="eastAsia" w:ascii="宋体" w:hAnsi="宋体"/>
          <w:sz w:val="44"/>
          <w:szCs w:val="44"/>
          <w:lang w:eastAsia="zh-CN"/>
        </w:rPr>
        <w:t>县</w:t>
      </w:r>
      <w:r>
        <w:rPr>
          <w:rFonts w:ascii="宋体" w:hAnsi="宋体"/>
          <w:sz w:val="44"/>
          <w:szCs w:val="44"/>
        </w:rPr>
        <w:t>20</w:t>
      </w:r>
      <w:r>
        <w:rPr>
          <w:rFonts w:hint="eastAsia" w:ascii="宋体" w:hAnsi="宋体"/>
          <w:sz w:val="44"/>
          <w:szCs w:val="44"/>
          <w:lang w:val="en-US" w:eastAsia="zh-CN"/>
        </w:rPr>
        <w:t>23</w:t>
      </w:r>
      <w:r>
        <w:rPr>
          <w:rFonts w:hint="eastAsia" w:ascii="宋体" w:hAnsi="宋体"/>
          <w:sz w:val="44"/>
          <w:szCs w:val="44"/>
        </w:rPr>
        <w:t xml:space="preserve">年度部门整体支出绩效自评报告   </w:t>
      </w:r>
    </w:p>
    <w:p>
      <w:pPr>
        <w:jc w:val="center"/>
        <w:rPr>
          <w:rFonts w:hint="eastAsia" w:ascii="宋体" w:hAnsi="宋体"/>
          <w:sz w:val="44"/>
          <w:szCs w:val="44"/>
        </w:rPr>
      </w:pPr>
      <w:r>
        <w:rPr>
          <w:rFonts w:hint="eastAsia" w:ascii="宋体" w:hAnsi="宋体"/>
          <w:sz w:val="44"/>
          <w:szCs w:val="44"/>
        </w:rPr>
        <w:t>（封面）</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w:t>
      </w:r>
      <w:r>
        <w:rPr>
          <w:rFonts w:hint="eastAsia"/>
          <w:b/>
          <w:bCs/>
          <w:sz w:val="32"/>
          <w:szCs w:val="32"/>
          <w:u w:val="single"/>
          <w:lang w:val="en-US" w:eastAsia="zh-CN"/>
        </w:rPr>
        <w:t>妇女联合会</w:t>
      </w:r>
      <w:r>
        <w:rPr>
          <w:rFonts w:hint="eastAsia"/>
          <w:b/>
          <w:bCs/>
          <w:sz w:val="32"/>
          <w:szCs w:val="32"/>
          <w:u w:val="single"/>
        </w:rPr>
        <w:t>　　</w:t>
      </w:r>
      <w:r>
        <w:rPr>
          <w:rFonts w:hint="eastAsia"/>
          <w:bCs/>
          <w:sz w:val="32"/>
          <w:szCs w:val="32"/>
        </w:rPr>
        <w:t>（单位公章）</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11</w:t>
      </w:r>
      <w:r>
        <w:rPr>
          <w:rFonts w:hint="eastAsia" w:ascii="楷体" w:hAnsi="楷体" w:eastAsia="楷体" w:cs="楷体"/>
          <w:sz w:val="36"/>
        </w:rPr>
        <w:t>月</w:t>
      </w:r>
      <w:r>
        <w:rPr>
          <w:rFonts w:hint="eastAsia" w:ascii="楷体" w:hAnsi="楷体" w:eastAsia="楷体" w:cs="楷体"/>
          <w:sz w:val="36"/>
          <w:lang w:val="en-US" w:eastAsia="zh-CN"/>
        </w:rPr>
        <w:t>4</w:t>
      </w:r>
      <w:r>
        <w:rPr>
          <w:rFonts w:hint="eastAsia" w:ascii="楷体" w:hAnsi="楷体" w:eastAsia="楷体" w:cs="楷体"/>
          <w:sz w:val="36"/>
        </w:rPr>
        <w:t>日</w:t>
      </w: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w:t>
      </w:r>
      <w:r>
        <w:rPr>
          <w:rFonts w:hint="eastAsia" w:eastAsia="方正小标宋_GBK"/>
          <w:sz w:val="36"/>
          <w:szCs w:val="36"/>
          <w:lang w:eastAsia="zh-CN"/>
        </w:rPr>
        <w:t>邵阳县妇女联合会</w:t>
      </w:r>
      <w:r>
        <w:rPr>
          <w:rFonts w:hint="eastAsia" w:eastAsia="方正小标宋_GBK"/>
          <w:sz w:val="36"/>
          <w:szCs w:val="36"/>
        </w:rPr>
        <w:t>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一、部门概况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（一）部门基本情况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shd w:val="clear" w:color="auto" w:fill="FFFFFF"/>
          <w:lang w:val="en-US" w:eastAsia="zh-CN"/>
        </w:rPr>
        <w:t>1、</w:t>
      </w:r>
      <w:r>
        <w:rPr>
          <w:rFonts w:hint="eastAsia" w:ascii="仿宋" w:hAnsi="仿宋" w:eastAsia="仿宋" w:cs="仿宋"/>
          <w:b w:val="0"/>
          <w:bCs w:val="0"/>
          <w:i w:val="0"/>
          <w:caps w:val="0"/>
          <w:color w:val="000000"/>
          <w:spacing w:val="0"/>
          <w:sz w:val="32"/>
          <w:szCs w:val="32"/>
          <w:shd w:val="clear" w:color="auto" w:fill="FFFFFF"/>
        </w:rPr>
        <w:t>县</w:t>
      </w:r>
      <w:r>
        <w:rPr>
          <w:rFonts w:hint="eastAsia" w:ascii="仿宋" w:hAnsi="仿宋" w:eastAsia="仿宋" w:cs="仿宋"/>
          <w:b w:val="0"/>
          <w:bCs w:val="0"/>
          <w:i w:val="0"/>
          <w:caps w:val="0"/>
          <w:color w:val="000000"/>
          <w:spacing w:val="0"/>
          <w:sz w:val="32"/>
          <w:szCs w:val="32"/>
          <w:shd w:val="clear" w:color="auto" w:fill="FFFFFF"/>
          <w:lang w:eastAsia="zh-CN"/>
        </w:rPr>
        <w:t>妇女联合会</w:t>
      </w:r>
      <w:r>
        <w:rPr>
          <w:rFonts w:hint="eastAsia" w:ascii="仿宋" w:hAnsi="仿宋" w:eastAsia="仿宋" w:cs="仿宋"/>
          <w:b w:val="0"/>
          <w:bCs w:val="0"/>
          <w:i w:val="0"/>
          <w:caps w:val="0"/>
          <w:color w:val="000000"/>
          <w:spacing w:val="0"/>
          <w:sz w:val="32"/>
          <w:szCs w:val="32"/>
          <w:shd w:val="clear" w:color="auto" w:fill="FFFFFF"/>
        </w:rPr>
        <w:t>是政府组成部门</w:t>
      </w:r>
      <w:r>
        <w:rPr>
          <w:rFonts w:hint="eastAsia" w:ascii="仿宋" w:hAnsi="仿宋" w:eastAsia="仿宋" w:cs="仿宋"/>
          <w:b w:val="0"/>
          <w:bCs w:val="0"/>
          <w:i w:val="0"/>
          <w:caps w:val="0"/>
          <w:color w:val="000000"/>
          <w:spacing w:val="0"/>
          <w:sz w:val="32"/>
          <w:szCs w:val="32"/>
          <w:shd w:val="clear" w:color="auto" w:fill="FFFFFF"/>
          <w:lang w:eastAsia="zh-CN"/>
        </w:rPr>
        <w:t>，编制人数</w:t>
      </w:r>
      <w:r>
        <w:rPr>
          <w:rFonts w:hint="eastAsia" w:ascii="仿宋" w:hAnsi="仿宋" w:eastAsia="仿宋" w:cs="仿宋"/>
          <w:b w:val="0"/>
          <w:bCs w:val="0"/>
          <w:i w:val="0"/>
          <w:caps w:val="0"/>
          <w:color w:val="000000"/>
          <w:spacing w:val="0"/>
          <w:sz w:val="32"/>
          <w:szCs w:val="32"/>
          <w:shd w:val="clear" w:color="auto" w:fill="FFFFFF"/>
          <w:lang w:val="en-US" w:eastAsia="zh-CN"/>
        </w:rPr>
        <w:t>5人，年末在职人数5人、退休人员1人。</w:t>
      </w:r>
      <w:r>
        <w:rPr>
          <w:rFonts w:hint="eastAsia" w:ascii="仿宋" w:hAnsi="仿宋" w:eastAsia="仿宋" w:cs="仿宋"/>
          <w:b w:val="0"/>
          <w:bCs w:val="0"/>
          <w:i w:val="0"/>
          <w:caps w:val="0"/>
          <w:color w:val="000000"/>
          <w:spacing w:val="0"/>
          <w:sz w:val="32"/>
          <w:szCs w:val="32"/>
          <w:shd w:val="clear" w:color="auto" w:fill="FFFFFF"/>
          <w:lang w:eastAsia="zh-CN"/>
        </w:rPr>
        <w:t>下设办公室 、维权室、妇女发展室、组宣室</w:t>
      </w:r>
      <w:r>
        <w:rPr>
          <w:rFonts w:hint="eastAsia" w:ascii="仿宋" w:hAnsi="仿宋" w:eastAsia="仿宋" w:cs="仿宋"/>
          <w:b w:val="0"/>
          <w:bCs w:val="0"/>
          <w:i w:val="0"/>
          <w:caps w:val="0"/>
          <w:color w:val="000000"/>
          <w:spacing w:val="0"/>
          <w:sz w:val="32"/>
          <w:szCs w:val="32"/>
          <w:shd w:val="clear" w:color="auto" w:fill="FFFFFF"/>
          <w:lang w:val="en-US" w:eastAsia="zh-CN"/>
        </w:rPr>
        <w:t>4个职能股室</w:t>
      </w:r>
      <w:r>
        <w:rPr>
          <w:rFonts w:hint="eastAsia" w:ascii="仿宋" w:hAnsi="仿宋" w:eastAsia="仿宋" w:cs="仿宋"/>
          <w:b w:val="0"/>
          <w:bCs w:val="0"/>
          <w:i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主要职能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根据《邵阳县</w:t>
      </w:r>
      <w:r>
        <w:rPr>
          <w:rFonts w:hint="eastAsia" w:ascii="仿宋" w:hAnsi="仿宋" w:eastAsia="仿宋" w:cs="仿宋"/>
          <w:b w:val="0"/>
          <w:bCs/>
          <w:sz w:val="32"/>
          <w:szCs w:val="32"/>
          <w:lang w:eastAsia="zh-CN"/>
        </w:rPr>
        <w:t>妇女联合会</w:t>
      </w:r>
      <w:r>
        <w:rPr>
          <w:rFonts w:hint="eastAsia" w:ascii="仿宋" w:hAnsi="仿宋" w:eastAsia="仿宋" w:cs="仿宋"/>
          <w:b w:val="0"/>
          <w:bCs/>
          <w:sz w:val="32"/>
          <w:szCs w:val="32"/>
        </w:rPr>
        <w:t>主要职责内设机构和人员编制规定》规定，邵阳县</w:t>
      </w:r>
      <w:r>
        <w:rPr>
          <w:rFonts w:hint="eastAsia" w:ascii="仿宋" w:hAnsi="仿宋" w:eastAsia="仿宋" w:cs="仿宋"/>
          <w:b w:val="0"/>
          <w:bCs/>
          <w:sz w:val="32"/>
          <w:szCs w:val="32"/>
          <w:lang w:eastAsia="zh-CN"/>
        </w:rPr>
        <w:t>妇女联合会</w:t>
      </w:r>
      <w:r>
        <w:rPr>
          <w:rFonts w:hint="eastAsia" w:ascii="仿宋" w:hAnsi="仿宋" w:eastAsia="仿宋" w:cs="仿宋"/>
          <w:b w:val="0"/>
          <w:bCs/>
          <w:sz w:val="32"/>
          <w:szCs w:val="32"/>
        </w:rPr>
        <w:t>依法履行下列职能职责：</w:t>
      </w:r>
      <w:r>
        <w:rPr>
          <w:rFonts w:hint="eastAsia" w:ascii="仿宋" w:hAnsi="仿宋" w:eastAsia="仿宋" w:cs="仿宋"/>
          <w:b w:val="0"/>
          <w:bCs/>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)坚持正确的政治方向，团结、教育全县广大妇女以及各级妇女组织同党中央在思想上、政治上、行动上保持高度一致。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)紧密围绕党和政府的中心任务开展工作，发挥组织、引导、服务、维护妇女群众的合法权益的作用，带领广大妇女积极投身和谐社会建设，促进经济发展和社会进步，为维护改革发展稳定的大局服务。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宣传马克思主义妇女观和男女平等的思想，教育、引导广大妇女树立正确的世界观、人生观、价值观，弘扬“自尊、自信、自立、自强”的精神，表彰各类妇女先进典型，开展妇女职业技术培训和多层次的妇女干部培训，全面提高妇女干部素质，促进妇女人才成长。</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代表妇女参与国家和社会事务的民主管理和民主监督，促进妇女参政。调查研究涉及妇女儿童切身利益的热点、难点问题，及时向党和政府反映社情民意，提出对策建议；参与有关妇女儿童政策的拟定，努力从源头上维护妇女儿童合法权益。</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)坚持为妇女儿童服务、为基层服务，加强与社会各界的联系，协调推动全社会为妇女儿童办实事，促进妇女儿童事业的发展。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)指导乡镇、村级妇联和各县直单位妇委会依据《章程》、《条例》和妇女代表大会的任务，开展妇女儿童工作；加强与各界妇女的联系，争取发展与各地妇女的友好交往，增进友谊，加强合作。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)邵阳县妇女儿童工作委员会办公室的工作。贯彻落实国家、县妇女儿童发展规划，协助政府制定本县妇女儿童发展《规划》，组织协调并推进《规划》的实施。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 xml:space="preserve">)承办县委、县政府和上级妇联交办的有关事项。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（二）部门整体支出</w:t>
      </w:r>
      <w:r>
        <w:rPr>
          <w:rFonts w:hint="eastAsia" w:ascii="仿宋" w:hAnsi="仿宋" w:eastAsia="仿宋" w:cs="仿宋"/>
          <w:sz w:val="32"/>
          <w:szCs w:val="32"/>
          <w:lang w:eastAsia="zh-CN"/>
        </w:rPr>
        <w:t>用于部门基本经费支出和项目工作经费支出。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二、部门整体支出管理及使用情况</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（一）预算执行情况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1．预算执行方面，支出总额</w:t>
      </w:r>
      <w:r>
        <w:rPr>
          <w:rFonts w:hint="eastAsia" w:ascii="仿宋" w:hAnsi="仿宋" w:eastAsia="仿宋" w:cs="仿宋"/>
          <w:b w:val="0"/>
          <w:bCs/>
          <w:sz w:val="32"/>
          <w:szCs w:val="32"/>
          <w:lang w:val="en-US" w:eastAsia="zh-CN"/>
        </w:rPr>
        <w:t>低于</w:t>
      </w:r>
      <w:r>
        <w:rPr>
          <w:rFonts w:hint="eastAsia" w:ascii="仿宋" w:hAnsi="仿宋" w:eastAsia="仿宋" w:cs="仿宋"/>
          <w:b w:val="0"/>
          <w:bCs/>
          <w:sz w:val="32"/>
          <w:szCs w:val="32"/>
        </w:rPr>
        <w:t>预算，主要是人员</w:t>
      </w:r>
      <w:r>
        <w:rPr>
          <w:rFonts w:hint="eastAsia" w:ascii="仿宋" w:hAnsi="仿宋" w:eastAsia="仿宋" w:cs="仿宋"/>
          <w:b w:val="0"/>
          <w:bCs/>
          <w:sz w:val="32"/>
          <w:szCs w:val="32"/>
          <w:lang w:val="en-US" w:eastAsia="zh-CN"/>
        </w:rPr>
        <w:t>减少</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工作经费减少</w:t>
      </w:r>
      <w:r>
        <w:rPr>
          <w:rFonts w:hint="eastAsia" w:ascii="仿宋" w:hAnsi="仿宋" w:eastAsia="仿宋" w:cs="仿宋"/>
          <w:b w:val="0"/>
          <w:bCs/>
          <w:sz w:val="32"/>
          <w:szCs w:val="32"/>
        </w:rPr>
        <w:t>；三公经费总额总体控制较好。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val="0"/>
          <w:bCs/>
          <w:sz w:val="32"/>
          <w:szCs w:val="32"/>
        </w:rPr>
        <w:t>2.预算管理方面，制度执行总体较为有效，仍需进一步强化；资金使用管理需进一步加强。</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（二）基本支出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（一）基本支出管理情况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会</w:t>
      </w:r>
      <w:r>
        <w:rPr>
          <w:rFonts w:hint="eastAsia" w:ascii="仿宋" w:hAnsi="仿宋" w:eastAsia="仿宋" w:cs="仿宋"/>
          <w:sz w:val="32"/>
          <w:szCs w:val="32"/>
        </w:rPr>
        <w:t>基本支出范围和主要用途包括</w:t>
      </w:r>
      <w:r>
        <w:rPr>
          <w:rFonts w:hint="eastAsia" w:ascii="仿宋" w:hAnsi="仿宋" w:eastAsia="仿宋" w:cs="仿宋"/>
          <w:sz w:val="32"/>
          <w:szCs w:val="32"/>
          <w:lang w:eastAsia="zh-CN"/>
        </w:rPr>
        <w:t>会</w:t>
      </w:r>
      <w:r>
        <w:rPr>
          <w:rFonts w:hint="eastAsia" w:ascii="仿宋" w:hAnsi="仿宋" w:eastAsia="仿宋" w:cs="仿宋"/>
          <w:sz w:val="32"/>
          <w:szCs w:val="32"/>
        </w:rPr>
        <w:t>本级人员经费和日常公用经费。具体包括：工资福利支出、对个人和家庭的补助、商品和服务支出、其他资本性支出。基本支出的管理和使用情况如下：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1、基本支出总额</w:t>
      </w:r>
      <w:r>
        <w:rPr>
          <w:rFonts w:hint="eastAsia" w:ascii="仿宋" w:hAnsi="仿宋" w:eastAsia="仿宋" w:cs="仿宋"/>
          <w:sz w:val="32"/>
          <w:szCs w:val="32"/>
          <w:lang w:val="en-US" w:eastAsia="zh-CN"/>
        </w:rPr>
        <w:t>144.25</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83.2</w:t>
      </w:r>
      <w:r>
        <w:rPr>
          <w:rFonts w:hint="eastAsia" w:ascii="仿宋" w:hAnsi="仿宋" w:eastAsia="仿宋" w:cs="仿宋"/>
          <w:sz w:val="32"/>
          <w:szCs w:val="32"/>
        </w:rPr>
        <w:t>万元；对个人和家庭的补助支出</w:t>
      </w:r>
      <w:r>
        <w:rPr>
          <w:rFonts w:hint="eastAsia" w:ascii="仿宋" w:hAnsi="仿宋" w:eastAsia="仿宋" w:cs="仿宋"/>
          <w:sz w:val="32"/>
          <w:szCs w:val="32"/>
          <w:lang w:val="en-US" w:eastAsia="zh-CN"/>
        </w:rPr>
        <w:t>1.66</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36.87</w:t>
      </w:r>
      <w:r>
        <w:rPr>
          <w:rFonts w:hint="eastAsia" w:ascii="仿宋" w:hAnsi="仿宋" w:eastAsia="仿宋" w:cs="仿宋"/>
          <w:sz w:val="32"/>
          <w:szCs w:val="32"/>
        </w:rPr>
        <w:t>万元</w:t>
      </w:r>
      <w:r>
        <w:rPr>
          <w:rFonts w:hint="eastAsia" w:ascii="仿宋" w:hAnsi="仿宋" w:eastAsia="仿宋" w:cs="仿宋"/>
          <w:sz w:val="32"/>
          <w:szCs w:val="32"/>
          <w:lang w:eastAsia="zh-CN"/>
        </w:rPr>
        <w:t>，资本性支出</w:t>
      </w:r>
      <w:r>
        <w:rPr>
          <w:rFonts w:hint="eastAsia" w:ascii="仿宋" w:hAnsi="仿宋" w:eastAsia="仿宋" w:cs="仿宋"/>
          <w:sz w:val="32"/>
          <w:szCs w:val="32"/>
          <w:lang w:val="en-US" w:eastAsia="zh-CN"/>
        </w:rPr>
        <w:t>0万元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2、“三公”经费支出使用和管理情况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本局“三公”经费各费用均控制在预算范围内，其中：因公出国出境经费支出</w:t>
      </w:r>
      <w:r>
        <w:rPr>
          <w:rFonts w:hint="eastAsia" w:ascii="仿宋" w:hAnsi="仿宋" w:eastAsia="仿宋" w:cs="仿宋"/>
          <w:sz w:val="32"/>
          <w:szCs w:val="32"/>
          <w:lang w:val="en-US" w:eastAsia="zh-CN"/>
        </w:rPr>
        <w:t>0万元</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0.22</w:t>
      </w:r>
      <w:r>
        <w:rPr>
          <w:rFonts w:hint="eastAsia" w:ascii="仿宋" w:hAnsi="仿宋" w:eastAsia="仿宋" w:cs="仿宋"/>
          <w:sz w:val="32"/>
          <w:szCs w:val="32"/>
        </w:rPr>
        <w:t>万元，车辆运行维护费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四、资产管理情况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我会制定了</w:t>
      </w:r>
      <w:r>
        <w:rPr>
          <w:rFonts w:hint="eastAsia" w:ascii="仿宋" w:hAnsi="仿宋" w:eastAsia="仿宋" w:cs="仿宋"/>
          <w:sz w:val="32"/>
          <w:szCs w:val="32"/>
        </w:rPr>
        <w:t>《专项资金管理</w:t>
      </w:r>
      <w:bookmarkStart w:id="0" w:name="_GoBack"/>
      <w:bookmarkEnd w:id="0"/>
      <w:r>
        <w:rPr>
          <w:rFonts w:hint="eastAsia" w:ascii="仿宋" w:hAnsi="仿宋" w:eastAsia="仿宋" w:cs="仿宋"/>
          <w:sz w:val="32"/>
          <w:szCs w:val="32"/>
        </w:rPr>
        <w:t>办法》</w:t>
      </w:r>
      <w:r>
        <w:rPr>
          <w:rFonts w:hint="eastAsia" w:ascii="仿宋" w:hAnsi="仿宋" w:eastAsia="仿宋" w:cs="仿宋"/>
          <w:sz w:val="32"/>
          <w:szCs w:val="32"/>
          <w:lang w:eastAsia="zh-CN"/>
        </w:rPr>
        <w:t>，固定资产按需配置，专人管理，按程序处置</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绩效评价工作情况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10101"/>
          <w:kern w:val="0"/>
          <w:sz w:val="32"/>
          <w:szCs w:val="32"/>
        </w:rPr>
        <w:t>根</w:t>
      </w:r>
      <w:r>
        <w:rPr>
          <w:rFonts w:hint="eastAsia" w:ascii="仿宋" w:hAnsi="仿宋" w:eastAsia="仿宋" w:cs="仿宋"/>
          <w:sz w:val="32"/>
          <w:szCs w:val="32"/>
        </w:rPr>
        <w:t>据</w:t>
      </w:r>
      <w:r>
        <w:rPr>
          <w:rFonts w:hint="eastAsia" w:ascii="仿宋" w:hAnsi="仿宋" w:eastAsia="仿宋" w:cs="仿宋"/>
          <w:sz w:val="32"/>
          <w:szCs w:val="32"/>
          <w:lang w:eastAsia="zh-CN"/>
        </w:rPr>
        <w:t>会</w:t>
      </w:r>
      <w:r>
        <w:rPr>
          <w:rFonts w:hint="eastAsia" w:ascii="仿宋" w:hAnsi="仿宋" w:eastAsia="仿宋" w:cs="仿宋"/>
          <w:sz w:val="32"/>
          <w:szCs w:val="32"/>
        </w:rPr>
        <w:t>年初工作规划和重点性工作，围绕县委、县政府全面建成小康社会的发展蓝图，积极履职，强化管理，较好的完成了年度工作目标。通过加强预算收支的管理，不断建立健全内部管理制度，理顺内部管理流程，部门整体支出管理情况得到了提升。部门整体支出绩效情况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（一）经济性评价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预算执行方面，支出总额控制在预算总额以内；本年无转移资金支付，不存在截留或滞留专项资金情况。“三公”经费预算总额比上年减少。</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（二）行政效能评价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为强化部门整体支出，加强国有资产管理，提高资金使用效益，提升财务管理，建立节约型机关，20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会</w:t>
      </w:r>
      <w:r>
        <w:rPr>
          <w:rFonts w:hint="eastAsia" w:ascii="仿宋" w:hAnsi="仿宋" w:eastAsia="仿宋" w:cs="仿宋"/>
          <w:sz w:val="32"/>
          <w:szCs w:val="32"/>
        </w:rPr>
        <w:t>在强化业务管理、财务管理和厉行节约方面开展了大量工作，行政效能显著。</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1、在原有相对健全的财务管理制度基础上，适时地、针对性的进行了相关制度的增补，制度的建立更为完善。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如：《差旅费管理办法》、《财务报销管理规定》。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2、重视制度的学习和宣讲工作，并已逐步形成了崇尚厉行节约反对浪费的机关文化。</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央、湖南省人民政府下发的《党政机关厉行节约反对浪费条例》、《湖南省党政机关国内公务接待管理办法》、《关于厉行节约反对浪费的实施意见》、《关于党政机关停止新建楼堂馆所和清理办公用房的实施意见》、《关于贯彻落实中央纪委要求严禁公款购买印刷寄送贺年卡等物品的通知》等一系列文件精神，及时将上述文件精神在各室进行转发，并结合群众教育路线工作的开展，组织机关人员学习，将厉行节约反对浪费教育作为机关作风建设的重要内容，极大强化了机关厉行节约管理意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3、建立了经费支出定期汇报和公示机制，经费支出的公开透明性得到提高。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按照财政要求对部门预算、“三公”经费进行例行公示外，根据经费支出情况，定期进行经费支出财务统计和分析，并及时向分管领导和绩效评价领导小组进行汇报，对经费支出的管理状况提出建设性的意见；使各项经费管理和监督发挥了较好的作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4、严格执行了国库集中支付、公务卡结算制度、政府采购等有关规定，政府采购目录内的货物与服务全部按要求实施了政府采购，确保了支出管理流程、审批手续的完整。</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5</w:t>
      </w:r>
      <w:r>
        <w:rPr>
          <w:rFonts w:hint="eastAsia" w:ascii="仿宋" w:hAnsi="仿宋" w:eastAsia="仿宋" w:cs="仿宋"/>
          <w:sz w:val="32"/>
          <w:szCs w:val="32"/>
        </w:rPr>
        <w:t>、加强了会计核算工作。根据新印发的《行政单位会计制度》，进行了全面系统的学习，按照新制度的要求，对财务管理软件进行优化升级，对相关科目的设置进行了补充和调整，提高了财务核算质量。</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六、综合评价情况及评价结论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我会加强预算配置管理，严控“三公经费”、重点支出安排合理、非税收入管理规范、按程序进行政府采购、管理制度健全、资金使用合规、预决算信息公开及时、资产管理有效、绩效管理达成目标、职责履行效果明显，综合自评得分96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七、部门整体支出主要绩效</w:t>
      </w:r>
    </w:p>
    <w:p>
      <w:pPr>
        <w:spacing w:line="620" w:lineRule="exact"/>
        <w:ind w:firstLine="640" w:firstLineChars="200"/>
        <w:rPr>
          <w:rFonts w:ascii="仿宋_GB2312" w:eastAsia="仿宋_GB2312"/>
          <w:bCs/>
          <w:sz w:val="32"/>
          <w:szCs w:val="32"/>
        </w:rPr>
      </w:pPr>
      <w:r>
        <w:rPr>
          <w:rFonts w:hint="eastAsia" w:ascii="仿宋_GB2312" w:eastAsia="仿宋_GB2312"/>
          <w:bCs/>
          <w:sz w:val="32"/>
          <w:szCs w:val="32"/>
        </w:rPr>
        <w:t>今年以来，面对严峻复杂的经济形势，我</w:t>
      </w:r>
      <w:r>
        <w:rPr>
          <w:rFonts w:hint="eastAsia" w:ascii="仿宋_GB2312" w:eastAsia="仿宋_GB2312"/>
          <w:bCs/>
          <w:sz w:val="32"/>
          <w:szCs w:val="32"/>
          <w:lang w:eastAsia="zh-CN"/>
        </w:rPr>
        <w:t>会</w:t>
      </w:r>
      <w:r>
        <w:rPr>
          <w:rFonts w:hint="eastAsia" w:ascii="仿宋_GB2312" w:eastAsia="仿宋_GB2312"/>
          <w:bCs/>
          <w:sz w:val="32"/>
          <w:szCs w:val="32"/>
        </w:rPr>
        <w:t>紧紧围绕全县工作大局，狠抓三大攻坚战、项目建设、产业发展、优化环境、价格稳控等中心工作，</w:t>
      </w:r>
      <w:r>
        <w:rPr>
          <w:rFonts w:hint="eastAsia" w:ascii="仿宋_GB2312" w:eastAsia="仿宋_GB2312"/>
          <w:bCs/>
          <w:sz w:val="32"/>
          <w:szCs w:val="32"/>
          <w:lang w:eastAsia="zh-CN"/>
        </w:rPr>
        <w:t>合理运用财政资金，</w:t>
      </w:r>
      <w:r>
        <w:rPr>
          <w:rFonts w:hint="eastAsia" w:ascii="仿宋_GB2312" w:eastAsia="仿宋_GB2312"/>
          <w:bCs/>
          <w:sz w:val="32"/>
          <w:szCs w:val="32"/>
        </w:rPr>
        <w:t>为县域经济社会发展稳定持续发展做出了积极贡献。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八、存在的问题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资产清查盘点未能及时进行，可能存在资产盘亏情况</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九、改进措施和有关建议</w:t>
      </w: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改进措施：及时对资产进行清查盘点，进一步规范资产管理</w:t>
      </w: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建议：建议财政部门根据我单位实际，将相关项目经费纳入财政预算，以保证相关工作顺利运行。</w:t>
      </w:r>
    </w:p>
    <w:p>
      <w:pPr>
        <w:widowControl/>
        <w:jc w:val="both"/>
        <w:rPr>
          <w:rFonts w:hint="eastAsia" w:ascii="宋体" w:hAnsi="宋体" w:cs="宋体"/>
          <w:bCs/>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hint="eastAsia" w:ascii="宋体" w:hAnsi="宋体" w:cs="宋体"/>
          <w:bCs/>
          <w:kern w:val="0"/>
          <w:sz w:val="32"/>
          <w:szCs w:val="32"/>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11" w:type="dxa"/>
            <w:vMerge w:val="restart"/>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财政供养人员</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100%，计1分；每超过一个百分点扣0.1分，扣完为止。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在职人员控制率=（在职人员数/编制数）×100%，在职人员数：部门（单位）实际在职人数，以财政部门</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6年决算编制数为准。编制数：机构编制部门核定批复的部门（单位）的人员编制数。</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top"/>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top"/>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重点项目支出：县政府确定的为民办实事和部门重点工程与重点工作支出。项目总支出：部门（单位）年度预算安排的项目支出总额。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top"/>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6年度非税实际收入完成数/</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6年度非税收入预算数）×100%，有减免因素的，以非税局确定的为准。</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411" w:type="dxa"/>
            <w:vMerge w:val="restart"/>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调整率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预算调整率=0，计2分；</w:t>
            </w:r>
          </w:p>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0-20%（含），计1分；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大于20%不得分。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411" w:type="dxa"/>
            <w:vMerge w:val="continue"/>
            <w:vAlign w:val="top"/>
          </w:tcPr>
          <w:p>
            <w:pPr>
              <w:rPr>
                <w:rFonts w:hint="eastAsia" w:ascii="仿宋_GB2312" w:hAnsi="宋体" w:eastAsia="仿宋_GB2312" w:cs="宋体"/>
                <w:kern w:val="0"/>
                <w:sz w:val="20"/>
                <w:szCs w:val="20"/>
              </w:rPr>
            </w:pPr>
          </w:p>
        </w:tc>
        <w:tc>
          <w:tcPr>
            <w:tcW w:w="429" w:type="dxa"/>
            <w:vMerge w:val="continue"/>
            <w:tcBorders>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p>
            <w:pPr>
              <w:widowControl/>
              <w:jc w:val="center"/>
              <w:rPr>
                <w:rFonts w:hint="eastAsia" w:ascii="仿宋_GB2312" w:hAnsi="宋体" w:eastAsia="仿宋_GB2312" w:cs="宋体"/>
                <w:kern w:val="0"/>
                <w:sz w:val="20"/>
                <w:szCs w:val="20"/>
              </w:rPr>
            </w:pP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autoSpaceDN w:val="0"/>
              <w:jc w:val="center"/>
              <w:textAlignment w:val="center"/>
              <w:rPr>
                <w:rFonts w:hint="eastAsia" w:ascii="仿宋_GB2312" w:hAnsi="宋体" w:eastAsia="仿宋_GB2312" w:cs="宋体"/>
                <w:kern w:val="0"/>
                <w:sz w:val="20"/>
                <w:szCs w:val="20"/>
              </w:rPr>
            </w:pPr>
          </w:p>
        </w:tc>
        <w:tc>
          <w:tcPr>
            <w:tcW w:w="3472" w:type="dxa"/>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tcBorders>
              <w:bottom w:val="single" w:color="auto" w:sz="4" w:space="0"/>
            </w:tcBorders>
            <w:vAlign w:val="center"/>
          </w:tcPr>
          <w:p>
            <w:pPr>
              <w:widowControl/>
              <w:jc w:val="center"/>
              <w:rPr>
                <w:rFonts w:hint="eastAsia" w:ascii="宋体" w:hAnsi="宋体" w:cs="宋体"/>
                <w:kern w:val="0"/>
                <w:sz w:val="24"/>
              </w:rPr>
            </w:pPr>
          </w:p>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right w:val="single" w:color="auto" w:sz="4" w:space="0"/>
            </w:tcBorders>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right w:val="single" w:color="auto" w:sz="4" w:space="0"/>
            </w:tcBorders>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411" w:type="dxa"/>
            <w:vMerge w:val="continue"/>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851" w:type="dxa"/>
            <w:tcBorders>
              <w:top w:val="single" w:color="auto" w:sz="4" w:space="0"/>
            </w:tcBorders>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②会计人员继续教育，1分；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118"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18" w:type="dxa"/>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2分；②按规定时限公开预决算信息，1.5分；③基础数据信息和会计信息资料真实，0.5分；④基础数据信息和会计信息资料完整，0.5分；⑤基础数据信息和汇集信息资料准确，0.5分。                                            </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仿宋" w:eastAsia="仿宋_GB2312" w:cs="仿宋"/>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w:t>
            </w:r>
            <w:r>
              <w:rPr>
                <w:rFonts w:hint="eastAsia" w:ascii="微软雅黑" w:hAnsi="微软雅黑" w:eastAsia="微软雅黑" w:cs="宋体"/>
                <w:kern w:val="0"/>
                <w:sz w:val="20"/>
                <w:szCs w:val="20"/>
              </w:rPr>
              <w:t>⑨未</w:t>
            </w:r>
            <w:r>
              <w:rPr>
                <w:rFonts w:hint="eastAsia" w:ascii="仿宋_GB2312" w:hAnsi="宋体" w:eastAsia="仿宋_GB2312" w:cs="宋体"/>
                <w:kern w:val="0"/>
                <w:sz w:val="20"/>
                <w:szCs w:val="20"/>
              </w:rPr>
              <w:t>按时报送2016年行政事业单位资产报表的，每延迟一天，扣1分，扣完为止。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资金均实行目标管理的，2分,每少一个专项扣1分，扣完为止；②资金在10万（含）以上的项目资金实行目标管理的，2分，每少一个项目扣1分，扣完为止；③编制并报送2016年度财政项目预算绩效目标的，2分；④在规定时间内报送以上目标的，1分，否则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《邵阳县财政局关于报送2017年县直部门财政项目预算绩效目标的通知》（邵财绩〔2016〕6号）</w:t>
            </w:r>
          </w:p>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开展2017年度专项资金绩效自评的，2分，每少一个专项资金的自评扣1分，扣完为止；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开展2017年度已完工项目绩效自评的，2分，每少一个项目扣1分，扣完为止；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开展2017年度部门整体支出绩效自评的，2分；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在规定时间内报送以上自评报告材料的，1分。</w:t>
            </w:r>
          </w:p>
        </w:tc>
        <w:tc>
          <w:tcPr>
            <w:tcW w:w="3472" w:type="dxa"/>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1.《邵阳县财政局关于做好2017年度部门整体支出绩效自评工作的通知》（邵财绩〔2017〕5号）</w:t>
            </w:r>
          </w:p>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根据2017年度财政重点绩效评价和单位自评情况，向财政报送整改结果并整改到位的，2分，否则不得分。</w:t>
            </w:r>
          </w:p>
        </w:tc>
        <w:tc>
          <w:tcPr>
            <w:tcW w:w="3472" w:type="dxa"/>
            <w:vAlign w:val="center"/>
          </w:tcPr>
          <w:p>
            <w:pPr>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该项得分=重点工作完成率×3</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重点工作为县政府确定的为民办实事和部门重点工程与重点工作。</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3</w:t>
            </w:r>
          </w:p>
        </w:tc>
        <w:tc>
          <w:tcPr>
            <w:tcW w:w="429" w:type="dxa"/>
            <w:vMerge w:val="continue"/>
            <w:tcBorders>
              <w:bottom w:val="single" w:color="auto" w:sz="4" w:space="0"/>
              <w:right w:val="single" w:color="auto" w:sz="4" w:space="0"/>
            </w:tcBorders>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center"/>
              <w:rPr>
                <w:rFonts w:hint="eastAsia" w:ascii="仿宋_GB2312" w:hAnsi="宋体" w:eastAsia="仿宋_GB2312" w:cs="宋体"/>
                <w:kern w:val="0"/>
                <w:sz w:val="20"/>
                <w:szCs w:val="20"/>
              </w:rPr>
            </w:pPr>
          </w:p>
        </w:tc>
        <w:tc>
          <w:tcPr>
            <w:tcW w:w="851" w:type="dxa"/>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此三项指标可根据部门实际并结合2017年度部门整体支出绩效目标设立情况有选择的进行评价。</w:t>
            </w:r>
          </w:p>
        </w:tc>
        <w:tc>
          <w:tcPr>
            <w:tcW w:w="617" w:type="dxa"/>
            <w:vMerge w:val="restart"/>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left"/>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left"/>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社会公众或服务对象是指部门（单位）履行职责而影响到的部门，群体或个人，一般采取社会调查的方式(不少于10份)。</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96</w:t>
            </w:r>
          </w:p>
        </w:tc>
      </w:tr>
    </w:tbl>
    <w:p>
      <w:pPr>
        <w:spacing w:line="600" w:lineRule="exact"/>
        <w:rPr>
          <w:rFonts w:ascii="宋体" w:hAnsi="宋体" w:cs="宋体"/>
          <w:kern w:val="0"/>
          <w:sz w:val="32"/>
          <w:szCs w:val="32"/>
        </w:rPr>
      </w:pPr>
    </w:p>
    <w:p>
      <w:pPr>
        <w:spacing w:line="600" w:lineRule="exact"/>
        <w:rPr>
          <w:rFonts w:ascii="宋体" w:hAnsi="宋体" w:cs="宋体"/>
          <w:kern w:val="0"/>
          <w:sz w:val="32"/>
          <w:szCs w:val="32"/>
        </w:rPr>
      </w:pPr>
    </w:p>
    <w:p>
      <w:pPr>
        <w:jc w:val="left"/>
        <w:rPr>
          <w:rFonts w:hint="eastAsia" w:ascii="宋体" w:hAnsi="宋体" w:cs="宋体"/>
          <w:sz w:val="44"/>
          <w:szCs w:val="44"/>
        </w:rPr>
      </w:pPr>
      <w:r>
        <w:rPr>
          <w:rFonts w:eastAsia="仿宋_GB2312"/>
          <w:sz w:val="28"/>
          <w:szCs w:val="28"/>
        </w:rPr>
        <w:br w:type="page"/>
      </w:r>
    </w:p>
    <w:p>
      <w:pPr>
        <w:ind w:left="10" w:leftChars="5" w:firstLine="406" w:firstLineChars="127"/>
        <w:jc w:val="left"/>
        <w:rPr>
          <w:rFonts w:hint="eastAsia" w:ascii="仿宋" w:hAnsi="仿宋" w:eastAsia="仿宋" w:cs="仿宋"/>
          <w:sz w:val="32"/>
          <w:szCs w:val="32"/>
        </w:rPr>
      </w:pPr>
    </w:p>
    <w:tbl>
      <w:tblPr>
        <w:tblStyle w:val="5"/>
        <w:tblpPr w:leftFromText="180" w:rightFromText="180" w:vertAnchor="page" w:horzAnchor="page" w:tblpX="1792" w:tblpY="1913"/>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26"/>
        <w:gridCol w:w="1138"/>
        <w:gridCol w:w="1348"/>
        <w:gridCol w:w="735"/>
        <w:gridCol w:w="1246"/>
        <w:gridCol w:w="839"/>
        <w:gridCol w:w="866"/>
        <w:gridCol w:w="1602"/>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trPr>
        <w:tc>
          <w:tcPr>
            <w:tcW w:w="8920" w:type="dxa"/>
            <w:gridSpan w:val="9"/>
            <w:noWrap w:val="0"/>
            <w:vAlign w:val="center"/>
          </w:tcPr>
          <w:p>
            <w:pPr>
              <w:jc w:val="center"/>
              <w:rPr>
                <w:rFonts w:hint="eastAsia"/>
              </w:rPr>
            </w:pPr>
            <w:r>
              <w:rPr>
                <w:rFonts w:hint="eastAsia"/>
              </w:rPr>
              <w:t>绩效目标自评表</w:t>
            </w:r>
          </w:p>
          <w:p>
            <w:pPr>
              <w:jc w:val="center"/>
            </w:pPr>
            <w:r>
              <w:rPr>
                <w:rFonts w:hint="eastAsia"/>
              </w:rPr>
              <w:t>（20</w:t>
            </w:r>
            <w:r>
              <w:rPr>
                <w:rFonts w:hint="eastAsia"/>
                <w:lang w:val="en-US" w:eastAsia="zh-CN"/>
              </w:rPr>
              <w:t>22</w:t>
            </w:r>
            <w:r>
              <w:rPr>
                <w:rFonts w:hint="eastAsia"/>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11" w:hRule="atLeast"/>
        </w:trPr>
        <w:tc>
          <w:tcPr>
            <w:tcW w:w="2284" w:type="dxa"/>
            <w:gridSpan w:val="3"/>
            <w:noWrap w:val="0"/>
            <w:vAlign w:val="center"/>
          </w:tcPr>
          <w:p>
            <w:pPr>
              <w:jc w:val="center"/>
            </w:pPr>
            <w:r>
              <w:rPr>
                <w:rFonts w:hint="eastAsia"/>
              </w:rPr>
              <w:t>项目名称</w:t>
            </w:r>
          </w:p>
        </w:tc>
        <w:tc>
          <w:tcPr>
            <w:tcW w:w="2083" w:type="dxa"/>
            <w:gridSpan w:val="2"/>
            <w:noWrap w:val="0"/>
            <w:vAlign w:val="center"/>
          </w:tcPr>
          <w:p>
            <w:pPr>
              <w:jc w:val="center"/>
              <w:rPr>
                <w:rFonts w:hint="default" w:eastAsia="宋体"/>
                <w:lang w:val="en-US" w:eastAsia="zh-CN"/>
              </w:rPr>
            </w:pPr>
            <w:r>
              <w:rPr>
                <w:rFonts w:hint="eastAsia"/>
                <w:lang w:val="en-US" w:eastAsia="zh-CN"/>
              </w:rPr>
              <w:t>邵阳县妇女联合会</w:t>
            </w:r>
          </w:p>
        </w:tc>
        <w:tc>
          <w:tcPr>
            <w:tcW w:w="1246" w:type="dxa"/>
            <w:noWrap w:val="0"/>
            <w:vAlign w:val="center"/>
          </w:tcPr>
          <w:p>
            <w:pPr>
              <w:jc w:val="center"/>
              <w:rPr>
                <w:rFonts w:hint="eastAsia"/>
              </w:rPr>
            </w:pPr>
            <w:r>
              <w:rPr>
                <w:rFonts w:hint="eastAsia"/>
              </w:rPr>
              <w:t>项目负责人及电话</w:t>
            </w:r>
          </w:p>
        </w:tc>
        <w:tc>
          <w:tcPr>
            <w:tcW w:w="3307" w:type="dxa"/>
            <w:gridSpan w:val="3"/>
            <w:noWrap w:val="0"/>
            <w:vAlign w:val="center"/>
          </w:tcPr>
          <w:p>
            <w:pPr>
              <w:jc w:val="center"/>
              <w:rPr>
                <w:rFonts w:hint="default" w:eastAsia="宋体"/>
                <w:lang w:val="en-US" w:eastAsia="zh-CN"/>
              </w:rPr>
            </w:pPr>
            <w:r>
              <w:rPr>
                <w:rFonts w:hint="eastAsia"/>
                <w:lang w:val="en-US" w:eastAsia="zh-CN"/>
              </w:rPr>
              <w:t>向丽洁13874266868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trPr>
        <w:tc>
          <w:tcPr>
            <w:tcW w:w="2284" w:type="dxa"/>
            <w:gridSpan w:val="3"/>
            <w:noWrap w:val="0"/>
            <w:vAlign w:val="center"/>
          </w:tcPr>
          <w:p>
            <w:pPr>
              <w:jc w:val="center"/>
            </w:pPr>
            <w:r>
              <w:rPr>
                <w:rFonts w:hint="eastAsia"/>
              </w:rPr>
              <w:t>主管部门</w:t>
            </w:r>
          </w:p>
        </w:tc>
        <w:tc>
          <w:tcPr>
            <w:tcW w:w="2083" w:type="dxa"/>
            <w:gridSpan w:val="2"/>
            <w:noWrap w:val="0"/>
            <w:vAlign w:val="center"/>
          </w:tcPr>
          <w:p>
            <w:pPr>
              <w:jc w:val="center"/>
              <w:rPr>
                <w:rFonts w:hint="default" w:eastAsia="宋体"/>
                <w:lang w:val="en-US" w:eastAsia="zh-CN"/>
              </w:rPr>
            </w:pPr>
          </w:p>
        </w:tc>
        <w:tc>
          <w:tcPr>
            <w:tcW w:w="1246" w:type="dxa"/>
            <w:noWrap w:val="0"/>
            <w:vAlign w:val="center"/>
          </w:tcPr>
          <w:p>
            <w:pPr>
              <w:jc w:val="center"/>
            </w:pPr>
            <w:r>
              <w:rPr>
                <w:rFonts w:hint="eastAsia"/>
              </w:rPr>
              <w:t>实施单位</w:t>
            </w:r>
          </w:p>
        </w:tc>
        <w:tc>
          <w:tcPr>
            <w:tcW w:w="3307" w:type="dxa"/>
            <w:gridSpan w:val="3"/>
            <w:noWrap w:val="0"/>
            <w:vAlign w:val="center"/>
          </w:tcPr>
          <w:p>
            <w:pPr>
              <w:jc w:val="center"/>
              <w:rPr>
                <w:rFonts w:hint="default" w:eastAsia="宋体"/>
                <w:lang w:val="en-US" w:eastAsia="zh-CN"/>
              </w:rPr>
            </w:pPr>
            <w:r>
              <w:rPr>
                <w:rFonts w:hint="eastAsia"/>
                <w:lang w:val="en-US" w:eastAsia="zh-CN"/>
              </w:rPr>
              <w:t>邵阳县妇女联合会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284" w:type="dxa"/>
            <w:gridSpan w:val="3"/>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资金情况</w:t>
            </w:r>
          </w:p>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（万元）</w:t>
            </w:r>
          </w:p>
        </w:tc>
        <w:tc>
          <w:tcPr>
            <w:tcW w:w="1348"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229.74</w:t>
            </w:r>
          </w:p>
        </w:tc>
        <w:tc>
          <w:tcPr>
            <w:tcW w:w="735" w:type="dxa"/>
            <w:noWrap w:val="0"/>
            <w:vAlign w:val="center"/>
          </w:tcPr>
          <w:p>
            <w:pPr>
              <w:jc w:val="center"/>
            </w:pPr>
            <w:r>
              <w:rPr>
                <w:rFonts w:hint="eastAsia"/>
              </w:rPr>
              <w:t>全年预算数（A)</w:t>
            </w:r>
          </w:p>
        </w:tc>
        <w:tc>
          <w:tcPr>
            <w:tcW w:w="1246" w:type="dxa"/>
            <w:noWrap w:val="0"/>
            <w:vAlign w:val="center"/>
          </w:tcPr>
          <w:p>
            <w:pPr>
              <w:jc w:val="center"/>
              <w:rPr>
                <w:rFonts w:hint="eastAsia"/>
              </w:rPr>
            </w:pPr>
            <w:r>
              <w:rPr>
                <w:rFonts w:hint="eastAsia"/>
              </w:rPr>
              <w:t>全年执行数</w:t>
            </w:r>
          </w:p>
          <w:p>
            <w:pPr>
              <w:jc w:val="center"/>
            </w:pPr>
            <w:r>
              <w:rPr>
                <w:rFonts w:hint="eastAsia"/>
              </w:rPr>
              <w:t>（B）</w:t>
            </w:r>
          </w:p>
        </w:tc>
        <w:tc>
          <w:tcPr>
            <w:tcW w:w="839" w:type="dxa"/>
            <w:noWrap w:val="0"/>
            <w:vAlign w:val="center"/>
          </w:tcPr>
          <w:p>
            <w:pPr>
              <w:jc w:val="center"/>
              <w:rPr>
                <w:rFonts w:hint="eastAsia"/>
              </w:rPr>
            </w:pPr>
            <w:r>
              <w:rPr>
                <w:rFonts w:hint="eastAsia"/>
              </w:rPr>
              <w:t>分值</w:t>
            </w:r>
          </w:p>
        </w:tc>
        <w:tc>
          <w:tcPr>
            <w:tcW w:w="866" w:type="dxa"/>
            <w:noWrap w:val="0"/>
            <w:vAlign w:val="center"/>
          </w:tcPr>
          <w:p>
            <w:pPr>
              <w:jc w:val="center"/>
            </w:pPr>
            <w:r>
              <w:rPr>
                <w:rFonts w:hint="eastAsia"/>
              </w:rPr>
              <w:t>执行率（B/A）</w:t>
            </w:r>
          </w:p>
        </w:tc>
        <w:tc>
          <w:tcPr>
            <w:tcW w:w="1617" w:type="dxa"/>
            <w:gridSpan w:val="2"/>
            <w:noWrap w:val="0"/>
            <w:vAlign w:val="center"/>
          </w:tcPr>
          <w:p>
            <w:pPr>
              <w:jc w:val="center"/>
              <w:rPr>
                <w:rFonts w:hint="eastAsia"/>
              </w:rP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0" w:type="dxa"/>
            <w:noWrap w:val="0"/>
            <w:vAlign w:val="center"/>
          </w:tcPr>
          <w:p>
            <w:pPr>
              <w:jc w:val="center"/>
            </w:pPr>
          </w:p>
        </w:tc>
        <w:tc>
          <w:tcPr>
            <w:tcW w:w="726" w:type="dxa"/>
            <w:noWrap w:val="0"/>
            <w:vAlign w:val="center"/>
          </w:tcPr>
          <w:p>
            <w:pPr>
              <w:jc w:val="center"/>
            </w:pPr>
          </w:p>
        </w:tc>
        <w:tc>
          <w:tcPr>
            <w:tcW w:w="1138" w:type="dxa"/>
            <w:noWrap w:val="0"/>
            <w:vAlign w:val="center"/>
          </w:tcPr>
          <w:p>
            <w:pPr>
              <w:jc w:val="center"/>
            </w:pPr>
          </w:p>
        </w:tc>
        <w:tc>
          <w:tcPr>
            <w:tcW w:w="1348" w:type="dxa"/>
            <w:noWrap w:val="0"/>
            <w:vAlign w:val="center"/>
          </w:tcPr>
          <w:p>
            <w:pPr>
              <w:jc w:val="center"/>
              <w:rPr>
                <w:rFonts w:hint="eastAsia"/>
              </w:rPr>
            </w:pPr>
            <w:r>
              <w:rPr>
                <w:rFonts w:hint="eastAsia"/>
              </w:rPr>
              <w:t>年度资金总额：</w:t>
            </w:r>
          </w:p>
        </w:tc>
        <w:tc>
          <w:tcPr>
            <w:tcW w:w="735" w:type="dxa"/>
            <w:noWrap w:val="0"/>
            <w:vAlign w:val="center"/>
          </w:tcPr>
          <w:p>
            <w:pPr>
              <w:jc w:val="center"/>
              <w:rPr>
                <w:rFonts w:hint="default" w:eastAsia="宋体"/>
                <w:lang w:val="en-US" w:eastAsia="zh-CN"/>
              </w:rPr>
            </w:pPr>
            <w:r>
              <w:rPr>
                <w:rFonts w:hint="eastAsia"/>
                <w:lang w:val="en-US" w:eastAsia="zh-CN"/>
              </w:rPr>
              <w:t>225.79</w:t>
            </w:r>
          </w:p>
        </w:tc>
        <w:tc>
          <w:tcPr>
            <w:tcW w:w="1246" w:type="dxa"/>
            <w:noWrap w:val="0"/>
            <w:vAlign w:val="center"/>
          </w:tcPr>
          <w:p>
            <w:pPr>
              <w:jc w:val="center"/>
              <w:rPr>
                <w:rFonts w:hint="default" w:eastAsia="宋体"/>
                <w:lang w:val="en-US" w:eastAsia="zh-CN"/>
              </w:rPr>
            </w:pPr>
            <w:r>
              <w:rPr>
                <w:rFonts w:hint="eastAsia"/>
                <w:lang w:val="en-US" w:eastAsia="zh-CN"/>
              </w:rPr>
              <w:t>225.79</w:t>
            </w:r>
          </w:p>
        </w:tc>
        <w:tc>
          <w:tcPr>
            <w:tcW w:w="839" w:type="dxa"/>
            <w:noWrap w:val="0"/>
            <w:vAlign w:val="center"/>
          </w:tcPr>
          <w:p>
            <w:pPr>
              <w:jc w:val="center"/>
            </w:pPr>
            <w:r>
              <w:rPr>
                <w:rFonts w:hint="eastAsia"/>
              </w:rPr>
              <w:t>10</w:t>
            </w:r>
          </w:p>
        </w:tc>
        <w:tc>
          <w:tcPr>
            <w:tcW w:w="866" w:type="dxa"/>
            <w:noWrap w:val="0"/>
            <w:vAlign w:val="center"/>
          </w:tcPr>
          <w:p>
            <w:pPr>
              <w:jc w:val="center"/>
              <w:rPr>
                <w:rFonts w:hint="default" w:eastAsia="宋体"/>
                <w:lang w:val="en-US" w:eastAsia="zh-CN"/>
              </w:rPr>
            </w:pPr>
            <w:r>
              <w:rPr>
                <w:rFonts w:hint="eastAsia"/>
                <w:lang w:val="en-US" w:eastAsia="zh-CN"/>
              </w:rPr>
              <w:t>100%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0" w:type="dxa"/>
            <w:noWrap w:val="0"/>
            <w:vAlign w:val="center"/>
          </w:tcPr>
          <w:p>
            <w:pPr>
              <w:jc w:val="center"/>
            </w:pPr>
          </w:p>
        </w:tc>
        <w:tc>
          <w:tcPr>
            <w:tcW w:w="726" w:type="dxa"/>
            <w:noWrap w:val="0"/>
            <w:vAlign w:val="center"/>
          </w:tcPr>
          <w:p>
            <w:pPr>
              <w:jc w:val="center"/>
            </w:pPr>
          </w:p>
        </w:tc>
        <w:tc>
          <w:tcPr>
            <w:tcW w:w="1138" w:type="dxa"/>
            <w:noWrap w:val="0"/>
            <w:vAlign w:val="center"/>
          </w:tcPr>
          <w:p>
            <w:pPr>
              <w:jc w:val="center"/>
            </w:pPr>
          </w:p>
        </w:tc>
        <w:tc>
          <w:tcPr>
            <w:tcW w:w="1348" w:type="dxa"/>
            <w:noWrap w:val="0"/>
            <w:vAlign w:val="center"/>
          </w:tcPr>
          <w:p>
            <w:pPr>
              <w:jc w:val="center"/>
              <w:rPr>
                <w:rFonts w:hint="eastAsia"/>
              </w:rPr>
            </w:pPr>
            <w:r>
              <w:rPr>
                <w:rFonts w:hint="eastAsia"/>
              </w:rPr>
              <w:t>其中：本年财政拨款</w:t>
            </w:r>
          </w:p>
        </w:tc>
        <w:tc>
          <w:tcPr>
            <w:tcW w:w="735" w:type="dxa"/>
            <w:noWrap w:val="0"/>
            <w:vAlign w:val="center"/>
          </w:tcPr>
          <w:p>
            <w:pPr>
              <w:jc w:val="center"/>
              <w:rPr>
                <w:rFonts w:hint="default" w:eastAsia="宋体"/>
                <w:lang w:val="en-US" w:eastAsia="zh-CN"/>
              </w:rPr>
            </w:pPr>
            <w:r>
              <w:rPr>
                <w:rFonts w:hint="eastAsia"/>
                <w:lang w:val="en-US" w:eastAsia="zh-CN"/>
              </w:rPr>
              <w:t>225.79</w:t>
            </w:r>
          </w:p>
        </w:tc>
        <w:tc>
          <w:tcPr>
            <w:tcW w:w="1246" w:type="dxa"/>
            <w:noWrap w:val="0"/>
            <w:vAlign w:val="center"/>
          </w:tcPr>
          <w:p>
            <w:pPr>
              <w:jc w:val="center"/>
              <w:rPr>
                <w:rFonts w:hint="default" w:eastAsia="宋体"/>
                <w:lang w:val="en-US" w:eastAsia="zh-CN"/>
              </w:rPr>
            </w:pPr>
            <w:r>
              <w:rPr>
                <w:rFonts w:hint="eastAsia"/>
                <w:lang w:val="en-US" w:eastAsia="zh-CN"/>
              </w:rPr>
              <w:t>225.79</w:t>
            </w:r>
          </w:p>
        </w:tc>
        <w:tc>
          <w:tcPr>
            <w:tcW w:w="839" w:type="dxa"/>
            <w:noWrap w:val="0"/>
            <w:vAlign w:val="center"/>
          </w:tcPr>
          <w:p>
            <w:pPr>
              <w:jc w:val="center"/>
              <w:rPr>
                <w:rFonts w:hint="eastAsia"/>
              </w:rPr>
            </w:pPr>
            <w:r>
              <w:rPr>
                <w:rFonts w:hint="eastAsia"/>
              </w:rPr>
              <w:t>-</w:t>
            </w:r>
          </w:p>
        </w:tc>
        <w:tc>
          <w:tcPr>
            <w:tcW w:w="866" w:type="dxa"/>
            <w:noWrap w:val="0"/>
            <w:vAlign w:val="center"/>
          </w:tcPr>
          <w:p>
            <w:pPr>
              <w:jc w:val="center"/>
              <w:rPr>
                <w:rFonts w:hint="default" w:eastAsia="宋体"/>
                <w:lang w:val="en-US" w:eastAsia="zh-CN"/>
              </w:rPr>
            </w:pPr>
            <w:r>
              <w:rPr>
                <w:rFonts w:hint="eastAsia"/>
                <w:lang w:val="en-US" w:eastAsia="zh-CN"/>
              </w:rPr>
              <w:t>100%</w:t>
            </w:r>
          </w:p>
        </w:tc>
        <w:tc>
          <w:tcPr>
            <w:tcW w:w="1617" w:type="dxa"/>
            <w:gridSpan w:val="2"/>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0" w:type="dxa"/>
            <w:noWrap w:val="0"/>
            <w:vAlign w:val="center"/>
          </w:tcPr>
          <w:p>
            <w:pPr>
              <w:jc w:val="center"/>
            </w:pPr>
          </w:p>
        </w:tc>
        <w:tc>
          <w:tcPr>
            <w:tcW w:w="726" w:type="dxa"/>
            <w:noWrap w:val="0"/>
            <w:vAlign w:val="center"/>
          </w:tcPr>
          <w:p>
            <w:pPr>
              <w:jc w:val="center"/>
            </w:pPr>
          </w:p>
        </w:tc>
        <w:tc>
          <w:tcPr>
            <w:tcW w:w="1138" w:type="dxa"/>
            <w:noWrap w:val="0"/>
            <w:vAlign w:val="center"/>
          </w:tcPr>
          <w:p>
            <w:pPr>
              <w:jc w:val="center"/>
            </w:pPr>
          </w:p>
        </w:tc>
        <w:tc>
          <w:tcPr>
            <w:tcW w:w="1348" w:type="dxa"/>
            <w:noWrap w:val="0"/>
            <w:vAlign w:val="center"/>
          </w:tcPr>
          <w:p>
            <w:pPr>
              <w:jc w:val="center"/>
              <w:rPr>
                <w:rFonts w:hint="eastAsia"/>
              </w:rPr>
            </w:pPr>
            <w:r>
              <w:rPr>
                <w:rFonts w:hint="eastAsia"/>
              </w:rPr>
              <w:t>其他</w:t>
            </w:r>
          </w:p>
          <w:p>
            <w:pPr>
              <w:jc w:val="center"/>
              <w:rPr>
                <w:rFonts w:hint="eastAsia"/>
              </w:rPr>
            </w:pPr>
            <w:r>
              <w:rPr>
                <w:rFonts w:hint="eastAsia"/>
              </w:rPr>
              <w:t>资金</w:t>
            </w: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r>
              <w:rPr>
                <w:rFonts w:hint="eastAsia"/>
              </w:rPr>
              <w:t>-</w:t>
            </w:r>
          </w:p>
        </w:tc>
        <w:tc>
          <w:tcPr>
            <w:tcW w:w="866" w:type="dxa"/>
            <w:noWrap w:val="0"/>
            <w:vAlign w:val="center"/>
          </w:tcPr>
          <w:p>
            <w:pPr>
              <w:jc w:val="center"/>
            </w:pPr>
          </w:p>
        </w:tc>
        <w:tc>
          <w:tcPr>
            <w:tcW w:w="1617" w:type="dxa"/>
            <w:gridSpan w:val="2"/>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3" w:hRule="atLeast"/>
        </w:trPr>
        <w:tc>
          <w:tcPr>
            <w:tcW w:w="420" w:type="dxa"/>
            <w:vMerge w:val="restart"/>
            <w:noWrap w:val="0"/>
            <w:vAlign w:val="center"/>
          </w:tcPr>
          <w:p>
            <w:pPr>
              <w:jc w:val="center"/>
              <w:rPr>
                <w:rFonts w:hint="eastAsia"/>
              </w:rPr>
            </w:pPr>
            <w:r>
              <w:rPr>
                <w:rFonts w:hint="eastAsia"/>
              </w:rPr>
              <w:t>年</w:t>
            </w:r>
          </w:p>
          <w:p>
            <w:pPr>
              <w:jc w:val="center"/>
              <w:rPr>
                <w:rFonts w:hint="eastAsia"/>
              </w:rPr>
            </w:pPr>
            <w:r>
              <w:rPr>
                <w:rFonts w:hint="eastAsia"/>
              </w:rPr>
              <w:t>度</w:t>
            </w:r>
          </w:p>
          <w:p>
            <w:pPr>
              <w:jc w:val="center"/>
              <w:rPr>
                <w:rFonts w:hint="eastAsia"/>
              </w:rPr>
            </w:pPr>
            <w:r>
              <w:rPr>
                <w:rFonts w:hint="eastAsia"/>
              </w:rPr>
              <w:t>总</w:t>
            </w:r>
          </w:p>
          <w:p>
            <w:pPr>
              <w:jc w:val="center"/>
              <w:rPr>
                <w:rFonts w:hint="eastAsia"/>
              </w:rPr>
            </w:pPr>
            <w:r>
              <w:rPr>
                <w:rFonts w:hint="eastAsia"/>
              </w:rPr>
              <w:t>体</w:t>
            </w:r>
          </w:p>
          <w:p>
            <w:pPr>
              <w:jc w:val="center"/>
              <w:rPr>
                <w:rFonts w:hint="eastAsia"/>
              </w:rPr>
            </w:pPr>
            <w:r>
              <w:rPr>
                <w:rFonts w:hint="eastAsia"/>
              </w:rPr>
              <w:t>目</w:t>
            </w:r>
          </w:p>
          <w:p>
            <w:pPr>
              <w:jc w:val="center"/>
              <w:rPr>
                <w:rFonts w:hint="eastAsia"/>
              </w:rPr>
            </w:pPr>
            <w:r>
              <w:rPr>
                <w:rFonts w:hint="eastAsia"/>
              </w:rPr>
              <w:t>标</w:t>
            </w:r>
          </w:p>
        </w:tc>
        <w:tc>
          <w:tcPr>
            <w:tcW w:w="3947" w:type="dxa"/>
            <w:gridSpan w:val="4"/>
            <w:noWrap w:val="0"/>
            <w:vAlign w:val="center"/>
          </w:tcPr>
          <w:p>
            <w:pPr>
              <w:jc w:val="center"/>
            </w:pPr>
            <w:r>
              <w:rPr>
                <w:rFonts w:hint="eastAsia"/>
              </w:rPr>
              <w:t>年初设定目标</w:t>
            </w:r>
          </w:p>
        </w:tc>
        <w:tc>
          <w:tcPr>
            <w:tcW w:w="4553" w:type="dxa"/>
            <w:gridSpan w:val="4"/>
            <w:noWrap w:val="0"/>
            <w:vAlign w:val="center"/>
          </w:tcPr>
          <w:p>
            <w:pPr>
              <w:jc w:val="center"/>
            </w:pPr>
            <w:r>
              <w:rPr>
                <w:rFonts w:hint="eastAsia"/>
              </w:rPr>
              <w:t>年度总体目标完成情况综述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420" w:type="dxa"/>
            <w:vMerge w:val="continue"/>
            <w:noWrap w:val="0"/>
            <w:vAlign w:val="center"/>
          </w:tcPr>
          <w:p>
            <w:pPr>
              <w:jc w:val="center"/>
              <w:rPr>
                <w:rFonts w:hint="eastAsia"/>
              </w:rPr>
            </w:pPr>
          </w:p>
        </w:tc>
        <w:tc>
          <w:tcPr>
            <w:tcW w:w="3947" w:type="dxa"/>
            <w:gridSpan w:val="4"/>
            <w:noWrap w:val="0"/>
            <w:vAlign w:val="center"/>
          </w:tcPr>
          <w:p>
            <w:pPr>
              <w:jc w:val="center"/>
              <w:rPr>
                <w:rFonts w:hint="default" w:eastAsia="仿宋_GB2312"/>
                <w:lang w:val="en-US" w:eastAsia="zh-CN"/>
              </w:rPr>
            </w:pPr>
            <w:r>
              <w:rPr>
                <w:rFonts w:hint="eastAsia" w:ascii="仿宋_GB2312" w:hAnsi="黑体" w:eastAsia="仿宋_GB2312" w:cs="黑体"/>
                <w:szCs w:val="21"/>
              </w:rPr>
              <w:t>1.服务县委县政府中心工作。2.维护妇女权益。3.关心妇女儿童健康成长。4.开展家庭文明建设活动。</w:t>
            </w:r>
          </w:p>
        </w:tc>
        <w:tc>
          <w:tcPr>
            <w:tcW w:w="4568" w:type="dxa"/>
            <w:gridSpan w:val="5"/>
            <w:noWrap w:val="0"/>
            <w:vAlign w:val="center"/>
          </w:tcPr>
          <w:p>
            <w:pPr>
              <w:jc w:val="left"/>
              <w:rPr>
                <w:rFonts w:hint="eastAsia" w:ascii="仿宋_GB2312" w:hAnsi="黑体" w:eastAsia="仿宋_GB2312" w:cs="黑体"/>
                <w:szCs w:val="21"/>
              </w:rPr>
            </w:pPr>
            <w:r>
              <w:rPr>
                <w:rFonts w:hint="eastAsia" w:ascii="仿宋_GB2312" w:hAnsi="黑体" w:eastAsia="仿宋_GB2312" w:cs="黑体"/>
                <w:szCs w:val="21"/>
                <w:lang w:val="en-US" w:eastAsia="zh-CN"/>
              </w:rPr>
              <w:t>1.</w:t>
            </w:r>
            <w:r>
              <w:rPr>
                <w:rFonts w:hint="eastAsia" w:ascii="仿宋_GB2312" w:hAnsi="黑体" w:eastAsia="仿宋_GB2312" w:cs="黑体"/>
                <w:szCs w:val="21"/>
              </w:rPr>
              <w:t>完成“两癌”免费检查</w:t>
            </w:r>
            <w:r>
              <w:rPr>
                <w:rFonts w:hint="eastAsia" w:ascii="仿宋_GB2312" w:hAnsi="黑体" w:eastAsia="仿宋_GB2312" w:cs="黑体"/>
                <w:szCs w:val="21"/>
                <w:lang w:val="en-US" w:eastAsia="zh-CN"/>
              </w:rPr>
              <w:t>10025人</w:t>
            </w:r>
            <w:r>
              <w:rPr>
                <w:rFonts w:hint="eastAsia" w:ascii="仿宋_GB2312" w:hAnsi="黑体" w:eastAsia="仿宋_GB2312" w:cs="黑体"/>
                <w:szCs w:val="21"/>
              </w:rPr>
              <w:t>、</w:t>
            </w:r>
            <w:r>
              <w:rPr>
                <w:rFonts w:hint="eastAsia" w:ascii="仿宋_GB2312" w:hAnsi="黑体" w:eastAsia="仿宋_GB2312" w:cs="黑体"/>
                <w:szCs w:val="21"/>
                <w:lang w:val="en-US" w:eastAsia="zh-CN"/>
              </w:rPr>
              <w:t>举办一期基层妇联领头雁</w:t>
            </w:r>
            <w:r>
              <w:rPr>
                <w:rFonts w:hint="eastAsia" w:ascii="仿宋_GB2312" w:hAnsi="黑体" w:eastAsia="仿宋_GB2312" w:cs="黑体"/>
                <w:szCs w:val="21"/>
              </w:rPr>
              <w:t>妇女培训班。</w:t>
            </w:r>
            <w:r>
              <w:rPr>
                <w:rFonts w:hint="eastAsia" w:ascii="仿宋_GB2312" w:hAnsi="黑体" w:eastAsia="仿宋_GB2312" w:cs="黑体"/>
                <w:szCs w:val="21"/>
                <w:lang w:val="en-US" w:eastAsia="zh-CN"/>
              </w:rPr>
              <w:t>2.</w:t>
            </w:r>
            <w:r>
              <w:rPr>
                <w:rFonts w:hint="eastAsia" w:ascii="仿宋_GB2312" w:hAnsi="黑体" w:eastAsia="仿宋_GB2312" w:cs="黑体"/>
                <w:szCs w:val="21"/>
              </w:rPr>
              <w:t>举办法律维权周活动</w:t>
            </w:r>
            <w:r>
              <w:rPr>
                <w:rFonts w:hint="eastAsia" w:ascii="仿宋_GB2312" w:hAnsi="黑体" w:eastAsia="仿宋_GB2312" w:cs="黑体"/>
                <w:szCs w:val="21"/>
                <w:lang w:eastAsia="zh-CN"/>
              </w:rPr>
              <w:t>；</w:t>
            </w:r>
            <w:r>
              <w:rPr>
                <w:rFonts w:hint="eastAsia" w:ascii="仿宋_GB2312" w:hAnsi="黑体" w:eastAsia="仿宋_GB2312" w:cs="黑体"/>
                <w:szCs w:val="21"/>
                <w:lang w:val="en-US" w:eastAsia="zh-CN"/>
              </w:rPr>
              <w:t>社区家长学校开展13场；3.</w:t>
            </w:r>
            <w:r>
              <w:rPr>
                <w:rFonts w:hint="eastAsia" w:ascii="仿宋_GB2312" w:hAnsi="黑体" w:eastAsia="仿宋_GB2312" w:cs="黑体"/>
                <w:szCs w:val="21"/>
              </w:rPr>
              <w:t>开展“六一”慰问活动；开展关爱留守儿童行动；开展关爱贫困妇女行动。</w:t>
            </w:r>
            <w:r>
              <w:rPr>
                <w:rFonts w:hint="eastAsia" w:ascii="仿宋_GB2312" w:hAnsi="黑体" w:eastAsia="仿宋_GB2312" w:cs="黑体"/>
                <w:szCs w:val="21"/>
                <w:lang w:val="en-US" w:eastAsia="zh-CN"/>
              </w:rPr>
              <w:t>4.评选了</w:t>
            </w:r>
            <w:r>
              <w:rPr>
                <w:rFonts w:hint="eastAsia" w:ascii="仿宋_GB2312" w:hAnsi="黑体" w:eastAsia="仿宋_GB2312" w:cs="黑体"/>
                <w:szCs w:val="21"/>
              </w:rPr>
              <w:t>“</w:t>
            </w:r>
            <w:r>
              <w:rPr>
                <w:rFonts w:hint="eastAsia" w:ascii="仿宋_GB2312" w:hAnsi="黑体" w:eastAsia="仿宋_GB2312" w:cs="黑体"/>
                <w:szCs w:val="21"/>
                <w:lang w:val="en-US" w:eastAsia="zh-CN"/>
              </w:rPr>
              <w:t>清廉</w:t>
            </w:r>
            <w:r>
              <w:rPr>
                <w:rFonts w:hint="eastAsia" w:ascii="仿宋_GB2312" w:hAnsi="黑体" w:eastAsia="仿宋_GB2312" w:cs="黑体"/>
                <w:szCs w:val="21"/>
              </w:rPr>
              <w:t>家庭”、“</w:t>
            </w:r>
            <w:r>
              <w:rPr>
                <w:rFonts w:hint="eastAsia" w:ascii="仿宋_GB2312" w:hAnsi="黑体" w:eastAsia="仿宋_GB2312" w:cs="黑体"/>
                <w:szCs w:val="21"/>
                <w:lang w:val="en-US" w:eastAsia="zh-CN"/>
              </w:rPr>
              <w:t>平安</w:t>
            </w:r>
            <w:r>
              <w:rPr>
                <w:rFonts w:hint="eastAsia" w:ascii="仿宋_GB2312" w:hAnsi="黑体" w:eastAsia="仿宋_GB2312" w:cs="黑体"/>
                <w:szCs w:val="21"/>
              </w:rPr>
              <w:t>家庭”活动；开展</w:t>
            </w:r>
            <w:r>
              <w:rPr>
                <w:rFonts w:hint="eastAsia" w:ascii="仿宋_GB2312" w:hAnsi="黑体" w:eastAsia="仿宋_GB2312" w:cs="黑体"/>
                <w:szCs w:val="21"/>
                <w:lang w:eastAsia="zh-CN"/>
              </w:rPr>
              <w:t>“</w:t>
            </w:r>
            <w:r>
              <w:rPr>
                <w:rFonts w:hint="eastAsia" w:ascii="仿宋_GB2312" w:hAnsi="黑体" w:eastAsia="仿宋_GB2312" w:cs="黑体"/>
                <w:szCs w:val="21"/>
                <w:lang w:val="en-US" w:eastAsia="zh-CN"/>
              </w:rPr>
              <w:t>家书抵万金</w:t>
            </w:r>
            <w:r>
              <w:rPr>
                <w:rFonts w:hint="eastAsia" w:ascii="仿宋_GB2312" w:hAnsi="黑体" w:eastAsia="仿宋_GB2312" w:cs="黑体"/>
                <w:szCs w:val="21"/>
                <w:lang w:eastAsia="zh-CN"/>
              </w:rPr>
              <w:t>”</w:t>
            </w:r>
            <w:r>
              <w:rPr>
                <w:rFonts w:hint="eastAsia" w:ascii="仿宋_GB2312" w:hAnsi="黑体" w:eastAsia="仿宋_GB2312" w:cs="黑体"/>
                <w:szCs w:val="21"/>
                <w:lang w:val="en-US" w:eastAsia="zh-CN"/>
              </w:rPr>
              <w:t>优秀家书征集</w:t>
            </w:r>
            <w:r>
              <w:rPr>
                <w:rFonts w:hint="eastAsia" w:ascii="仿宋_GB2312" w:hAnsi="黑体" w:eastAsia="仿宋_GB2312" w:cs="黑体"/>
                <w:szCs w:val="21"/>
              </w:rPr>
              <w:t>活动。</w:t>
            </w:r>
          </w:p>
          <w:p>
            <w:pPr>
              <w:jc w:val="left"/>
              <w:rPr>
                <w:rFonts w:hint="default" w:ascii="仿宋_GB2312" w:hAnsi="黑体" w:eastAsia="仿宋_GB2312" w:cs="黑体"/>
                <w:szCs w:val="21"/>
                <w:lang w:val="en-US" w:eastAsia="zh-CN"/>
              </w:rPr>
            </w:pPr>
          </w:p>
          <w:p>
            <w:pPr>
              <w:jc w:val="left"/>
              <w:rPr>
                <w:rFonts w:hint="default" w:ascii="仿宋_GB2312" w:hAnsi="黑体" w:eastAsia="仿宋_GB2312" w:cs="黑体"/>
                <w:szCs w:val="21"/>
                <w:lang w:val="en-US" w:eastAsia="zh-CN"/>
              </w:rP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0" w:type="dxa"/>
            <w:vMerge w:val="restart"/>
            <w:noWrap w:val="0"/>
            <w:vAlign w:val="center"/>
          </w:tcPr>
          <w:p>
            <w:pPr>
              <w:jc w:val="center"/>
              <w:rPr>
                <w:rFonts w:hint="eastAsia"/>
              </w:rPr>
            </w:pPr>
            <w:r>
              <w:rPr>
                <w:rFonts w:hint="eastAsia"/>
              </w:rPr>
              <w:t>绩</w:t>
            </w:r>
          </w:p>
          <w:p>
            <w:pPr>
              <w:jc w:val="center"/>
              <w:rPr>
                <w:rFonts w:hint="eastAsia"/>
              </w:rPr>
            </w:pPr>
            <w:r>
              <w:rPr>
                <w:rFonts w:hint="eastAsia"/>
              </w:rPr>
              <w:t>效</w:t>
            </w:r>
          </w:p>
          <w:p>
            <w:pPr>
              <w:jc w:val="center"/>
              <w:rPr>
                <w:rFonts w:hint="eastAsia"/>
              </w:rPr>
            </w:pPr>
            <w:r>
              <w:rPr>
                <w:rFonts w:hint="eastAsia"/>
              </w:rPr>
              <w:t>指</w:t>
            </w:r>
          </w:p>
          <w:p>
            <w:pPr>
              <w:jc w:val="center"/>
              <w:rPr>
                <w:rFonts w:hint="eastAsia"/>
              </w:rPr>
            </w:pPr>
            <w:r>
              <w:rPr>
                <w:rFonts w:hint="eastAsia"/>
              </w:rPr>
              <w:t>标</w:t>
            </w:r>
          </w:p>
        </w:tc>
        <w:tc>
          <w:tcPr>
            <w:tcW w:w="726" w:type="dxa"/>
            <w:noWrap w:val="0"/>
            <w:vAlign w:val="center"/>
          </w:tcPr>
          <w:p>
            <w:pPr>
              <w:jc w:val="center"/>
              <w:rPr>
                <w:rFonts w:hint="eastAsia"/>
              </w:rPr>
            </w:pPr>
            <w:r>
              <w:rPr>
                <w:rFonts w:hint="eastAsia"/>
              </w:rPr>
              <w:t>一级指标</w:t>
            </w:r>
          </w:p>
        </w:tc>
        <w:tc>
          <w:tcPr>
            <w:tcW w:w="1138" w:type="dxa"/>
            <w:noWrap w:val="0"/>
            <w:vAlign w:val="center"/>
          </w:tcPr>
          <w:p>
            <w:pPr>
              <w:jc w:val="center"/>
              <w:rPr>
                <w:rFonts w:hint="eastAsia"/>
              </w:rPr>
            </w:pPr>
            <w:r>
              <w:rPr>
                <w:rFonts w:hint="eastAsia"/>
              </w:rPr>
              <w:t>二级指标</w:t>
            </w:r>
          </w:p>
        </w:tc>
        <w:tc>
          <w:tcPr>
            <w:tcW w:w="1348" w:type="dxa"/>
            <w:noWrap w:val="0"/>
            <w:vAlign w:val="center"/>
          </w:tcPr>
          <w:p>
            <w:pPr>
              <w:jc w:val="center"/>
              <w:rPr>
                <w:rFonts w:hint="eastAsia"/>
              </w:rPr>
            </w:pPr>
            <w:r>
              <w:rPr>
                <w:rFonts w:hint="eastAsia"/>
              </w:rPr>
              <w:t>三级指标</w:t>
            </w:r>
          </w:p>
        </w:tc>
        <w:tc>
          <w:tcPr>
            <w:tcW w:w="735" w:type="dxa"/>
            <w:noWrap w:val="0"/>
            <w:vAlign w:val="center"/>
          </w:tcPr>
          <w:p>
            <w:pPr>
              <w:jc w:val="center"/>
            </w:pPr>
            <w:r>
              <w:rPr>
                <w:rFonts w:hint="eastAsia"/>
              </w:rPr>
              <w:t>分值</w:t>
            </w:r>
          </w:p>
        </w:tc>
        <w:tc>
          <w:tcPr>
            <w:tcW w:w="1246" w:type="dxa"/>
            <w:noWrap w:val="0"/>
            <w:vAlign w:val="center"/>
          </w:tcPr>
          <w:p>
            <w:pPr>
              <w:jc w:val="center"/>
              <w:rPr>
                <w:rFonts w:hint="eastAsia"/>
              </w:rPr>
            </w:pPr>
            <w:r>
              <w:rPr>
                <w:rFonts w:hint="eastAsia"/>
              </w:rPr>
              <w:t>年度指标值</w:t>
            </w:r>
          </w:p>
        </w:tc>
        <w:tc>
          <w:tcPr>
            <w:tcW w:w="839" w:type="dxa"/>
            <w:noWrap w:val="0"/>
            <w:vAlign w:val="center"/>
          </w:tcPr>
          <w:p>
            <w:pPr>
              <w:jc w:val="center"/>
              <w:rPr>
                <w:rFonts w:hint="eastAsia"/>
              </w:rPr>
            </w:pPr>
            <w:r>
              <w:rPr>
                <w:rFonts w:hint="eastAsia"/>
              </w:rPr>
              <w:t>全年实际值</w:t>
            </w:r>
          </w:p>
        </w:tc>
        <w:tc>
          <w:tcPr>
            <w:tcW w:w="866" w:type="dxa"/>
            <w:noWrap w:val="0"/>
            <w:vAlign w:val="center"/>
          </w:tcPr>
          <w:p>
            <w:pPr>
              <w:jc w:val="center"/>
              <w:rPr>
                <w:rFonts w:hint="eastAsia"/>
              </w:rPr>
            </w:pPr>
            <w:r>
              <w:rPr>
                <w:rFonts w:hint="eastAsia"/>
              </w:rPr>
              <w:t>得分</w:t>
            </w:r>
          </w:p>
        </w:tc>
        <w:tc>
          <w:tcPr>
            <w:tcW w:w="1617" w:type="dxa"/>
            <w:gridSpan w:val="2"/>
            <w:noWrap w:val="0"/>
            <w:vAlign w:val="center"/>
          </w:tcPr>
          <w:p>
            <w:pPr>
              <w:jc w:val="center"/>
              <w:rPr>
                <w:rFonts w:hint="eastAsia"/>
              </w:rPr>
            </w:pPr>
            <w:r>
              <w:rPr>
                <w:rFonts w:hint="eastAsia"/>
              </w:rPr>
              <w:t>未完成原因及采取的改进措施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restart"/>
            <w:noWrap w:val="0"/>
            <w:vAlign w:val="center"/>
          </w:tcPr>
          <w:p>
            <w:pPr>
              <w:jc w:val="center"/>
              <w:rPr>
                <w:rFonts w:hint="eastAsia"/>
              </w:rPr>
            </w:pPr>
            <w:r>
              <w:rPr>
                <w:rFonts w:hint="eastAsia"/>
              </w:rPr>
              <w:t>产</w:t>
            </w:r>
          </w:p>
          <w:p>
            <w:pPr>
              <w:jc w:val="center"/>
              <w:rPr>
                <w:rFonts w:hint="eastAsia"/>
              </w:rPr>
            </w:pPr>
            <w:r>
              <w:rPr>
                <w:rFonts w:hint="eastAsia"/>
              </w:rPr>
              <w:t>出</w:t>
            </w:r>
          </w:p>
          <w:p>
            <w:pPr>
              <w:jc w:val="center"/>
              <w:rPr>
                <w:rFonts w:hint="eastAsia"/>
              </w:rPr>
            </w:pPr>
            <w:r>
              <w:rPr>
                <w:rFonts w:hint="eastAsia"/>
              </w:rPr>
              <w:t>指</w:t>
            </w:r>
          </w:p>
          <w:p>
            <w:pPr>
              <w:jc w:val="center"/>
              <w:rPr>
                <w:rFonts w:hint="eastAsia"/>
              </w:rPr>
            </w:pPr>
            <w:r>
              <w:rPr>
                <w:rFonts w:hint="eastAsia"/>
              </w:rPr>
              <w:t>标</w:t>
            </w:r>
          </w:p>
          <w:p>
            <w:pPr>
              <w:jc w:val="center"/>
            </w:pPr>
            <w:r>
              <w:rPr>
                <w:rFonts w:hint="eastAsia"/>
              </w:rPr>
              <w:t>（50</w:t>
            </w:r>
          </w:p>
          <w:p>
            <w:pPr>
              <w:jc w:val="center"/>
            </w:pPr>
            <w:r>
              <w:rPr>
                <w:rFonts w:hint="eastAsia"/>
              </w:rPr>
              <w:t>分）</w:t>
            </w:r>
          </w:p>
        </w:tc>
        <w:tc>
          <w:tcPr>
            <w:tcW w:w="1138" w:type="dxa"/>
            <w:vMerge w:val="restart"/>
            <w:noWrap w:val="0"/>
            <w:vAlign w:val="center"/>
          </w:tcPr>
          <w:p>
            <w:pPr>
              <w:jc w:val="center"/>
              <w:rPr>
                <w:rFonts w:hint="eastAsia"/>
              </w:rPr>
            </w:pPr>
            <w:r>
              <w:rPr>
                <w:rFonts w:hint="eastAsia"/>
              </w:rPr>
              <w:t>数量指标</w:t>
            </w:r>
          </w:p>
        </w:tc>
        <w:tc>
          <w:tcPr>
            <w:tcW w:w="1348" w:type="dxa"/>
            <w:noWrap w:val="0"/>
            <w:vAlign w:val="center"/>
          </w:tcPr>
          <w:p>
            <w:pPr>
              <w:jc w:val="center"/>
              <w:rPr>
                <w:sz w:val="18"/>
                <w:szCs w:val="21"/>
              </w:rPr>
            </w:pPr>
            <w:r>
              <w:rPr>
                <w:rFonts w:hint="eastAsia" w:ascii="仿宋_GB2312" w:hAnsi="黑体" w:eastAsia="仿宋_GB2312" w:cs="黑体"/>
                <w:szCs w:val="21"/>
                <w:lang w:val="en-US" w:eastAsia="zh-CN"/>
              </w:rPr>
              <w:t>基层妇联领头雁</w:t>
            </w:r>
            <w:r>
              <w:rPr>
                <w:rFonts w:hint="eastAsia" w:ascii="仿宋_GB2312" w:hAnsi="黑体" w:eastAsia="仿宋_GB2312" w:cs="黑体"/>
                <w:szCs w:val="21"/>
              </w:rPr>
              <w:t>妇女培训班</w:t>
            </w:r>
          </w:p>
        </w:tc>
        <w:tc>
          <w:tcPr>
            <w:tcW w:w="735" w:type="dxa"/>
            <w:noWrap w:val="0"/>
            <w:vAlign w:val="center"/>
          </w:tcPr>
          <w:p>
            <w:pPr>
              <w:jc w:val="center"/>
              <w:rPr>
                <w:rFonts w:hint="default" w:eastAsia="宋体"/>
                <w:lang w:val="en-US" w:eastAsia="zh-CN"/>
              </w:rPr>
            </w:pPr>
            <w:r>
              <w:rPr>
                <w:rFonts w:hint="eastAsia"/>
                <w:lang w:val="en-US" w:eastAsia="zh-CN"/>
              </w:rPr>
              <w:t>20</w:t>
            </w:r>
          </w:p>
        </w:tc>
        <w:tc>
          <w:tcPr>
            <w:tcW w:w="1246" w:type="dxa"/>
            <w:noWrap w:val="0"/>
            <w:vAlign w:val="center"/>
          </w:tcPr>
          <w:p>
            <w:pPr>
              <w:jc w:val="center"/>
              <w:rPr>
                <w:rFonts w:hint="eastAsia" w:eastAsia="宋体"/>
                <w:lang w:val="en-US" w:eastAsia="zh-CN"/>
              </w:rPr>
            </w:pPr>
            <w:r>
              <w:rPr>
                <w:rFonts w:hint="eastAsia"/>
                <w:lang w:val="en-US" w:eastAsia="zh-CN"/>
              </w:rPr>
              <w:t>完成</w:t>
            </w:r>
          </w:p>
        </w:tc>
        <w:tc>
          <w:tcPr>
            <w:tcW w:w="839" w:type="dxa"/>
            <w:noWrap w:val="0"/>
            <w:vAlign w:val="center"/>
          </w:tcPr>
          <w:p>
            <w:pPr>
              <w:jc w:val="center"/>
              <w:rPr>
                <w:rFonts w:hint="eastAsia" w:eastAsia="宋体"/>
                <w:lang w:val="en-US" w:eastAsia="zh-CN"/>
              </w:rPr>
            </w:pPr>
            <w:r>
              <w:rPr>
                <w:rFonts w:hint="eastAsia"/>
                <w:lang w:val="en-US" w:eastAsia="zh-CN"/>
              </w:rPr>
              <w:t>完成</w:t>
            </w:r>
          </w:p>
        </w:tc>
        <w:tc>
          <w:tcPr>
            <w:tcW w:w="866" w:type="dxa"/>
            <w:noWrap w:val="0"/>
            <w:vAlign w:val="center"/>
          </w:tcPr>
          <w:p>
            <w:pPr>
              <w:jc w:val="center"/>
              <w:rPr>
                <w:rFonts w:hint="default" w:eastAsia="宋体"/>
                <w:lang w:val="en-US" w:eastAsia="zh-CN"/>
              </w:rPr>
            </w:pPr>
            <w:r>
              <w:rPr>
                <w:rFonts w:hint="eastAsia"/>
                <w:lang w:val="en-US" w:eastAsia="zh-CN"/>
              </w:rPr>
              <w:t>20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348" w:type="dxa"/>
            <w:noWrap w:val="0"/>
            <w:vAlign w:val="center"/>
          </w:tcPr>
          <w:p>
            <w:pPr>
              <w:jc w:val="center"/>
              <w:rPr>
                <w:sz w:val="18"/>
                <w:szCs w:val="21"/>
              </w:rPr>
            </w:pPr>
            <w:r>
              <w:rPr>
                <w:rFonts w:hint="eastAsia" w:ascii="仿宋_GB2312" w:hAnsi="黑体" w:eastAsia="仿宋_GB2312" w:cs="黑体"/>
                <w:szCs w:val="21"/>
                <w:lang w:val="en-US" w:eastAsia="zh-CN"/>
              </w:rPr>
              <w:t>社区家长学校开展13场</w:t>
            </w:r>
          </w:p>
        </w:tc>
        <w:tc>
          <w:tcPr>
            <w:tcW w:w="735" w:type="dxa"/>
            <w:noWrap w:val="0"/>
            <w:vAlign w:val="center"/>
          </w:tcPr>
          <w:p>
            <w:pPr>
              <w:jc w:val="center"/>
              <w:rPr>
                <w:rFonts w:hint="default" w:eastAsia="宋体"/>
                <w:lang w:val="en-US" w:eastAsia="zh-CN"/>
              </w:rPr>
            </w:pPr>
            <w:r>
              <w:rPr>
                <w:rFonts w:hint="eastAsia"/>
                <w:lang w:val="en-US" w:eastAsia="zh-CN"/>
              </w:rPr>
              <w:t>10</w:t>
            </w:r>
          </w:p>
        </w:tc>
        <w:tc>
          <w:tcPr>
            <w:tcW w:w="1246" w:type="dxa"/>
            <w:noWrap w:val="0"/>
            <w:vAlign w:val="center"/>
          </w:tcPr>
          <w:p>
            <w:pPr>
              <w:jc w:val="center"/>
              <w:rPr>
                <w:rFonts w:hint="eastAsia" w:eastAsia="宋体"/>
                <w:lang w:val="en-US" w:eastAsia="zh-CN"/>
              </w:rPr>
            </w:pPr>
            <w:r>
              <w:rPr>
                <w:rFonts w:hint="eastAsia"/>
                <w:lang w:val="en-US" w:eastAsia="zh-CN"/>
              </w:rPr>
              <w:t>完成</w:t>
            </w:r>
          </w:p>
        </w:tc>
        <w:tc>
          <w:tcPr>
            <w:tcW w:w="839" w:type="dxa"/>
            <w:noWrap w:val="0"/>
            <w:vAlign w:val="center"/>
          </w:tcPr>
          <w:p>
            <w:pPr>
              <w:jc w:val="center"/>
              <w:rPr>
                <w:rFonts w:hint="eastAsia" w:eastAsia="宋体"/>
                <w:lang w:val="en-US" w:eastAsia="zh-CN"/>
              </w:rPr>
            </w:pPr>
            <w:r>
              <w:rPr>
                <w:rFonts w:hint="eastAsia"/>
                <w:lang w:val="en-US" w:eastAsia="zh-CN"/>
              </w:rPr>
              <w:t>完成</w:t>
            </w:r>
          </w:p>
        </w:tc>
        <w:tc>
          <w:tcPr>
            <w:tcW w:w="866" w:type="dxa"/>
            <w:noWrap w:val="0"/>
            <w:vAlign w:val="center"/>
          </w:tcPr>
          <w:p>
            <w:pPr>
              <w:jc w:val="center"/>
              <w:rPr>
                <w:rFonts w:hint="default" w:eastAsia="宋体"/>
                <w:lang w:val="en-US" w:eastAsia="zh-CN"/>
              </w:rPr>
            </w:pPr>
            <w:r>
              <w:rPr>
                <w:rFonts w:hint="eastAsia"/>
                <w:lang w:val="en-US" w:eastAsia="zh-CN"/>
              </w:rPr>
              <w:t>10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348" w:type="dxa"/>
            <w:noWrap w:val="0"/>
            <w:vAlign w:val="center"/>
          </w:tcPr>
          <w:p>
            <w:pPr>
              <w:jc w:val="center"/>
              <w:rPr>
                <w:sz w:val="18"/>
                <w:szCs w:val="21"/>
              </w:rP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restart"/>
            <w:noWrap w:val="0"/>
            <w:vAlign w:val="center"/>
          </w:tcPr>
          <w:p>
            <w:pPr>
              <w:jc w:val="center"/>
              <w:rPr>
                <w:rFonts w:hint="eastAsia"/>
              </w:rPr>
            </w:pPr>
            <w:r>
              <w:rPr>
                <w:rFonts w:hint="eastAsia"/>
              </w:rPr>
              <w:t>质量指标</w:t>
            </w:r>
          </w:p>
        </w:tc>
        <w:tc>
          <w:tcPr>
            <w:tcW w:w="1348" w:type="dxa"/>
            <w:noWrap w:val="0"/>
            <w:vAlign w:val="center"/>
          </w:tcPr>
          <w:p>
            <w:pPr>
              <w:jc w:val="center"/>
            </w:pPr>
            <w:r>
              <w:rPr>
                <w:rFonts w:hint="eastAsia" w:ascii="仿宋_GB2312" w:hAnsi="黑体" w:eastAsia="仿宋_GB2312" w:cs="黑体"/>
                <w:szCs w:val="21"/>
              </w:rPr>
              <w:t>“两癌”免费检查</w:t>
            </w:r>
            <w:r>
              <w:rPr>
                <w:rFonts w:hint="eastAsia" w:ascii="仿宋_GB2312" w:hAnsi="黑体" w:eastAsia="仿宋_GB2312" w:cs="黑体"/>
                <w:szCs w:val="21"/>
                <w:lang w:val="en-US" w:eastAsia="zh-CN"/>
              </w:rPr>
              <w:t>10025人</w:t>
            </w:r>
          </w:p>
        </w:tc>
        <w:tc>
          <w:tcPr>
            <w:tcW w:w="735" w:type="dxa"/>
            <w:noWrap w:val="0"/>
            <w:vAlign w:val="center"/>
          </w:tcPr>
          <w:p>
            <w:pPr>
              <w:jc w:val="center"/>
              <w:rPr>
                <w:rFonts w:hint="default" w:eastAsia="宋体"/>
                <w:lang w:val="en-US" w:eastAsia="zh-CN"/>
              </w:rPr>
            </w:pPr>
            <w:r>
              <w:rPr>
                <w:rFonts w:hint="eastAsia"/>
                <w:lang w:val="en-US" w:eastAsia="zh-CN"/>
              </w:rPr>
              <w:t>20</w:t>
            </w:r>
          </w:p>
        </w:tc>
        <w:tc>
          <w:tcPr>
            <w:tcW w:w="1246" w:type="dxa"/>
            <w:noWrap w:val="0"/>
            <w:vAlign w:val="center"/>
          </w:tcPr>
          <w:p>
            <w:pPr>
              <w:jc w:val="center"/>
              <w:rPr>
                <w:rFonts w:hint="default" w:eastAsia="宋体"/>
                <w:lang w:val="en-US" w:eastAsia="zh-CN"/>
              </w:rPr>
            </w:pPr>
            <w:r>
              <w:rPr>
                <w:rFonts w:hint="eastAsia"/>
                <w:lang w:val="en-US" w:eastAsia="zh-CN"/>
              </w:rPr>
              <w:t>完成</w:t>
            </w:r>
          </w:p>
        </w:tc>
        <w:tc>
          <w:tcPr>
            <w:tcW w:w="839" w:type="dxa"/>
            <w:noWrap w:val="0"/>
            <w:vAlign w:val="center"/>
          </w:tcPr>
          <w:p>
            <w:pPr>
              <w:jc w:val="center"/>
              <w:rPr>
                <w:rFonts w:hint="eastAsia" w:eastAsia="宋体"/>
                <w:lang w:val="en-US" w:eastAsia="zh-CN"/>
              </w:rPr>
            </w:pPr>
            <w:r>
              <w:rPr>
                <w:rFonts w:hint="eastAsia"/>
                <w:lang w:val="en-US" w:eastAsia="zh-CN"/>
              </w:rPr>
              <w:t>完成</w:t>
            </w:r>
          </w:p>
        </w:tc>
        <w:tc>
          <w:tcPr>
            <w:tcW w:w="866" w:type="dxa"/>
            <w:noWrap w:val="0"/>
            <w:vAlign w:val="center"/>
          </w:tcPr>
          <w:p>
            <w:pPr>
              <w:jc w:val="center"/>
              <w:rPr>
                <w:rFonts w:hint="default" w:eastAsia="宋体"/>
                <w:lang w:val="en-US" w:eastAsia="zh-CN"/>
              </w:rPr>
            </w:pPr>
            <w:r>
              <w:rPr>
                <w:rFonts w:hint="eastAsia"/>
                <w:lang w:val="en-US" w:eastAsia="zh-CN"/>
              </w:rPr>
              <w:t>20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时效指标</w:t>
            </w:r>
          </w:p>
        </w:tc>
        <w:tc>
          <w:tcPr>
            <w:tcW w:w="1348" w:type="dxa"/>
            <w:noWrap w:val="0"/>
            <w:vAlign w:val="center"/>
          </w:tcPr>
          <w:p>
            <w:pPr>
              <w:jc w:val="center"/>
            </w:pPr>
          </w:p>
        </w:tc>
        <w:tc>
          <w:tcPr>
            <w:tcW w:w="735" w:type="dxa"/>
            <w:noWrap w:val="0"/>
            <w:vAlign w:val="center"/>
          </w:tcPr>
          <w:p>
            <w:pPr>
              <w:jc w:val="center"/>
              <w:rPr>
                <w:rFonts w:hint="default" w:eastAsia="宋体"/>
                <w:lang w:val="en-US" w:eastAsia="zh-CN"/>
              </w:rPr>
            </w:pPr>
          </w:p>
        </w:tc>
        <w:tc>
          <w:tcPr>
            <w:tcW w:w="1246" w:type="dxa"/>
            <w:noWrap w:val="0"/>
            <w:vAlign w:val="center"/>
          </w:tcPr>
          <w:p>
            <w:pPr>
              <w:jc w:val="center"/>
              <w:rPr>
                <w:rFonts w:hint="default" w:eastAsia="宋体"/>
                <w:lang w:val="en-US" w:eastAsia="zh-CN"/>
              </w:rPr>
            </w:pPr>
          </w:p>
        </w:tc>
        <w:tc>
          <w:tcPr>
            <w:tcW w:w="839" w:type="dxa"/>
            <w:noWrap w:val="0"/>
            <w:vAlign w:val="center"/>
          </w:tcPr>
          <w:p>
            <w:pPr>
              <w:jc w:val="center"/>
              <w:rPr>
                <w:rFonts w:hint="default" w:eastAsia="宋体"/>
                <w:lang w:val="en-US" w:eastAsia="zh-CN"/>
              </w:rPr>
            </w:pPr>
          </w:p>
        </w:tc>
        <w:tc>
          <w:tcPr>
            <w:tcW w:w="866" w:type="dxa"/>
            <w:noWrap w:val="0"/>
            <w:vAlign w:val="center"/>
          </w:tcPr>
          <w:p>
            <w:pPr>
              <w:jc w:val="center"/>
              <w:rPr>
                <w:rFonts w:hint="default" w:eastAsia="宋体"/>
                <w:lang w:val="en-US" w:eastAsia="zh-CN"/>
              </w:rP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成本指标</w:t>
            </w: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noWrap w:val="0"/>
            <w:vAlign w:val="center"/>
          </w:tcPr>
          <w:p>
            <w:pPr>
              <w:jc w:val="center"/>
            </w:pPr>
            <w:r>
              <w:rPr>
                <w:rFonts w:hint="eastAsia"/>
              </w:rPr>
              <w:t>......</w:t>
            </w: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20" w:type="dxa"/>
            <w:vMerge w:val="continue"/>
            <w:noWrap w:val="0"/>
            <w:vAlign w:val="center"/>
          </w:tcPr>
          <w:p>
            <w:pPr>
              <w:jc w:val="center"/>
            </w:pPr>
          </w:p>
        </w:tc>
        <w:tc>
          <w:tcPr>
            <w:tcW w:w="726" w:type="dxa"/>
            <w:vMerge w:val="restart"/>
            <w:noWrap w:val="0"/>
            <w:vAlign w:val="center"/>
          </w:tcPr>
          <w:p>
            <w:pPr>
              <w:jc w:val="center"/>
              <w:rPr>
                <w:rFonts w:hint="eastAsia"/>
              </w:rPr>
            </w:pPr>
            <w:r>
              <w:rPr>
                <w:rFonts w:hint="eastAsia"/>
              </w:rPr>
              <w:t>效</w:t>
            </w:r>
          </w:p>
          <w:p>
            <w:pPr>
              <w:jc w:val="center"/>
              <w:rPr>
                <w:rFonts w:hint="eastAsia"/>
              </w:rPr>
            </w:pPr>
            <w:r>
              <w:rPr>
                <w:rFonts w:hint="eastAsia"/>
              </w:rPr>
              <w:t>效益</w:t>
            </w:r>
          </w:p>
          <w:p>
            <w:pPr>
              <w:jc w:val="center"/>
              <w:rPr>
                <w:rFonts w:hint="eastAsia"/>
              </w:rPr>
            </w:pPr>
            <w:r>
              <w:rPr>
                <w:rFonts w:hint="eastAsia"/>
              </w:rPr>
              <w:t>指</w:t>
            </w:r>
          </w:p>
          <w:p>
            <w:pPr>
              <w:jc w:val="center"/>
              <w:rPr>
                <w:rFonts w:hint="eastAsia"/>
              </w:rPr>
            </w:pPr>
            <w:r>
              <w:rPr>
                <w:rFonts w:hint="eastAsia"/>
              </w:rPr>
              <w:t>标</w:t>
            </w:r>
          </w:p>
          <w:p>
            <w:pPr>
              <w:jc w:val="center"/>
            </w:pPr>
            <w:r>
              <w:rPr>
                <w:rFonts w:hint="eastAsia"/>
              </w:rPr>
              <w:t>（30</w:t>
            </w:r>
          </w:p>
          <w:p>
            <w:pPr>
              <w:jc w:val="center"/>
              <w:rPr>
                <w:rFonts w:hint="eastAsia"/>
              </w:rPr>
            </w:pPr>
            <w:r>
              <w:rPr>
                <w:rFonts w:hint="eastAsia"/>
              </w:rPr>
              <w:t>分）</w:t>
            </w:r>
          </w:p>
        </w:tc>
        <w:tc>
          <w:tcPr>
            <w:tcW w:w="1138" w:type="dxa"/>
            <w:vMerge w:val="restart"/>
            <w:noWrap w:val="0"/>
            <w:vAlign w:val="center"/>
          </w:tcPr>
          <w:p>
            <w:pPr>
              <w:jc w:val="center"/>
              <w:rPr>
                <w:rFonts w:hint="eastAsia"/>
              </w:rPr>
            </w:pPr>
            <w:r>
              <w:rPr>
                <w:rFonts w:hint="eastAsia"/>
              </w:rPr>
              <w:t>经济效益指标</w:t>
            </w: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rPr>
                <w:rFonts w:hint="eastAsia"/>
              </w:rP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0" w:type="dxa"/>
            <w:vMerge w:val="restart"/>
            <w:noWrap w:val="0"/>
            <w:vAlign w:val="center"/>
          </w:tcPr>
          <w:p>
            <w:pPr>
              <w:jc w:val="center"/>
            </w:pPr>
          </w:p>
        </w:tc>
        <w:tc>
          <w:tcPr>
            <w:tcW w:w="726" w:type="dxa"/>
            <w:vMerge w:val="continue"/>
            <w:noWrap w:val="0"/>
            <w:vAlign w:val="center"/>
          </w:tcPr>
          <w:p>
            <w:pPr>
              <w:jc w:val="center"/>
              <w:rPr>
                <w:rFonts w:hint="eastAsia"/>
              </w:rPr>
            </w:pPr>
          </w:p>
        </w:tc>
        <w:tc>
          <w:tcPr>
            <w:tcW w:w="1138" w:type="dxa"/>
            <w:vMerge w:val="restart"/>
            <w:noWrap w:val="0"/>
            <w:vAlign w:val="center"/>
          </w:tcPr>
          <w:p>
            <w:pPr>
              <w:jc w:val="center"/>
              <w:rPr>
                <w:rFonts w:hint="eastAsia"/>
              </w:rPr>
            </w:pPr>
            <w:r>
              <w:rPr>
                <w:rFonts w:hint="eastAsia"/>
              </w:rPr>
              <w:t>社会效益指标</w:t>
            </w:r>
          </w:p>
        </w:tc>
        <w:tc>
          <w:tcPr>
            <w:tcW w:w="1348" w:type="dxa"/>
            <w:noWrap w:val="0"/>
            <w:vAlign w:val="center"/>
          </w:tcPr>
          <w:p>
            <w:pPr>
              <w:jc w:val="left"/>
              <w:rPr>
                <w:rFonts w:hint="eastAsia" w:ascii="仿宋_GB2312" w:hAnsi="黑体" w:eastAsia="仿宋_GB2312" w:cs="黑体"/>
                <w:szCs w:val="21"/>
              </w:rPr>
            </w:pPr>
            <w:r>
              <w:rPr>
                <w:rFonts w:hint="eastAsia" w:ascii="仿宋_GB2312" w:hAnsi="黑体" w:eastAsia="仿宋_GB2312" w:cs="黑体"/>
                <w:szCs w:val="21"/>
                <w:lang w:val="en-US" w:eastAsia="zh-CN"/>
              </w:rPr>
              <w:t>优秀家书征集</w:t>
            </w:r>
            <w:r>
              <w:rPr>
                <w:rFonts w:hint="eastAsia" w:ascii="仿宋_GB2312" w:hAnsi="黑体" w:eastAsia="仿宋_GB2312" w:cs="黑体"/>
                <w:szCs w:val="21"/>
              </w:rPr>
              <w:t>活动</w:t>
            </w:r>
          </w:p>
          <w:p>
            <w:pPr>
              <w:jc w:val="center"/>
            </w:pPr>
          </w:p>
        </w:tc>
        <w:tc>
          <w:tcPr>
            <w:tcW w:w="735" w:type="dxa"/>
            <w:noWrap w:val="0"/>
            <w:vAlign w:val="center"/>
          </w:tcPr>
          <w:p>
            <w:pPr>
              <w:jc w:val="center"/>
              <w:rPr>
                <w:rFonts w:hint="default" w:eastAsia="宋体"/>
                <w:lang w:val="en-US" w:eastAsia="zh-CN"/>
              </w:rPr>
            </w:pPr>
            <w:r>
              <w:rPr>
                <w:rFonts w:hint="eastAsia"/>
                <w:lang w:val="en-US" w:eastAsia="zh-CN"/>
              </w:rPr>
              <w:t>30</w:t>
            </w:r>
          </w:p>
        </w:tc>
        <w:tc>
          <w:tcPr>
            <w:tcW w:w="1246" w:type="dxa"/>
            <w:noWrap w:val="0"/>
            <w:vAlign w:val="center"/>
          </w:tcPr>
          <w:p>
            <w:pPr>
              <w:jc w:val="center"/>
              <w:rPr>
                <w:rFonts w:hint="eastAsia" w:eastAsia="宋体"/>
                <w:lang w:val="en-US" w:eastAsia="zh-CN"/>
              </w:rPr>
            </w:pPr>
            <w:r>
              <w:rPr>
                <w:rFonts w:hint="eastAsia"/>
                <w:lang w:val="en-US" w:eastAsia="zh-CN"/>
              </w:rPr>
              <w:t>评选</w:t>
            </w:r>
          </w:p>
        </w:tc>
        <w:tc>
          <w:tcPr>
            <w:tcW w:w="839" w:type="dxa"/>
            <w:noWrap w:val="0"/>
            <w:vAlign w:val="center"/>
          </w:tcPr>
          <w:p>
            <w:pPr>
              <w:jc w:val="center"/>
              <w:rPr>
                <w:rFonts w:hint="eastAsia" w:eastAsia="宋体"/>
                <w:lang w:val="en-US" w:eastAsia="zh-CN"/>
              </w:rPr>
            </w:pPr>
            <w:r>
              <w:rPr>
                <w:rFonts w:hint="eastAsia"/>
                <w:lang w:val="en-US" w:eastAsia="zh-CN"/>
              </w:rPr>
              <w:t>评选</w:t>
            </w:r>
          </w:p>
        </w:tc>
        <w:tc>
          <w:tcPr>
            <w:tcW w:w="866" w:type="dxa"/>
            <w:noWrap w:val="0"/>
            <w:vAlign w:val="center"/>
          </w:tcPr>
          <w:p>
            <w:pPr>
              <w:jc w:val="center"/>
              <w:rPr>
                <w:rFonts w:hint="default" w:eastAsia="宋体"/>
                <w:lang w:val="en-US" w:eastAsia="zh-CN"/>
              </w:rPr>
            </w:pPr>
            <w:r>
              <w:rPr>
                <w:rFonts w:hint="eastAsia"/>
                <w:lang w:val="en-US" w:eastAsia="zh-CN"/>
              </w:rPr>
              <w:t>30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rPr>
                <w:rFonts w:hint="eastAsia"/>
              </w:rP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生态效益指标</w:t>
            </w: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可持续影响指标</w:t>
            </w: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noWrap w:val="0"/>
            <w:vAlign w:val="center"/>
          </w:tcPr>
          <w:p>
            <w:pPr>
              <w:jc w:val="center"/>
            </w:pPr>
            <w:r>
              <w:rPr>
                <w:rFonts w:hint="eastAsia"/>
              </w:rPr>
              <w:t>......</w:t>
            </w: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restart"/>
            <w:noWrap w:val="0"/>
            <w:vAlign w:val="center"/>
          </w:tcPr>
          <w:p>
            <w:pPr>
              <w:jc w:val="center"/>
            </w:pPr>
            <w:r>
              <w:rPr>
                <w:rFonts w:hint="eastAsia"/>
              </w:rPr>
              <w:t>满意度指标（10分）</w:t>
            </w:r>
          </w:p>
        </w:tc>
        <w:tc>
          <w:tcPr>
            <w:tcW w:w="1138" w:type="dxa"/>
            <w:vMerge w:val="restart"/>
            <w:noWrap w:val="0"/>
            <w:vAlign w:val="center"/>
          </w:tcPr>
          <w:p>
            <w:pPr>
              <w:jc w:val="center"/>
              <w:rPr>
                <w:rFonts w:hint="eastAsia"/>
              </w:rPr>
            </w:pPr>
            <w:r>
              <w:rPr>
                <w:rFonts w:hint="eastAsia"/>
              </w:rPr>
              <w:t>服务对象满意度指标</w:t>
            </w:r>
          </w:p>
        </w:tc>
        <w:tc>
          <w:tcPr>
            <w:tcW w:w="1348" w:type="dxa"/>
            <w:noWrap w:val="0"/>
            <w:vAlign w:val="center"/>
          </w:tcPr>
          <w:p>
            <w:pPr>
              <w:jc w:val="center"/>
              <w:rPr>
                <w:rFonts w:hint="default" w:eastAsia="宋体"/>
                <w:lang w:val="en-US" w:eastAsia="zh-CN"/>
              </w:rPr>
            </w:pPr>
            <w:r>
              <w:rPr>
                <w:rFonts w:hint="eastAsia"/>
                <w:lang w:val="en-US" w:eastAsia="zh-CN"/>
              </w:rPr>
              <w:t>维护妇女儿童合法权益</w:t>
            </w:r>
          </w:p>
        </w:tc>
        <w:tc>
          <w:tcPr>
            <w:tcW w:w="735" w:type="dxa"/>
            <w:noWrap w:val="0"/>
            <w:vAlign w:val="center"/>
          </w:tcPr>
          <w:p>
            <w:pPr>
              <w:jc w:val="center"/>
              <w:rPr>
                <w:rFonts w:hint="default" w:eastAsia="宋体"/>
                <w:lang w:val="en-US" w:eastAsia="zh-CN"/>
              </w:rPr>
            </w:pPr>
            <w:r>
              <w:rPr>
                <w:rFonts w:hint="eastAsia"/>
                <w:lang w:val="en-US" w:eastAsia="zh-CN"/>
              </w:rPr>
              <w:t>10</w:t>
            </w:r>
          </w:p>
        </w:tc>
        <w:tc>
          <w:tcPr>
            <w:tcW w:w="1246" w:type="dxa"/>
            <w:noWrap w:val="0"/>
            <w:vAlign w:val="center"/>
          </w:tcPr>
          <w:p>
            <w:pPr>
              <w:jc w:val="center"/>
              <w:rPr>
                <w:rFonts w:hint="default" w:eastAsia="宋体"/>
                <w:lang w:val="en-US" w:eastAsia="zh-CN"/>
              </w:rPr>
            </w:pPr>
            <w:r>
              <w:rPr>
                <w:rFonts w:hint="eastAsia"/>
                <w:lang w:val="en-US" w:eastAsia="zh-CN"/>
              </w:rPr>
              <w:t>100%</w:t>
            </w:r>
          </w:p>
        </w:tc>
        <w:tc>
          <w:tcPr>
            <w:tcW w:w="839" w:type="dxa"/>
            <w:noWrap w:val="0"/>
            <w:vAlign w:val="center"/>
          </w:tcPr>
          <w:p>
            <w:pPr>
              <w:jc w:val="center"/>
              <w:rPr>
                <w:rFonts w:hint="default" w:eastAsia="宋体"/>
                <w:lang w:val="en-US" w:eastAsia="zh-CN"/>
              </w:rPr>
            </w:pPr>
            <w:r>
              <w:rPr>
                <w:rFonts w:hint="eastAsia"/>
                <w:lang w:val="en-US" w:eastAsia="zh-CN"/>
              </w:rPr>
              <w:t>100%</w:t>
            </w:r>
          </w:p>
        </w:tc>
        <w:tc>
          <w:tcPr>
            <w:tcW w:w="866" w:type="dxa"/>
            <w:noWrap w:val="0"/>
            <w:vAlign w:val="center"/>
          </w:tcPr>
          <w:p>
            <w:pPr>
              <w:jc w:val="center"/>
              <w:rPr>
                <w:rFonts w:hint="default" w:eastAsia="宋体"/>
                <w:lang w:val="en-US" w:eastAsia="zh-CN"/>
              </w:rPr>
            </w:pPr>
            <w:r>
              <w:rPr>
                <w:rFonts w:hint="eastAsia"/>
                <w:lang w:val="en-US" w:eastAsia="zh-CN"/>
              </w:rPr>
              <w:t>10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rPr>
                <w:rFonts w:hint="eastAsia"/>
              </w:rP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rPr>
                <w:rFonts w:hint="eastAsia"/>
              </w:rPr>
            </w:pP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noWrap w:val="0"/>
            <w:vAlign w:val="center"/>
          </w:tcPr>
          <w:p>
            <w:pPr>
              <w:jc w:val="center"/>
            </w:pPr>
            <w:r>
              <w:rPr>
                <w:rFonts w:hint="eastAsia"/>
              </w:rPr>
              <w:t>......</w:t>
            </w:r>
          </w:p>
        </w:tc>
        <w:tc>
          <w:tcPr>
            <w:tcW w:w="1348" w:type="dxa"/>
            <w:noWrap w:val="0"/>
            <w:vAlign w:val="center"/>
          </w:tcPr>
          <w:p>
            <w:pPr>
              <w:jc w:val="center"/>
            </w:pPr>
          </w:p>
        </w:tc>
        <w:tc>
          <w:tcPr>
            <w:tcW w:w="735" w:type="dxa"/>
            <w:noWrap w:val="0"/>
            <w:vAlign w:val="center"/>
          </w:tcPr>
          <w:p>
            <w:pPr>
              <w:jc w:val="center"/>
            </w:pP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32" w:type="dxa"/>
            <w:gridSpan w:val="4"/>
            <w:noWrap w:val="0"/>
            <w:vAlign w:val="center"/>
          </w:tcPr>
          <w:p>
            <w:pPr>
              <w:jc w:val="center"/>
            </w:pPr>
            <w:r>
              <w:rPr>
                <w:rFonts w:hint="eastAsia"/>
              </w:rPr>
              <w:t>总分</w:t>
            </w:r>
          </w:p>
        </w:tc>
        <w:tc>
          <w:tcPr>
            <w:tcW w:w="735" w:type="dxa"/>
            <w:noWrap w:val="0"/>
            <w:vAlign w:val="center"/>
          </w:tcPr>
          <w:p>
            <w:pPr>
              <w:jc w:val="center"/>
            </w:pPr>
            <w:r>
              <w:rPr>
                <w:rFonts w:hint="eastAsia"/>
              </w:rPr>
              <w:t>100</w:t>
            </w:r>
          </w:p>
        </w:tc>
        <w:tc>
          <w:tcPr>
            <w:tcW w:w="1246" w:type="dxa"/>
            <w:noWrap w:val="0"/>
            <w:vAlign w:val="center"/>
          </w:tcPr>
          <w:p>
            <w:pPr>
              <w:jc w:val="center"/>
            </w:pPr>
          </w:p>
        </w:tc>
        <w:tc>
          <w:tcPr>
            <w:tcW w:w="839" w:type="dxa"/>
            <w:noWrap w:val="0"/>
            <w:vAlign w:val="center"/>
          </w:tcPr>
          <w:p>
            <w:pPr>
              <w:jc w:val="center"/>
            </w:pPr>
          </w:p>
        </w:tc>
        <w:tc>
          <w:tcPr>
            <w:tcW w:w="866" w:type="dxa"/>
            <w:noWrap w:val="0"/>
            <w:vAlign w:val="center"/>
          </w:tcPr>
          <w:p>
            <w:pPr>
              <w:jc w:val="center"/>
              <w:rPr>
                <w:rFonts w:hint="default" w:eastAsia="宋体"/>
                <w:lang w:val="en-US" w:eastAsia="zh-CN"/>
              </w:rPr>
            </w:pPr>
            <w:r>
              <w:rPr>
                <w:rFonts w:hint="eastAsia"/>
                <w:lang w:val="en-US" w:eastAsia="zh-CN"/>
              </w:rPr>
              <w:t>100</w:t>
            </w:r>
          </w:p>
        </w:tc>
        <w:tc>
          <w:tcPr>
            <w:tcW w:w="1617" w:type="dxa"/>
            <w:gridSpan w:val="2"/>
            <w:noWrap w:val="0"/>
            <w:vAlign w:val="center"/>
          </w:tcPr>
          <w:p>
            <w:pPr>
              <w:jc w:val="center"/>
            </w:pPr>
          </w:p>
        </w:tc>
      </w:tr>
    </w:tbl>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1"/>
        </w:num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1"/>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1"/>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ind w:left="277" w:leftChars="132"/>
        <w:jc w:val="left"/>
        <w:rPr>
          <w:rFonts w:ascii="仿宋" w:hAnsi="仿宋" w:eastAsia="仿宋" w:cs="仿宋"/>
          <w:sz w:val="32"/>
          <w:szCs w:val="32"/>
        </w:rPr>
      </w:pPr>
    </w:p>
    <w:p>
      <w:pPr>
        <w:ind w:left="10" w:leftChars="5" w:firstLine="406" w:firstLineChars="127"/>
        <w:jc w:val="left"/>
        <w:rPr>
          <w:rFonts w:hint="eastAsia" w:ascii="仿宋" w:hAnsi="仿宋" w:eastAsia="仿宋" w:cs="仿宋"/>
          <w:sz w:val="32"/>
          <w:szCs w:val="32"/>
        </w:rPr>
      </w:pPr>
    </w:p>
    <w:p/>
    <w:sectPr>
      <w:headerReference r:id="rId3" w:type="default"/>
      <w:footerReference r:id="rId4" w:type="default"/>
      <w:footerReference r:id="rId5"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4</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8993E"/>
    <w:multiLevelType w:val="singleLevel"/>
    <w:tmpl w:val="658899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ODE5Mjk0YTE0MmE4YWM3YmNiYWJkOGIxMzY2MzAifQ=="/>
    <w:docVar w:name="KSO_WPS_MARK_KEY" w:val="f27d09ff-ddb9-4414-ac07-893ab839dc7c"/>
  </w:docVars>
  <w:rsids>
    <w:rsidRoot w:val="272B5641"/>
    <w:rsid w:val="011C626C"/>
    <w:rsid w:val="016D4D19"/>
    <w:rsid w:val="01BF09B0"/>
    <w:rsid w:val="10DF06AF"/>
    <w:rsid w:val="15CC7B97"/>
    <w:rsid w:val="16AB5C70"/>
    <w:rsid w:val="17B31280"/>
    <w:rsid w:val="18BB6905"/>
    <w:rsid w:val="1DF61391"/>
    <w:rsid w:val="20193875"/>
    <w:rsid w:val="23BC78E2"/>
    <w:rsid w:val="23D53E88"/>
    <w:rsid w:val="23EC4760"/>
    <w:rsid w:val="272B5641"/>
    <w:rsid w:val="28C31CCF"/>
    <w:rsid w:val="298544FD"/>
    <w:rsid w:val="2B4C75CA"/>
    <w:rsid w:val="2B7A502F"/>
    <w:rsid w:val="2BCA0FE1"/>
    <w:rsid w:val="31D61AC3"/>
    <w:rsid w:val="331C3D26"/>
    <w:rsid w:val="364A1323"/>
    <w:rsid w:val="3B6A5ED5"/>
    <w:rsid w:val="42B27078"/>
    <w:rsid w:val="458C16DE"/>
    <w:rsid w:val="4AAC15DF"/>
    <w:rsid w:val="4DA8119B"/>
    <w:rsid w:val="566B352B"/>
    <w:rsid w:val="58666C7C"/>
    <w:rsid w:val="5AA61FA3"/>
    <w:rsid w:val="5BBA331D"/>
    <w:rsid w:val="5E40626B"/>
    <w:rsid w:val="60235E44"/>
    <w:rsid w:val="61E74800"/>
    <w:rsid w:val="649E018F"/>
    <w:rsid w:val="64EA5182"/>
    <w:rsid w:val="683230C8"/>
    <w:rsid w:val="69445A73"/>
    <w:rsid w:val="6C951E77"/>
    <w:rsid w:val="6DE77224"/>
    <w:rsid w:val="744A34E5"/>
    <w:rsid w:val="77FF782B"/>
    <w:rsid w:val="78736B37"/>
    <w:rsid w:val="7DBC40B5"/>
    <w:rsid w:val="7EC209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6620</Words>
  <Characters>7020</Characters>
  <Lines>0</Lines>
  <Paragraphs>0</Paragraphs>
  <TotalTime>19</TotalTime>
  <ScaleCrop>false</ScaleCrop>
  <LinksUpToDate>false</LinksUpToDate>
  <CharactersWithSpaces>7194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2019-04-09T05:52:00Z</dcterms:created>
  <dc:creator>j</dc:creator>
  <cp:lastModifiedBy>八百里浪涌</cp:lastModifiedBy>
  <cp:lastPrinted>2022-03-02T07:47:00Z</cp:lastPrinted>
  <dcterms:modified xsi:type="dcterms:W3CDTF">2024-11-04T03:19:38Z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C4440465EE5943F4BE50725FD7B241C4</vt:lpwstr>
  </property>
</Properties>
</file>