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宋体" w:eastAsia="黑体"/>
          <w:sz w:val="32"/>
          <w:szCs w:val="32"/>
        </w:rPr>
      </w:pPr>
      <w:r>
        <w:rPr>
          <w:rFonts w:hint="eastAsia" w:ascii="黑体" w:eastAsia="黑体"/>
          <w:sz w:val="32"/>
          <w:szCs w:val="32"/>
        </w:rPr>
        <w:t>附件1</w:t>
      </w:r>
    </w:p>
    <w:p>
      <w:pPr>
        <w:rPr>
          <w:rFonts w:eastAsia="黑体"/>
          <w:sz w:val="44"/>
        </w:rPr>
      </w:pPr>
    </w:p>
    <w:p>
      <w:pPr>
        <w:rPr>
          <w:rFonts w:eastAsia="黑体"/>
          <w:sz w:val="44"/>
        </w:rPr>
      </w:pPr>
    </w:p>
    <w:p>
      <w:pPr>
        <w:rPr>
          <w:rFonts w:eastAsia="黑体"/>
          <w:sz w:val="44"/>
        </w:rPr>
      </w:pPr>
    </w:p>
    <w:p>
      <w:pPr>
        <w:jc w:val="center"/>
        <w:rPr>
          <w:rFonts w:ascii="宋体" w:hAnsi="宋体"/>
          <w:sz w:val="44"/>
          <w:szCs w:val="44"/>
        </w:rPr>
      </w:pPr>
    </w:p>
    <w:p>
      <w:pPr>
        <w:jc w:val="center"/>
        <w:rPr>
          <w:rFonts w:ascii="宋体" w:hAnsi="宋体"/>
          <w:sz w:val="44"/>
          <w:szCs w:val="44"/>
        </w:rPr>
      </w:pPr>
      <w:r>
        <w:rPr>
          <w:rFonts w:hint="eastAsia" w:ascii="宋体" w:hAnsi="宋体"/>
          <w:sz w:val="44"/>
          <w:szCs w:val="44"/>
        </w:rPr>
        <w:t>邵阳县</w:t>
      </w:r>
      <w:r>
        <w:rPr>
          <w:rFonts w:ascii="宋体" w:hAnsi="宋体"/>
          <w:sz w:val="44"/>
          <w:szCs w:val="44"/>
        </w:rPr>
        <w:t>20</w:t>
      </w:r>
      <w:r>
        <w:rPr>
          <w:rFonts w:hint="eastAsia" w:ascii="宋体" w:hAnsi="宋体"/>
          <w:sz w:val="44"/>
          <w:szCs w:val="44"/>
        </w:rPr>
        <w:t xml:space="preserve">21年度部门整体支出绩效自评报告   </w:t>
      </w:r>
    </w:p>
    <w:p>
      <w:pPr>
        <w:jc w:val="center"/>
        <w:rPr>
          <w:rFonts w:ascii="宋体" w:hAnsi="宋体"/>
          <w:sz w:val="44"/>
          <w:szCs w:val="44"/>
        </w:rPr>
      </w:pPr>
      <w:r>
        <w:rPr>
          <w:rFonts w:hint="eastAsia" w:ascii="宋体" w:hAnsi="宋体"/>
          <w:sz w:val="44"/>
          <w:szCs w:val="44"/>
        </w:rPr>
        <w:t>（封面）</w:t>
      </w:r>
    </w:p>
    <w:p>
      <w:pPr>
        <w:jc w:val="center"/>
        <w:rPr>
          <w:rFonts w:ascii="宋体" w:hAnsi="宋体"/>
          <w:sz w:val="44"/>
          <w:szCs w:val="44"/>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600" w:lineRule="exact"/>
        <w:rPr>
          <w:sz w:val="36"/>
        </w:rPr>
      </w:pPr>
    </w:p>
    <w:p>
      <w:pPr>
        <w:spacing w:line="1000" w:lineRule="exact"/>
        <w:rPr>
          <w:bCs/>
          <w:sz w:val="32"/>
          <w:szCs w:val="32"/>
          <w:u w:val="single"/>
        </w:rPr>
      </w:pPr>
      <w:r>
        <w:rPr>
          <w:rFonts w:hint="eastAsia"/>
          <w:sz w:val="36"/>
        </w:rPr>
        <w:t xml:space="preserve">    </w:t>
      </w:r>
      <w:r>
        <w:rPr>
          <w:rFonts w:hint="eastAsia"/>
          <w:b/>
          <w:bCs/>
          <w:sz w:val="32"/>
          <w:szCs w:val="32"/>
        </w:rPr>
        <w:t xml:space="preserve"> 自评单位：  </w:t>
      </w:r>
      <w:r>
        <w:rPr>
          <w:rFonts w:hint="eastAsia"/>
          <w:b/>
          <w:bCs/>
          <w:sz w:val="32"/>
          <w:szCs w:val="32"/>
          <w:u w:val="single"/>
        </w:rPr>
        <w:t>　邵阳县自然资源局　</w:t>
      </w:r>
      <w:r>
        <w:rPr>
          <w:rFonts w:hint="eastAsia"/>
          <w:bCs/>
          <w:sz w:val="32"/>
          <w:szCs w:val="32"/>
        </w:rPr>
        <w:t>（单位公章）</w:t>
      </w:r>
    </w:p>
    <w:p>
      <w:pPr>
        <w:spacing w:line="600" w:lineRule="exact"/>
      </w:pPr>
    </w:p>
    <w:p>
      <w:pPr>
        <w:spacing w:line="600" w:lineRule="exact"/>
      </w:pPr>
    </w:p>
    <w:p>
      <w:pPr>
        <w:spacing w:line="600" w:lineRule="exact"/>
      </w:pPr>
    </w:p>
    <w:p>
      <w:pPr>
        <w:spacing w:line="600" w:lineRule="exact"/>
      </w:pPr>
    </w:p>
    <w:p>
      <w:pPr>
        <w:spacing w:line="600" w:lineRule="exact"/>
      </w:pPr>
    </w:p>
    <w:p>
      <w:pPr>
        <w:spacing w:line="600" w:lineRule="exact"/>
        <w:jc w:val="center"/>
        <w:rPr>
          <w:rFonts w:ascii="楷体" w:hAnsi="楷体" w:eastAsia="楷体" w:cs="楷体"/>
          <w:sz w:val="36"/>
        </w:rPr>
      </w:pPr>
      <w:r>
        <w:rPr>
          <w:rFonts w:hint="eastAsia" w:ascii="楷体" w:hAnsi="楷体" w:eastAsia="楷体" w:cs="楷体"/>
          <w:sz w:val="36"/>
        </w:rPr>
        <w:t>日期：2022年2月16日</w:t>
      </w:r>
    </w:p>
    <w:p>
      <w:pPr>
        <w:spacing w:line="600" w:lineRule="exact"/>
        <w:rPr>
          <w:rFonts w:eastAsia="仿宋_GB2312"/>
          <w:sz w:val="28"/>
          <w:szCs w:val="28"/>
        </w:rPr>
      </w:pPr>
    </w:p>
    <w:p/>
    <w:p/>
    <w:p/>
    <w:p/>
    <w:p>
      <w:pPr>
        <w:spacing w:line="600" w:lineRule="exact"/>
        <w:rPr>
          <w:rFonts w:ascii="宋体" w:hAnsi="宋体" w:cs="宋体"/>
          <w:kern w:val="0"/>
          <w:sz w:val="32"/>
          <w:szCs w:val="32"/>
        </w:rPr>
      </w:pPr>
      <w:r>
        <w:rPr>
          <w:rFonts w:hint="eastAsia" w:ascii="黑体" w:hAnsi="宋体" w:eastAsia="黑体" w:cs="宋体"/>
          <w:kern w:val="0"/>
          <w:sz w:val="32"/>
          <w:szCs w:val="32"/>
        </w:rPr>
        <w:t>附件2</w:t>
      </w:r>
      <w:r>
        <w:rPr>
          <w:rFonts w:ascii="黑体" w:hAnsi="宋体" w:eastAsia="黑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r>
        <w:rPr>
          <w:rFonts w:ascii="宋体" w:hAnsi="宋体" w:cs="宋体"/>
          <w:kern w:val="0"/>
          <w:sz w:val="32"/>
          <w:szCs w:val="32"/>
        </w:rPr>
        <w:tab/>
      </w:r>
    </w:p>
    <w:p>
      <w:pPr>
        <w:widowControl/>
        <w:ind w:left="93"/>
        <w:jc w:val="center"/>
        <w:rPr>
          <w:rFonts w:ascii="宋体" w:hAnsi="宋体" w:cs="宋体"/>
          <w:bCs/>
          <w:kern w:val="0"/>
          <w:sz w:val="32"/>
          <w:szCs w:val="32"/>
        </w:rPr>
      </w:pPr>
      <w:r>
        <w:rPr>
          <w:rFonts w:hint="eastAsia" w:ascii="宋体" w:hAnsi="宋体" w:cs="宋体"/>
          <w:bCs/>
          <w:kern w:val="0"/>
          <w:sz w:val="32"/>
          <w:szCs w:val="32"/>
        </w:rPr>
        <w:t>部门整体支出绩效评价指标评分表</w:t>
      </w:r>
    </w:p>
    <w:tbl>
      <w:tblPr>
        <w:tblStyle w:val="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11"/>
        <w:gridCol w:w="429"/>
        <w:gridCol w:w="567"/>
        <w:gridCol w:w="851"/>
        <w:gridCol w:w="567"/>
        <w:gridCol w:w="3118"/>
        <w:gridCol w:w="3472"/>
        <w:gridCol w:w="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7" w:hRule="atLeast"/>
          <w:tblHeader/>
          <w:jc w:val="center"/>
        </w:trPr>
        <w:tc>
          <w:tcPr>
            <w:tcW w:w="411" w:type="dxa"/>
            <w:vAlign w:val="center"/>
          </w:tcPr>
          <w:p>
            <w:pPr>
              <w:widowControl/>
              <w:jc w:val="left"/>
              <w:rPr>
                <w:rFonts w:ascii="宋体" w:hAnsi="宋体" w:cs="宋体"/>
                <w:b/>
                <w:bCs/>
                <w:kern w:val="0"/>
                <w:sz w:val="20"/>
                <w:szCs w:val="20"/>
              </w:rPr>
            </w:pPr>
            <w:r>
              <w:rPr>
                <w:rFonts w:hint="eastAsia" w:ascii="宋体" w:hAnsi="宋体" w:cs="宋体"/>
                <w:b/>
                <w:bCs/>
                <w:kern w:val="0"/>
                <w:sz w:val="20"/>
                <w:szCs w:val="20"/>
              </w:rPr>
              <w:t>一级指标</w:t>
            </w:r>
          </w:p>
        </w:tc>
        <w:tc>
          <w:tcPr>
            <w:tcW w:w="429"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二级指标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851"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三级   指标</w:t>
            </w:r>
          </w:p>
        </w:tc>
        <w:tc>
          <w:tcPr>
            <w:tcW w:w="56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分值</w:t>
            </w:r>
          </w:p>
        </w:tc>
        <w:tc>
          <w:tcPr>
            <w:tcW w:w="3118"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评价标准</w:t>
            </w:r>
          </w:p>
        </w:tc>
        <w:tc>
          <w:tcPr>
            <w:tcW w:w="3472"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备注</w:t>
            </w:r>
          </w:p>
        </w:tc>
        <w:tc>
          <w:tcPr>
            <w:tcW w:w="617" w:type="dxa"/>
            <w:vAlign w:val="center"/>
          </w:tcPr>
          <w:p>
            <w:pPr>
              <w:widowControl/>
              <w:jc w:val="center"/>
              <w:rPr>
                <w:rFonts w:ascii="宋体" w:hAnsi="宋体" w:cs="宋体"/>
                <w:b/>
                <w:bCs/>
                <w:kern w:val="0"/>
                <w:sz w:val="20"/>
                <w:szCs w:val="20"/>
              </w:rPr>
            </w:pPr>
            <w:r>
              <w:rPr>
                <w:rFonts w:hint="eastAsia" w:ascii="宋体" w:hAnsi="宋体" w:cs="宋体"/>
                <w:b/>
                <w:bCs/>
                <w:kern w:val="0"/>
                <w:sz w:val="20"/>
                <w:szCs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5"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投    入</w:t>
            </w:r>
          </w:p>
        </w:tc>
        <w:tc>
          <w:tcPr>
            <w:tcW w:w="429"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预算配置</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19</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财政供养人员</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以100%为标准。在职人员控制率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100%，计1分；每超过一个百分点扣0.1分，扣完为止。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在职人员控制率=（在职人员数/编制数）×100%，在职人员数：部门（单位）实际在职人数，以财政部门</w:t>
            </w:r>
            <w:r>
              <w:rPr>
                <w:rFonts w:ascii="仿宋_GB2312" w:hAnsi="宋体" w:eastAsia="仿宋_GB2312" w:cs="宋体"/>
                <w:kern w:val="0"/>
                <w:sz w:val="20"/>
                <w:szCs w:val="20"/>
              </w:rPr>
              <w:t>201</w:t>
            </w:r>
            <w:r>
              <w:rPr>
                <w:rFonts w:hint="eastAsia" w:ascii="仿宋_GB2312" w:hAnsi="宋体" w:eastAsia="仿宋_GB2312" w:cs="宋体"/>
                <w:kern w:val="0"/>
                <w:sz w:val="20"/>
                <w:szCs w:val="20"/>
              </w:rPr>
              <w:t>9年决算编制数为准。编制数：机构编制部门核定批复的部门（单位）的人员编制数。</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w:t>
            </w:r>
          </w:p>
          <w:p>
            <w:pPr>
              <w:widowControl/>
              <w:jc w:val="left"/>
              <w:rPr>
                <w:rFonts w:ascii="宋体" w:hAnsi="宋体" w:cs="宋体"/>
                <w:kern w:val="0"/>
                <w:sz w:val="24"/>
              </w:rPr>
            </w:pPr>
            <w:r>
              <w:rPr>
                <w:rFonts w:hint="eastAsia" w:ascii="宋体" w:hAnsi="宋体" w:cs="宋体"/>
                <w:kern w:val="0"/>
                <w:sz w:val="24"/>
              </w:rPr>
              <w:t xml:space="preserve"> 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8"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0,计3分；“三公经费”＞0，每超过一个百分点扣0.3分，扣完为止。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“三公经费”变动率=[（本年度“三公经费”总额-上年度“三公经费”总额）/上年度“三公经费”总额]×100%。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“三公经费”：指政府部门人员因公出国（境）经费、公务车购置及运行费、公务招待费产生的消费。</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1"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①招待费用明确招待标准和招待人数,1分;②车辆维护、燃油使用政府定点，1分。③</w:t>
            </w:r>
            <w:r>
              <w:rPr>
                <w:rFonts w:hint="eastAsia" w:ascii="仿宋_GB2312" w:hAnsi="仿宋" w:eastAsia="仿宋_GB2312" w:cs="仿宋"/>
                <w:kern w:val="0"/>
                <w:sz w:val="20"/>
                <w:szCs w:val="20"/>
              </w:rPr>
              <w:t>制定“三公经费”管理办法，1分，每少一项扣1分，扣完为止。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3</w:t>
            </w: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招待费变动率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0,计2分；“公务招待费变动率”＞0，每超过一个百分点扣0.2分，扣完为止。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公务招待费变动率=[（本年度“公务招待费”总额-上年度“公务招待费”总额）/上年度“公务招待费”总额]×100%。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运行费</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0,计2分；“公务用车购置运行费变动率”＞0，每超过一个百分点扣0.2分，扣完为止。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公务用车购置运行费变动率=[（本年度“公务用车购置运行费”总额-上年度“公务用车购置运行费”总额）/上年度“公务用车购置运行费”总额]×100%。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商品 和服务支出 变动率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0,计2分；“商品和服务支出”变动率＞0，每超过一个百分点扣0.2分，扣完为止。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“商品和服务支出”变动率=[（本年度“商品和服务支出”总额-上年度“商品和服务支出”总额）/上年度“商品和服务支出”总额]×100%。</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支出  安排率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重点支出安排率≥90%，计2分；80%（含）-90%，计1分；70%（含）-80%，计0.5分；低于70%不得分。</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重点支出安排率=（重点项目支出/项目总支出）×100%</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重点项目支出：县政府确定的为民办实事和部门重点工程与重点工作支出。项目总支出：部门（单位）年度预算安排的项目支出总额。</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①实行收支两条线，1分；</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②未发生截留、坐支或转移，1分。以上每发现一次违规现象扣1分，扣完为止。</w:t>
            </w:r>
          </w:p>
        </w:tc>
        <w:tc>
          <w:tcPr>
            <w:tcW w:w="3472" w:type="dxa"/>
          </w:tcPr>
          <w:p>
            <w:pPr>
              <w:widowControl/>
              <w:jc w:val="left"/>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9"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continue"/>
          </w:tcPr>
          <w:p>
            <w:pPr>
              <w:widowControl/>
              <w:jc w:val="left"/>
              <w:rPr>
                <w:rFonts w:ascii="仿宋_GB2312" w:hAnsi="宋体" w:eastAsia="仿宋_GB2312" w:cs="宋体"/>
                <w:kern w:val="0"/>
                <w:sz w:val="20"/>
                <w:szCs w:val="20"/>
              </w:rPr>
            </w:pPr>
          </w:p>
        </w:tc>
        <w:tc>
          <w:tcPr>
            <w:tcW w:w="567" w:type="dxa"/>
            <w:vMerge w:val="continue"/>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非税 收入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非税收入完成率100%，2分，每少一个百分点，扣0.1分，扣完为止。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非税收入完成率=（</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6年度非税实际收入完成数/</w:t>
            </w:r>
            <w:r>
              <w:rPr>
                <w:rFonts w:ascii="仿宋_GB2312" w:hAnsi="宋体" w:eastAsia="仿宋_GB2312" w:cs="宋体"/>
                <w:kern w:val="0"/>
                <w:sz w:val="20"/>
                <w:szCs w:val="20"/>
              </w:rPr>
              <w:t>201</w:t>
            </w:r>
            <w:r>
              <w:rPr>
                <w:rFonts w:hint="eastAsia" w:ascii="仿宋_GB2312" w:hAnsi="宋体" w:eastAsia="仿宋_GB2312" w:cs="宋体"/>
                <w:kern w:val="0"/>
                <w:sz w:val="20"/>
                <w:szCs w:val="20"/>
              </w:rPr>
              <w:t>6年度非税收入预算数）×100%，有减免因素的，以非税局确定的为准。</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7" w:hRule="atLeast"/>
          <w:jc w:val="center"/>
        </w:trPr>
        <w:tc>
          <w:tcPr>
            <w:tcW w:w="411" w:type="dxa"/>
            <w:vMerge w:val="restart"/>
            <w:textDirection w:val="tbRlV"/>
          </w:tcPr>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p>
            <w:pPr>
              <w:widowControl/>
              <w:ind w:left="113" w:right="113"/>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rPr>
                <w:rFonts w:ascii="仿宋_GB2312" w:hAnsi="宋体" w:eastAsia="仿宋_GB2312" w:cs="宋体"/>
                <w:kern w:val="0"/>
                <w:sz w:val="20"/>
                <w:szCs w:val="20"/>
              </w:rPr>
            </w:pPr>
            <w:r>
              <w:rPr>
                <w:rFonts w:hint="eastAsia" w:ascii="仿宋_GB2312" w:hAnsi="宋体" w:eastAsia="仿宋_GB2312" w:cs="宋体"/>
                <w:kern w:val="0"/>
                <w:sz w:val="20"/>
                <w:szCs w:val="20"/>
              </w:rPr>
              <w:t>过      程</w:t>
            </w:r>
          </w:p>
        </w:tc>
        <w:tc>
          <w:tcPr>
            <w:tcW w:w="429" w:type="dxa"/>
            <w:vMerge w:val="restart"/>
            <w:tcBorders>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预算执行</w:t>
            </w:r>
          </w:p>
        </w:tc>
        <w:tc>
          <w:tcPr>
            <w:tcW w:w="567" w:type="dxa"/>
            <w:vMerge w:val="restart"/>
            <w:tcBorders>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10</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调整率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预算调整率=0，计2分；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0-20%（含），计1分；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大于20%不得分。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算调整率=（预算调整数/预算数）×100%。预算调整数：部门（单位）在本年度内涉及预算的追加、追减或结构调整的资金总和（因落实国家政策，发生不可抗力、上级部门或本级党委政府临时交办而产生的调整除外）。</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0</w:t>
            </w:r>
          </w:p>
          <w:p>
            <w:pPr>
              <w:widowControl/>
              <w:jc w:val="left"/>
              <w:rPr>
                <w:rFonts w:ascii="宋体" w:hAnsi="宋体"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80"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autoSpaceDN w:val="0"/>
              <w:jc w:val="center"/>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  完成率</w:t>
            </w:r>
          </w:p>
          <w:p>
            <w:pPr>
              <w:widowControl/>
              <w:jc w:val="center"/>
              <w:rPr>
                <w:rFonts w:ascii="仿宋_GB2312" w:hAnsi="宋体" w:eastAsia="仿宋_GB2312" w:cs="宋体"/>
                <w:kern w:val="0"/>
                <w:sz w:val="20"/>
                <w:szCs w:val="20"/>
              </w:rPr>
            </w:pP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完成率&lt;1，计2分，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完成率=1，计1分，</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完成率&gt;1，不得分。</w:t>
            </w:r>
          </w:p>
          <w:p>
            <w:pPr>
              <w:autoSpaceDN w:val="0"/>
              <w:jc w:val="center"/>
              <w:textAlignment w:val="center"/>
              <w:rPr>
                <w:rFonts w:ascii="仿宋_GB2312" w:hAnsi="宋体" w:eastAsia="仿宋_GB2312" w:cs="宋体"/>
                <w:kern w:val="0"/>
                <w:sz w:val="20"/>
                <w:szCs w:val="20"/>
              </w:rPr>
            </w:pPr>
          </w:p>
        </w:tc>
        <w:tc>
          <w:tcPr>
            <w:tcW w:w="3472" w:type="dxa"/>
            <w:vAlign w:val="center"/>
          </w:tcPr>
          <w:p>
            <w:pPr>
              <w:autoSpaceDN w:val="0"/>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预算完成率=（预算完成数/预算数）×100%。预算完成数：部门（单位）本年度实际完成的预算数；预算数：财政部门批复的本年度部门（单位）预算数。</w:t>
            </w:r>
          </w:p>
        </w:tc>
        <w:tc>
          <w:tcPr>
            <w:tcW w:w="617" w:type="dxa"/>
            <w:tcBorders>
              <w:bottom w:val="single" w:color="auto" w:sz="4" w:space="0"/>
            </w:tcBorders>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49"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结余</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结余超过10%（不含），2分；结余在0-10%（含）的，1分；本年超支不得分。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本项结余不含未完工项目资金的结转数。</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right w:val="single" w:color="auto" w:sz="4" w:space="0"/>
            </w:tcBorders>
          </w:tcPr>
          <w:p>
            <w:pPr>
              <w:rPr>
                <w:rFonts w:ascii="仿宋_GB2312" w:hAnsi="宋体" w:eastAsia="仿宋_GB2312" w:cs="宋体"/>
                <w:kern w:val="0"/>
                <w:sz w:val="20"/>
                <w:szCs w:val="20"/>
              </w:rPr>
            </w:pPr>
          </w:p>
        </w:tc>
        <w:tc>
          <w:tcPr>
            <w:tcW w:w="567" w:type="dxa"/>
            <w:vMerge w:val="continue"/>
            <w:tcBorders>
              <w:left w:val="single" w:color="auto" w:sz="4" w:space="0"/>
            </w:tcBorders>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“三公经费”</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控制率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以100%为标准。三公经费控制率</w:t>
            </w:r>
            <w:r>
              <w:rPr>
                <w:rFonts w:hint="eastAsia" w:ascii="仿宋_GB2312" w:hAnsi="Arial" w:eastAsia="仿宋_GB2312" w:cs="Arial"/>
                <w:kern w:val="0"/>
                <w:sz w:val="20"/>
                <w:szCs w:val="20"/>
              </w:rPr>
              <w:t>≤</w:t>
            </w:r>
            <w:r>
              <w:rPr>
                <w:rFonts w:hint="eastAsia" w:ascii="仿宋_GB2312" w:hAnsi="宋体" w:eastAsia="仿宋_GB2312" w:cs="宋体"/>
                <w:kern w:val="0"/>
                <w:sz w:val="20"/>
                <w:szCs w:val="20"/>
              </w:rPr>
              <w:t>100%，计2分；每超过一个百分点扣0.2分，扣完为止。单位没有制定“三公”经费预算，该项不得分。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“三公经费”控制率=（“三公经费”实际支出数/“三公经费”预算安排数）×100%。</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1" w:hRule="atLeast"/>
          <w:jc w:val="center"/>
        </w:trPr>
        <w:tc>
          <w:tcPr>
            <w:tcW w:w="411" w:type="dxa"/>
            <w:vMerge w:val="continue"/>
          </w:tcPr>
          <w:p>
            <w:pP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政府</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采购</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_GB2312" w:hAnsi="宋体" w:eastAsia="仿宋_GB2312" w:cs="宋体"/>
                <w:kern w:val="0"/>
                <w:sz w:val="20"/>
                <w:szCs w:val="20"/>
              </w:rPr>
            </w:pPr>
            <w:r>
              <w:rPr>
                <w:rFonts w:hint="eastAsia" w:ascii="仿宋" w:hAnsi="仿宋" w:eastAsia="仿宋" w:cs="宋体"/>
                <w:kern w:val="0"/>
                <w:sz w:val="20"/>
                <w:szCs w:val="20"/>
              </w:rPr>
              <w:t>①编</w:t>
            </w:r>
            <w:r>
              <w:rPr>
                <w:rFonts w:hint="eastAsia" w:ascii="仿宋_GB2312" w:hAnsi="宋体" w:eastAsia="仿宋_GB2312" w:cs="宋体"/>
                <w:kern w:val="0"/>
                <w:sz w:val="20"/>
                <w:szCs w:val="20"/>
              </w:rPr>
              <w:t>制政府采购年度预算并上报的，0.5分；②追加并编制政府采购预算的，0.5分；</w:t>
            </w:r>
            <w:r>
              <w:rPr>
                <w:rFonts w:hint="eastAsia" w:ascii="仿宋" w:hAnsi="仿宋" w:eastAsia="仿宋" w:cs="宋体"/>
                <w:kern w:val="0"/>
                <w:sz w:val="20"/>
                <w:szCs w:val="20"/>
              </w:rPr>
              <w:t>③</w:t>
            </w:r>
            <w:r>
              <w:rPr>
                <w:rFonts w:hint="eastAsia" w:ascii="仿宋_GB2312" w:hAnsi="宋体" w:eastAsia="仿宋_GB2312" w:cs="宋体"/>
                <w:kern w:val="0"/>
                <w:sz w:val="20"/>
                <w:szCs w:val="20"/>
              </w:rPr>
              <w:t>政府采购执行率=100%，计1分；每少一个百分点扣0.1分，扣完为止。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政府采购执行率=（实际实行政府采购金额/应实行政府采购金额）×100%。应实行政府采金额以《湘财购[2012]27号》文件为标准。</w:t>
            </w:r>
          </w:p>
        </w:tc>
        <w:tc>
          <w:tcPr>
            <w:tcW w:w="617" w:type="dxa"/>
          </w:tcPr>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7" w:hRule="atLeast"/>
          <w:jc w:val="center"/>
        </w:trPr>
        <w:tc>
          <w:tcPr>
            <w:tcW w:w="411" w:type="dxa"/>
            <w:vMerge w:val="continue"/>
          </w:tcPr>
          <w:p>
            <w:pPr>
              <w:widowControl/>
              <w:jc w:val="left"/>
              <w:rPr>
                <w:rFonts w:ascii="仿宋_GB2312" w:hAnsi="宋体" w:eastAsia="仿宋_GB2312" w:cs="宋体"/>
                <w:kern w:val="0"/>
                <w:sz w:val="20"/>
                <w:szCs w:val="20"/>
              </w:rPr>
            </w:pPr>
          </w:p>
        </w:tc>
        <w:tc>
          <w:tcPr>
            <w:tcW w:w="429" w:type="dxa"/>
            <w:vMerge w:val="restart"/>
            <w:tcBorders>
              <w:top w:val="single" w:color="auto" w:sz="4" w:space="0"/>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预算管理</w:t>
            </w:r>
          </w:p>
        </w:tc>
        <w:tc>
          <w:tcPr>
            <w:tcW w:w="567" w:type="dxa"/>
            <w:vMerge w:val="restart"/>
            <w:tcBorders>
              <w:top w:val="single" w:color="auto" w:sz="4" w:space="0"/>
              <w:lef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24</w:t>
            </w:r>
          </w:p>
        </w:tc>
        <w:tc>
          <w:tcPr>
            <w:tcW w:w="851"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tcBorders>
              <w:top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p>
            <w:pPr>
              <w:widowControl/>
              <w:jc w:val="center"/>
              <w:rPr>
                <w:rFonts w:ascii="仿宋_GB2312" w:hAnsi="宋体" w:eastAsia="仿宋_GB2312" w:cs="宋体"/>
                <w:kern w:val="0"/>
                <w:sz w:val="20"/>
                <w:szCs w:val="20"/>
              </w:rPr>
            </w:pPr>
          </w:p>
        </w:tc>
        <w:tc>
          <w:tcPr>
            <w:tcW w:w="3118" w:type="dxa"/>
            <w:tcBorders>
              <w:top w:val="single" w:color="auto" w:sz="4" w:space="0"/>
            </w:tcBorders>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①已制定资金管理办法、内部财务管理制度、会计核算制度等管理制度，1分；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②会计人员继续教育，1分；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③会计人员、机构按规定设置，1分；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④会计基础工作健全，1分；</w:t>
            </w:r>
          </w:p>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⑤会计档案符合规定要求，1分；</w:t>
            </w:r>
          </w:p>
          <w:p>
            <w:pPr>
              <w:widowControl/>
              <w:rPr>
                <w:rFonts w:ascii="仿宋_GB2312" w:hAnsi="宋体" w:eastAsia="仿宋_GB2312" w:cs="宋体"/>
                <w:kern w:val="0"/>
                <w:sz w:val="20"/>
                <w:szCs w:val="20"/>
              </w:rPr>
            </w:pPr>
            <w:r>
              <w:rPr>
                <w:rFonts w:hint="eastAsia" w:ascii="仿宋_GB2312" w:hAnsi="仿宋" w:eastAsia="仿宋_GB2312" w:cs="仿宋"/>
                <w:kern w:val="0"/>
                <w:sz w:val="20"/>
                <w:szCs w:val="20"/>
              </w:rPr>
              <w:t>⑥项目管理规范（包括项目立项、申报、招投标、制度建立、按时完工等），1分，每发现少一项扣0.2分，扣完为止。</w:t>
            </w:r>
          </w:p>
        </w:tc>
        <w:tc>
          <w:tcPr>
            <w:tcW w:w="3472" w:type="dxa"/>
            <w:tcBorders>
              <w:top w:val="single" w:color="auto" w:sz="4" w:space="0"/>
            </w:tcBorders>
          </w:tcPr>
          <w:p>
            <w:pPr>
              <w:widowControl/>
              <w:jc w:val="left"/>
              <w:rPr>
                <w:rFonts w:ascii="仿宋_GB2312" w:hAnsi="宋体" w:eastAsia="仿宋_GB2312" w:cs="宋体"/>
                <w:kern w:val="0"/>
                <w:sz w:val="20"/>
                <w:szCs w:val="20"/>
              </w:rPr>
            </w:pPr>
          </w:p>
        </w:tc>
        <w:tc>
          <w:tcPr>
            <w:tcW w:w="617" w:type="dxa"/>
            <w:tcBorders>
              <w:top w:val="single" w:color="auto" w:sz="4" w:space="0"/>
            </w:tcBorders>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7" w:hRule="atLeast"/>
          <w:jc w:val="center"/>
        </w:trPr>
        <w:tc>
          <w:tcPr>
            <w:tcW w:w="411" w:type="dxa"/>
            <w:vMerge w:val="restart"/>
            <w:tcBorders>
              <w:top w:val="nil"/>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过程</w:t>
            </w:r>
          </w:p>
        </w:tc>
        <w:tc>
          <w:tcPr>
            <w:tcW w:w="429" w:type="dxa"/>
            <w:vMerge w:val="continue"/>
            <w:tcBorders>
              <w:right w:val="single" w:color="auto" w:sz="4" w:space="0"/>
            </w:tcBorders>
            <w:vAlign w:val="center"/>
          </w:tcPr>
          <w:p>
            <w:pPr>
              <w:jc w:val="center"/>
              <w:rPr>
                <w:rFonts w:ascii="仿宋_GB2312" w:hAnsi="宋体" w:eastAsia="仿宋_GB2312" w:cs="宋体"/>
                <w:kern w:val="0"/>
                <w:sz w:val="20"/>
                <w:szCs w:val="20"/>
              </w:rPr>
            </w:pPr>
          </w:p>
        </w:tc>
        <w:tc>
          <w:tcPr>
            <w:tcW w:w="567" w:type="dxa"/>
            <w:vMerge w:val="continue"/>
            <w:tcBorders>
              <w:left w:val="single" w:color="auto" w:sz="4" w:space="0"/>
            </w:tcBorders>
            <w:vAlign w:val="center"/>
          </w:tcPr>
          <w:p>
            <w:pPr>
              <w:jc w:val="center"/>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资金  使用</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合规性</w:t>
            </w:r>
          </w:p>
        </w:tc>
        <w:tc>
          <w:tcPr>
            <w:tcW w:w="567"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13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①支出符合国家财经法规和财务管理制度规定以及有关专项资金管理办法的规定；</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②资金（开支）拨付有完整的审批程序和手续；</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③支出符合部门预算批复的用途；</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④资金使用无截留、挤占、挪用、虚列支出、随意借用、大额现金支付等情况。</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⑤</w:t>
            </w:r>
            <w:r>
              <w:rPr>
                <w:rFonts w:hint="eastAsia" w:ascii="仿宋_GB2312" w:hAnsi="仿宋" w:eastAsia="仿宋_GB2312" w:cs="仿宋"/>
                <w:kern w:val="0"/>
                <w:sz w:val="20"/>
                <w:szCs w:val="20"/>
              </w:rPr>
              <w:t>重大财务事项经由集体研究决策；</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⑥</w:t>
            </w:r>
            <w:r>
              <w:rPr>
                <w:rFonts w:hint="eastAsia" w:ascii="仿宋_GB2312" w:hAnsi="仿宋" w:eastAsia="仿宋_GB2312" w:cs="仿宋"/>
                <w:kern w:val="0"/>
                <w:sz w:val="20"/>
                <w:szCs w:val="20"/>
              </w:rPr>
              <w:t>专项资金做到专款专用；</w:t>
            </w:r>
            <w:r>
              <w:rPr>
                <w:rFonts w:hint="eastAsia" w:ascii="仿宋_GB2312" w:hAnsi="微软雅黑" w:eastAsia="仿宋_GB2312" w:cs="微软雅黑"/>
                <w:kern w:val="0"/>
                <w:sz w:val="20"/>
                <w:szCs w:val="20"/>
              </w:rPr>
              <w:t>⑦</w:t>
            </w:r>
            <w:r>
              <w:rPr>
                <w:rFonts w:hint="eastAsia" w:ascii="仿宋_GB2312" w:hAnsi="仿宋" w:eastAsia="仿宋_GB2312" w:cs="仿宋"/>
                <w:kern w:val="0"/>
                <w:sz w:val="20"/>
                <w:szCs w:val="20"/>
              </w:rPr>
              <w:t>原始凭证的取得真实有效；</w:t>
            </w:r>
          </w:p>
          <w:p>
            <w:pPr>
              <w:widowControl/>
              <w:rPr>
                <w:rFonts w:ascii="仿宋_GB2312" w:hAnsi="仿宋" w:eastAsia="仿宋_GB2312" w:cs="仿宋"/>
                <w:kern w:val="0"/>
                <w:sz w:val="20"/>
                <w:szCs w:val="20"/>
              </w:rPr>
            </w:pPr>
            <w:r>
              <w:rPr>
                <w:rFonts w:hint="eastAsia" w:ascii="仿宋_GB2312" w:hAnsi="微软雅黑" w:eastAsia="仿宋_GB2312" w:cs="微软雅黑"/>
                <w:kern w:val="0"/>
                <w:sz w:val="20"/>
                <w:szCs w:val="20"/>
              </w:rPr>
              <w:t>⑧</w:t>
            </w:r>
            <w:r>
              <w:rPr>
                <w:rFonts w:hint="eastAsia" w:ascii="仿宋_GB2312" w:hAnsi="仿宋" w:eastAsia="仿宋_GB2312" w:cs="仿宋"/>
                <w:kern w:val="0"/>
                <w:sz w:val="20"/>
                <w:szCs w:val="20"/>
              </w:rPr>
              <w:t>无超范围、超预算开支。</w:t>
            </w:r>
          </w:p>
          <w:p>
            <w:pPr>
              <w:widowControl/>
              <w:rPr>
                <w:rFonts w:ascii="仿宋_GB2312" w:hAnsi="宋体" w:eastAsia="仿宋_GB2312" w:cs="宋体"/>
                <w:kern w:val="0"/>
                <w:sz w:val="20"/>
                <w:szCs w:val="20"/>
              </w:rPr>
            </w:pPr>
            <w:r>
              <w:rPr>
                <w:rFonts w:hint="eastAsia" w:ascii="仿宋" w:hAnsi="仿宋" w:eastAsia="仿宋" w:cs="仿宋"/>
                <w:kern w:val="0"/>
                <w:sz w:val="20"/>
                <w:szCs w:val="20"/>
              </w:rPr>
              <w:t>⑨</w:t>
            </w:r>
            <w:r>
              <w:rPr>
                <w:rFonts w:hint="eastAsia" w:ascii="仿宋_GB2312" w:hAnsi="仿宋" w:eastAsia="仿宋_GB2312" w:cs="仿宋"/>
                <w:kern w:val="0"/>
                <w:sz w:val="20"/>
                <w:szCs w:val="20"/>
              </w:rPr>
              <w:t>无超标准发放津补贴、奖金，无用公款支付应由个人支付的款项。</w:t>
            </w:r>
            <w:r>
              <w:rPr>
                <w:rFonts w:hint="eastAsia" w:ascii="仿宋_GB2312" w:hAnsi="仿宋" w:eastAsia="仿宋_GB2312" w:cs="仿宋"/>
                <w:kern w:val="0"/>
                <w:sz w:val="20"/>
                <w:szCs w:val="20"/>
              </w:rPr>
              <w:br w:type="textWrapping"/>
            </w:r>
            <w:r>
              <w:rPr>
                <w:rFonts w:hint="eastAsia" w:ascii="仿宋_GB2312" w:hAnsi="仿宋" w:eastAsia="仿宋_GB2312" w:cs="仿宋"/>
                <w:kern w:val="0"/>
                <w:sz w:val="20"/>
                <w:szCs w:val="20"/>
              </w:rPr>
              <w:t>以上情况每出现一例不</w:t>
            </w:r>
            <w:r>
              <w:rPr>
                <w:rFonts w:hint="eastAsia" w:ascii="仿宋_GB2312" w:hAnsi="宋体" w:eastAsia="仿宋_GB2312" w:cs="宋体"/>
                <w:kern w:val="0"/>
                <w:sz w:val="20"/>
                <w:szCs w:val="20"/>
              </w:rPr>
              <w:t>符合要求的扣2分，扣完为止。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部门（单位）使用预算资金是否符合相关的预算财务管理制度的规定，用以反映和考核部门（单位）预算资金的规范运行情况。</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94"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预决算信息公开性和完善性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按规定内容公开预决算信息，2分；②按规定时限公开预决算信息，1.5分；③基础数据信息和会计信息资料真实，0.5分；④基础数据信息和会计信息资料完整，0.5分；⑤基础数据信息和汇集信息资料准确，0.5分。                                            </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预决算信息是指与部门预算、执行、决算、监督、绩效等管理相关的信息。</w:t>
            </w:r>
          </w:p>
        </w:tc>
        <w:tc>
          <w:tcPr>
            <w:tcW w:w="617" w:type="dxa"/>
          </w:tcPr>
          <w:p>
            <w:pPr>
              <w:widowControl/>
              <w:jc w:val="left"/>
              <w:rPr>
                <w:rFonts w:ascii="宋体" w:hAnsi="宋体" w:cs="宋体"/>
                <w:kern w:val="0"/>
                <w:sz w:val="24"/>
              </w:rPr>
            </w:pPr>
            <w:r>
              <w:rPr>
                <w:rFonts w:hint="eastAsia" w:ascii="宋体" w:hAnsi="宋体" w:cs="宋体"/>
                <w:kern w:val="0"/>
                <w:sz w:val="24"/>
              </w:rPr>
              <w:t>　</w:t>
            </w:r>
          </w:p>
          <w:p>
            <w:pPr>
              <w:widowControl/>
              <w:jc w:val="left"/>
              <w:rPr>
                <w:rFonts w:ascii="宋体" w:hAnsi="宋体" w:cs="宋体"/>
                <w:kern w:val="0"/>
                <w:sz w:val="24"/>
              </w:rPr>
            </w:pPr>
          </w:p>
          <w:p>
            <w:pPr>
              <w:widowControl/>
              <w:jc w:val="left"/>
              <w:rPr>
                <w:rFonts w:ascii="宋体" w:hAnsi="宋体" w:cs="宋体"/>
                <w:kern w:val="0"/>
                <w:sz w:val="24"/>
              </w:rPr>
            </w:pPr>
          </w:p>
          <w:p>
            <w:pPr>
              <w:widowControl/>
              <w:jc w:val="left"/>
              <w:rPr>
                <w:rFonts w:ascii="宋体" w:hAnsi="宋体" w:cs="宋体"/>
                <w:kern w:val="0"/>
                <w:sz w:val="24"/>
              </w:rPr>
            </w:pPr>
            <w:r>
              <w:rPr>
                <w:rFonts w:hint="eastAsia" w:ascii="宋体" w:hAnsi="宋体" w:cs="宋体"/>
                <w:kern w:val="0"/>
                <w:sz w:val="24"/>
              </w:rPr>
              <w:t xml:space="preserve"> 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continue"/>
            <w:tcBorders>
              <w:top w:val="nil"/>
            </w:tcBorders>
            <w:vAlign w:val="center"/>
          </w:tcPr>
          <w:p>
            <w:pPr>
              <w:widowControl/>
              <w:jc w:val="left"/>
              <w:rPr>
                <w:rFonts w:ascii="仿宋_GB2312" w:hAnsi="宋体" w:eastAsia="仿宋_GB2312" w:cs="宋体"/>
                <w:kern w:val="0"/>
                <w:sz w:val="20"/>
                <w:szCs w:val="20"/>
              </w:rPr>
            </w:pPr>
          </w:p>
        </w:tc>
        <w:tc>
          <w:tcPr>
            <w:tcW w:w="429" w:type="dxa"/>
            <w:vMerge w:val="restart"/>
            <w:tcBorders>
              <w:top w:val="single" w:color="auto" w:sz="4" w:space="0"/>
              <w:bottom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资产管理</w:t>
            </w:r>
          </w:p>
        </w:tc>
        <w:tc>
          <w:tcPr>
            <w:tcW w:w="567" w:type="dxa"/>
            <w:vMerge w:val="restart"/>
            <w:tcBorders>
              <w:top w:val="single" w:color="auto" w:sz="4" w:space="0"/>
              <w:left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20</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  制度</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健全性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①已制定资产管理制度，1分；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 xml:space="preserve">②相关资产管理制度得到有效执行，1分。                                           </w:t>
            </w:r>
          </w:p>
        </w:tc>
        <w:tc>
          <w:tcPr>
            <w:tcW w:w="3472"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部门（单位）为加强资产管理，规范资产管理行为而制定的管理制度是否健全完整、用以反映和考核部门（单位）资产管理制度对完成主要职责或促进社会发展的保障情况</w:t>
            </w:r>
          </w:p>
        </w:tc>
        <w:tc>
          <w:tcPr>
            <w:tcW w:w="617" w:type="dxa"/>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3"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资产  管理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安全性</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①资产保存完整；②资产配置合理；③资产处置规范； </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④资产账务管理合规，帐实帐卡、账账、账表（决算报表等）相符；⑤资产有偿使用及处置收入及时足额上缴；</w:t>
            </w:r>
            <w:r>
              <w:rPr>
                <w:rFonts w:hint="eastAsia" w:ascii="仿宋_GB2312" w:hAnsi="仿宋" w:eastAsia="仿宋_GB2312" w:cs="仿宋"/>
                <w:kern w:val="0"/>
                <w:sz w:val="20"/>
                <w:szCs w:val="20"/>
              </w:rPr>
              <w:t>⑥清查盘点：每年至少清查盘点一次；⑦产权明晰，权证齐全；⑧按标准购置固定资产。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以上情况每出现一例不符合要求的扣2分；</w:t>
            </w:r>
            <w:r>
              <w:rPr>
                <w:rFonts w:hint="eastAsia" w:ascii="微软雅黑" w:hAnsi="微软雅黑" w:eastAsia="微软雅黑" w:cs="宋体"/>
                <w:kern w:val="0"/>
                <w:sz w:val="20"/>
                <w:szCs w:val="20"/>
              </w:rPr>
              <w:t>⑨未</w:t>
            </w:r>
            <w:r>
              <w:rPr>
                <w:rFonts w:hint="eastAsia" w:ascii="仿宋_GB2312" w:hAnsi="宋体" w:eastAsia="仿宋_GB2312" w:cs="宋体"/>
                <w:kern w:val="0"/>
                <w:sz w:val="20"/>
                <w:szCs w:val="20"/>
              </w:rPr>
              <w:t>按时报送2016年行政事业单位资产报表的，每延迟一天，扣1分，扣完为止。</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部门（单位）的资产是否保存完整，使用合规、配置合理、处置规范、收入及时足额上缴，用以反映和考核部门（单位）资产安全运行情况。</w:t>
            </w:r>
          </w:p>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w:t>
            </w: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p>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xml:space="preserve"> </w:t>
            </w:r>
          </w:p>
          <w:p>
            <w:pPr>
              <w:widowControl/>
              <w:jc w:val="left"/>
              <w:rPr>
                <w:rFonts w:ascii="仿宋_GB2312" w:hAnsi="宋体" w:eastAsia="仿宋_GB2312" w:cs="宋体"/>
                <w:color w:val="FF0000"/>
                <w:kern w:val="0"/>
                <w:sz w:val="20"/>
                <w:szCs w:val="20"/>
              </w:rPr>
            </w:pPr>
            <w:r>
              <w:rPr>
                <w:rFonts w:hint="eastAsia" w:ascii="仿宋_GB2312" w:hAnsi="宋体" w:eastAsia="仿宋_GB2312" w:cs="宋体"/>
                <w:color w:val="FF0000"/>
                <w:kern w:val="0"/>
                <w:sz w:val="20"/>
                <w:szCs w:val="20"/>
              </w:rPr>
              <w:t xml:space="preserve"> 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right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固定  资产</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利用率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固定资产利用率,100%,2分,每低于一个百分点扣0.2分，扣完为止。</w:t>
            </w:r>
          </w:p>
        </w:tc>
        <w:tc>
          <w:tcPr>
            <w:tcW w:w="3472"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固定资产利用率=（实际在用固定资产总额/所有固定资产总额）×100%</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5" w:hRule="atLeast"/>
          <w:jc w:val="center"/>
        </w:trPr>
        <w:tc>
          <w:tcPr>
            <w:tcW w:w="411" w:type="dxa"/>
            <w:vMerge w:val="continue"/>
            <w:tcBorders>
              <w:top w:val="nil"/>
            </w:tcBorders>
          </w:tcPr>
          <w:p>
            <w:pPr>
              <w:widowControl/>
              <w:jc w:val="left"/>
              <w:rPr>
                <w:rFonts w:ascii="仿宋_GB2312" w:hAnsi="宋体" w:eastAsia="仿宋_GB2312" w:cs="宋体"/>
                <w:kern w:val="0"/>
                <w:sz w:val="20"/>
                <w:szCs w:val="20"/>
              </w:rPr>
            </w:pPr>
          </w:p>
        </w:tc>
        <w:tc>
          <w:tcPr>
            <w:tcW w:w="429" w:type="dxa"/>
            <w:vMerge w:val="restart"/>
            <w:tcBorders>
              <w:right w:val="single" w:color="auto" w:sz="4" w:space="0"/>
            </w:tcBorders>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绩效管理</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16</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目标 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①本单位所有专项资金均实行目标管理的，2分,每少一个专项扣1分，扣完为止；②资金在10万（含）以上的项目资金实行目标管理的，2分，每少一个项目扣1分，扣完为止；③编制并报送2016年度财政项目预算绩效目标的，2分；④在规定时间内报送以上目标的，1分，否则不得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《邵阳县财政局关于报送2017年县直部门财政项目预算绩效目标的通知》（邵财绩〔2016〕6号）</w:t>
            </w:r>
          </w:p>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86" w:hRule="atLeast"/>
          <w:jc w:val="center"/>
        </w:trPr>
        <w:tc>
          <w:tcPr>
            <w:tcW w:w="411" w:type="dxa"/>
            <w:vMerge w:val="continue"/>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绩效 评价</w:t>
            </w:r>
          </w:p>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管理</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7</w:t>
            </w:r>
          </w:p>
        </w:tc>
        <w:tc>
          <w:tcPr>
            <w:tcW w:w="3118" w:type="dxa"/>
          </w:tcPr>
          <w:p>
            <w:pPr>
              <w:widowControl/>
              <w:jc w:val="left"/>
              <w:rPr>
                <w:rFonts w:ascii="仿宋_GB2312" w:hAnsi="宋体" w:eastAsia="仿宋_GB2312" w:cs="宋体"/>
                <w:kern w:val="0"/>
                <w:sz w:val="20"/>
                <w:szCs w:val="20"/>
              </w:rPr>
            </w:pPr>
            <w:r>
              <w:rPr>
                <w:rFonts w:hint="eastAsia" w:ascii="仿宋" w:hAnsi="仿宋" w:eastAsia="仿宋" w:cs="宋体"/>
                <w:kern w:val="0"/>
                <w:sz w:val="20"/>
                <w:szCs w:val="20"/>
              </w:rPr>
              <w:t>①</w:t>
            </w:r>
            <w:r>
              <w:rPr>
                <w:rFonts w:hint="eastAsia" w:ascii="仿宋_GB2312" w:hAnsi="宋体" w:eastAsia="仿宋_GB2312" w:cs="宋体"/>
                <w:kern w:val="0"/>
                <w:sz w:val="20"/>
                <w:szCs w:val="20"/>
              </w:rPr>
              <w:t>开展2017年度专项资金绩效自评的，2分，每少一个专项资金的自评扣1分，扣完为止；</w:t>
            </w:r>
            <w:r>
              <w:rPr>
                <w:rFonts w:hint="eastAsia" w:ascii="仿宋" w:hAnsi="仿宋" w:eastAsia="仿宋" w:cs="宋体"/>
                <w:kern w:val="0"/>
                <w:sz w:val="20"/>
                <w:szCs w:val="20"/>
              </w:rPr>
              <w:t>②</w:t>
            </w:r>
            <w:r>
              <w:rPr>
                <w:rFonts w:hint="eastAsia" w:ascii="仿宋_GB2312" w:hAnsi="宋体" w:eastAsia="仿宋_GB2312" w:cs="宋体"/>
                <w:kern w:val="0"/>
                <w:sz w:val="20"/>
                <w:szCs w:val="20"/>
              </w:rPr>
              <w:t>开展2017年度已完工项目绩效自评的，2分，每少一个项目扣1分，扣完为止；</w:t>
            </w:r>
            <w:r>
              <w:rPr>
                <w:rFonts w:hint="eastAsia" w:ascii="仿宋" w:hAnsi="仿宋" w:eastAsia="仿宋" w:cs="宋体"/>
                <w:kern w:val="0"/>
                <w:sz w:val="20"/>
                <w:szCs w:val="20"/>
              </w:rPr>
              <w:t>③</w:t>
            </w:r>
            <w:r>
              <w:rPr>
                <w:rFonts w:hint="eastAsia" w:ascii="仿宋_GB2312" w:hAnsi="宋体" w:eastAsia="仿宋_GB2312" w:cs="宋体"/>
                <w:kern w:val="0"/>
                <w:sz w:val="20"/>
                <w:szCs w:val="20"/>
              </w:rPr>
              <w:t>开展2017年度部门整体支出绩效自评的，2分；</w:t>
            </w:r>
            <w:r>
              <w:rPr>
                <w:rFonts w:hint="eastAsia" w:ascii="仿宋" w:hAnsi="仿宋" w:eastAsia="仿宋" w:cs="宋体"/>
                <w:kern w:val="0"/>
                <w:sz w:val="20"/>
                <w:szCs w:val="20"/>
              </w:rPr>
              <w:t>④</w:t>
            </w:r>
            <w:r>
              <w:rPr>
                <w:rFonts w:hint="eastAsia" w:ascii="仿宋_GB2312" w:hAnsi="宋体" w:eastAsia="仿宋_GB2312" w:cs="宋体"/>
                <w:kern w:val="0"/>
                <w:sz w:val="20"/>
                <w:szCs w:val="20"/>
              </w:rPr>
              <w:t>在规定时间内报送以上自评报告材料的，1分。</w:t>
            </w:r>
          </w:p>
        </w:tc>
        <w:tc>
          <w:tcPr>
            <w:tcW w:w="3472" w:type="dxa"/>
            <w:vAlign w:val="center"/>
          </w:tcPr>
          <w:p>
            <w:pPr>
              <w:rPr>
                <w:rFonts w:ascii="仿宋_GB2312" w:hAnsi="宋体" w:eastAsia="仿宋_GB2312" w:cs="宋体"/>
                <w:kern w:val="0"/>
                <w:sz w:val="20"/>
                <w:szCs w:val="20"/>
              </w:rPr>
            </w:pPr>
            <w:r>
              <w:rPr>
                <w:rFonts w:hint="eastAsia" w:ascii="仿宋_GB2312" w:hAnsi="宋体" w:eastAsia="仿宋_GB2312" w:cs="宋体"/>
                <w:kern w:val="0"/>
                <w:sz w:val="20"/>
                <w:szCs w:val="20"/>
              </w:rPr>
              <w:t>1.《邵阳县财政局关于做好2017年度部门整体支出绩效自评工作的通知》（邵财绩〔2017〕5号）</w:t>
            </w:r>
          </w:p>
          <w:p>
            <w:pPr>
              <w:widowControl/>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5" w:hRule="atLeast"/>
          <w:jc w:val="center"/>
        </w:trPr>
        <w:tc>
          <w:tcPr>
            <w:tcW w:w="411" w:type="dxa"/>
            <w:tcBorders>
              <w:top w:val="nil"/>
              <w:bottom w:val="single" w:color="auto" w:sz="4" w:space="0"/>
            </w:tcBorders>
          </w:tcPr>
          <w:p>
            <w:pPr>
              <w:widowControl/>
              <w:jc w:val="left"/>
              <w:rPr>
                <w:rFonts w:ascii="仿宋_GB2312" w:hAnsi="宋体" w:eastAsia="仿宋_GB2312" w:cs="宋体"/>
                <w:kern w:val="0"/>
                <w:sz w:val="20"/>
                <w:szCs w:val="20"/>
              </w:rPr>
            </w:pPr>
          </w:p>
        </w:tc>
        <w:tc>
          <w:tcPr>
            <w:tcW w:w="429" w:type="dxa"/>
            <w:tcBorders>
              <w:top w:val="nil"/>
              <w:bottom w:val="single" w:color="auto" w:sz="4" w:space="0"/>
              <w:right w:val="single" w:color="auto" w:sz="4" w:space="0"/>
            </w:tcBorders>
          </w:tcPr>
          <w:p>
            <w:pPr>
              <w:jc w:val="left"/>
              <w:rPr>
                <w:rFonts w:ascii="仿宋_GB2312" w:hAnsi="宋体" w:eastAsia="仿宋_GB2312" w:cs="宋体"/>
                <w:kern w:val="0"/>
                <w:sz w:val="20"/>
                <w:szCs w:val="20"/>
              </w:rPr>
            </w:pPr>
          </w:p>
        </w:tc>
        <w:tc>
          <w:tcPr>
            <w:tcW w:w="567" w:type="dxa"/>
            <w:tcBorders>
              <w:top w:val="nil"/>
              <w:left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评价 结果 运用</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rPr>
                <w:rFonts w:ascii="仿宋" w:hAnsi="仿宋" w:eastAsia="仿宋" w:cs="宋体"/>
                <w:sz w:val="20"/>
                <w:szCs w:val="20"/>
              </w:rPr>
            </w:pPr>
            <w:r>
              <w:rPr>
                <w:rFonts w:hint="eastAsia" w:ascii="仿宋_GB2312" w:hAnsi="宋体" w:eastAsia="仿宋_GB2312" w:cs="宋体"/>
                <w:kern w:val="0"/>
                <w:sz w:val="20"/>
                <w:szCs w:val="20"/>
              </w:rPr>
              <w:t>根据2017年度财政重点绩效评价和单位自评情况，向财政报送整改结果并整改到位的，2分，否则不得分。</w:t>
            </w:r>
          </w:p>
        </w:tc>
        <w:tc>
          <w:tcPr>
            <w:tcW w:w="3472" w:type="dxa"/>
            <w:vAlign w:val="center"/>
          </w:tcPr>
          <w:p>
            <w:pPr>
              <w:rPr>
                <w:rFonts w:ascii="仿宋_GB2312" w:hAnsi="宋体" w:eastAsia="仿宋_GB2312" w:cs="宋体"/>
                <w:kern w:val="0"/>
                <w:sz w:val="20"/>
                <w:szCs w:val="20"/>
              </w:rPr>
            </w:pPr>
          </w:p>
        </w:tc>
        <w:tc>
          <w:tcPr>
            <w:tcW w:w="617" w:type="dxa"/>
          </w:tcPr>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5" w:hRule="atLeast"/>
          <w:jc w:val="center"/>
        </w:trPr>
        <w:tc>
          <w:tcPr>
            <w:tcW w:w="411" w:type="dxa"/>
            <w:vMerge w:val="restart"/>
            <w:tcBorders>
              <w:top w:val="single" w:color="auto" w:sz="4" w:space="0"/>
            </w:tcBorders>
            <w:textDirection w:val="tbRlV"/>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产   出</w:t>
            </w:r>
          </w:p>
        </w:tc>
        <w:tc>
          <w:tcPr>
            <w:tcW w:w="429" w:type="dxa"/>
            <w:vMerge w:val="restart"/>
            <w:tcBorders>
              <w:top w:val="single" w:color="auto" w:sz="4" w:space="0"/>
              <w:righ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职责履行</w:t>
            </w:r>
          </w:p>
        </w:tc>
        <w:tc>
          <w:tcPr>
            <w:tcW w:w="567" w:type="dxa"/>
            <w:vMerge w:val="restart"/>
            <w:tcBorders>
              <w:top w:val="single" w:color="auto" w:sz="4" w:space="0"/>
              <w:left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6</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　工作　完成率</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该项得分=重点工作完成率×3</w:t>
            </w:r>
          </w:p>
        </w:tc>
        <w:tc>
          <w:tcPr>
            <w:tcW w:w="3472" w:type="dxa"/>
            <w:vAlign w:val="center"/>
          </w:tcPr>
          <w:p>
            <w:pPr>
              <w:autoSpaceDN w:val="0"/>
              <w:jc w:val="left"/>
              <w:textAlignment w:val="center"/>
              <w:rPr>
                <w:rFonts w:ascii="仿宋_GB2312" w:hAnsi="宋体" w:eastAsia="仿宋_GB2312" w:cs="宋体"/>
                <w:kern w:val="0"/>
                <w:sz w:val="20"/>
                <w:szCs w:val="20"/>
              </w:rPr>
            </w:pPr>
            <w:r>
              <w:rPr>
                <w:rFonts w:hint="eastAsia" w:ascii="仿宋_GB2312" w:hAnsi="宋体" w:eastAsia="仿宋_GB2312" w:cs="宋体"/>
                <w:kern w:val="0"/>
                <w:sz w:val="20"/>
                <w:szCs w:val="20"/>
              </w:rPr>
              <w:t>重点工作为县政府确定的为民办实事和部门重点工程与重点工作。</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w:t>
            </w: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8" w:hRule="atLeast"/>
          <w:jc w:val="center"/>
        </w:trPr>
        <w:tc>
          <w:tcPr>
            <w:tcW w:w="411" w:type="dxa"/>
            <w:vMerge w:val="continue"/>
            <w:tcBorders>
              <w:bottom w:val="single" w:color="auto" w:sz="4" w:space="0"/>
            </w:tcBorders>
            <w:textDirection w:val="tbRlV"/>
          </w:tcPr>
          <w:p>
            <w:pPr>
              <w:widowControl/>
              <w:jc w:val="center"/>
              <w:rPr>
                <w:rFonts w:ascii="仿宋_GB2312" w:hAnsi="宋体" w:eastAsia="仿宋_GB2312" w:cs="宋体"/>
                <w:kern w:val="0"/>
                <w:sz w:val="20"/>
                <w:szCs w:val="20"/>
              </w:rPr>
            </w:pPr>
          </w:p>
        </w:tc>
        <w:tc>
          <w:tcPr>
            <w:tcW w:w="429" w:type="dxa"/>
            <w:vMerge w:val="continue"/>
            <w:tcBorders>
              <w:bottom w:val="single" w:color="auto" w:sz="4" w:space="0"/>
              <w:right w:val="single" w:color="auto" w:sz="4" w:space="0"/>
            </w:tcBorders>
          </w:tcPr>
          <w:p>
            <w:pPr>
              <w:widowControl/>
              <w:jc w:val="center"/>
              <w:rPr>
                <w:rFonts w:ascii="仿宋_GB2312" w:hAnsi="宋体" w:eastAsia="仿宋_GB2312" w:cs="宋体"/>
                <w:kern w:val="0"/>
                <w:sz w:val="20"/>
                <w:szCs w:val="20"/>
              </w:rPr>
            </w:pPr>
          </w:p>
        </w:tc>
        <w:tc>
          <w:tcPr>
            <w:tcW w:w="567" w:type="dxa"/>
            <w:vMerge w:val="continue"/>
            <w:tcBorders>
              <w:left w:val="single" w:color="auto" w:sz="4" w:space="0"/>
              <w:bottom w:val="single" w:color="auto" w:sz="4" w:space="0"/>
            </w:tcBorders>
          </w:tcPr>
          <w:p>
            <w:pPr>
              <w:widowControl/>
              <w:jc w:val="center"/>
              <w:rPr>
                <w:rFonts w:ascii="仿宋_GB2312" w:hAnsi="宋体" w:eastAsia="仿宋_GB2312" w:cs="宋体"/>
                <w:kern w:val="0"/>
                <w:sz w:val="20"/>
                <w:szCs w:val="20"/>
              </w:rPr>
            </w:pPr>
          </w:p>
        </w:tc>
        <w:tc>
          <w:tcPr>
            <w:tcW w:w="851"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工作</w:t>
            </w:r>
          </w:p>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质量</w:t>
            </w:r>
          </w:p>
        </w:tc>
        <w:tc>
          <w:tcPr>
            <w:tcW w:w="567" w:type="dxa"/>
            <w:vAlign w:val="center"/>
          </w:tcPr>
          <w:p>
            <w:pPr>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3118" w:type="dxa"/>
          </w:tcPr>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以绩效考核评估结果为标准，优秀，计3分；良好，2分；合格，1分；不合格，0分。</w:t>
            </w:r>
          </w:p>
        </w:tc>
        <w:tc>
          <w:tcPr>
            <w:tcW w:w="3472" w:type="dxa"/>
            <w:vAlign w:val="center"/>
          </w:tcPr>
          <w:p>
            <w:pPr>
              <w:autoSpaceDN w:val="0"/>
              <w:jc w:val="left"/>
              <w:textAlignment w:val="center"/>
              <w:rPr>
                <w:rFonts w:ascii="仿宋_GB2312" w:hAnsi="宋体" w:eastAsia="仿宋_GB2312" w:cs="宋体"/>
                <w:kern w:val="0"/>
                <w:sz w:val="20"/>
                <w:szCs w:val="20"/>
              </w:rPr>
            </w:pPr>
          </w:p>
        </w:tc>
        <w:tc>
          <w:tcPr>
            <w:tcW w:w="617" w:type="dxa"/>
          </w:tcPr>
          <w:p>
            <w:pPr>
              <w:jc w:val="left"/>
              <w:rPr>
                <w:rFonts w:ascii="仿宋_GB2312" w:hAnsi="宋体" w:eastAsia="仿宋_GB2312" w:cs="宋体"/>
                <w:kern w:val="0"/>
                <w:sz w:val="20"/>
                <w:szCs w:val="20"/>
              </w:rPr>
            </w:pPr>
          </w:p>
          <w:p>
            <w:pPr>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p>
            <w:pPr>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411" w:type="dxa"/>
            <w:vMerge w:val="restart"/>
            <w:tcBorders>
              <w:top w:val="single" w:color="auto" w:sz="4" w:space="0"/>
              <w:bottom w:val="single" w:color="auto" w:sz="4" w:space="0"/>
            </w:tcBorders>
            <w:textDirection w:val="tbRlV"/>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效  果</w:t>
            </w:r>
          </w:p>
        </w:tc>
        <w:tc>
          <w:tcPr>
            <w:tcW w:w="429"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履职效益</w:t>
            </w:r>
          </w:p>
        </w:tc>
        <w:tc>
          <w:tcPr>
            <w:tcW w:w="567" w:type="dxa"/>
            <w:vMerge w:val="restart"/>
            <w:tcBorders>
              <w:top w:val="single" w:color="auto" w:sz="4" w:space="0"/>
              <w:bottom w:val="single" w:color="auto" w:sz="4" w:space="0"/>
            </w:tcBorders>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5</w:t>
            </w: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经济  效益</w:t>
            </w:r>
          </w:p>
        </w:tc>
        <w:tc>
          <w:tcPr>
            <w:tcW w:w="567" w:type="dxa"/>
            <w:vMerge w:val="restart"/>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3</w:t>
            </w:r>
          </w:p>
        </w:tc>
        <w:tc>
          <w:tcPr>
            <w:tcW w:w="6590" w:type="dxa"/>
            <w:gridSpan w:val="2"/>
            <w:vMerge w:val="restart"/>
            <w:vAlign w:val="center"/>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此三项指标可根据部门实际并结合2017年度部门整体支出绩效目标设立情况有选择的进行评价。</w:t>
            </w:r>
          </w:p>
        </w:tc>
        <w:tc>
          <w:tcPr>
            <w:tcW w:w="617" w:type="dxa"/>
            <w:vMerge w:val="restart"/>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jc w:val="center"/>
        </w:trPr>
        <w:tc>
          <w:tcPr>
            <w:tcW w:w="411"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vAlign w:val="center"/>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生态  效益</w:t>
            </w:r>
          </w:p>
        </w:tc>
        <w:tc>
          <w:tcPr>
            <w:tcW w:w="567" w:type="dxa"/>
            <w:vMerge w:val="continue"/>
            <w:vAlign w:val="center"/>
          </w:tcPr>
          <w:p>
            <w:pPr>
              <w:widowControl/>
              <w:jc w:val="left"/>
              <w:rPr>
                <w:rFonts w:ascii="仿宋_GB2312" w:hAnsi="宋体" w:eastAsia="仿宋_GB2312" w:cs="宋体"/>
                <w:kern w:val="0"/>
                <w:sz w:val="20"/>
                <w:szCs w:val="20"/>
              </w:rPr>
            </w:pPr>
          </w:p>
        </w:tc>
        <w:tc>
          <w:tcPr>
            <w:tcW w:w="6590" w:type="dxa"/>
            <w:gridSpan w:val="2"/>
            <w:vMerge w:val="continue"/>
            <w:vAlign w:val="center"/>
          </w:tcPr>
          <w:p>
            <w:pPr>
              <w:widowControl/>
              <w:jc w:val="left"/>
              <w:rPr>
                <w:rFonts w:ascii="仿宋_GB2312" w:hAnsi="宋体" w:eastAsia="仿宋_GB2312" w:cs="宋体"/>
                <w:kern w:val="0"/>
                <w:sz w:val="20"/>
                <w:szCs w:val="20"/>
              </w:rPr>
            </w:pPr>
          </w:p>
        </w:tc>
        <w:tc>
          <w:tcPr>
            <w:tcW w:w="617" w:type="dxa"/>
            <w:vMerge w:val="continue"/>
            <w:vAlign w:val="center"/>
          </w:tcPr>
          <w:p>
            <w:pPr>
              <w:widowControl/>
              <w:jc w:val="left"/>
              <w:rPr>
                <w:rFonts w:ascii="仿宋_GB2312" w:hAnsi="宋体" w:eastAsia="仿宋_GB2312" w:cs="宋体"/>
                <w:kern w:val="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20" w:hRule="atLeast"/>
          <w:jc w:val="center"/>
        </w:trPr>
        <w:tc>
          <w:tcPr>
            <w:tcW w:w="411"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429"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567" w:type="dxa"/>
            <w:vMerge w:val="continue"/>
            <w:tcBorders>
              <w:top w:val="single" w:color="auto" w:sz="4" w:space="0"/>
              <w:bottom w:val="single" w:color="auto" w:sz="4" w:space="0"/>
            </w:tcBorders>
          </w:tcPr>
          <w:p>
            <w:pPr>
              <w:widowControl/>
              <w:jc w:val="left"/>
              <w:rPr>
                <w:rFonts w:ascii="仿宋_GB2312" w:hAnsi="宋体" w:eastAsia="仿宋_GB2312" w:cs="宋体"/>
                <w:kern w:val="0"/>
                <w:sz w:val="20"/>
                <w:szCs w:val="20"/>
              </w:rPr>
            </w:pPr>
          </w:p>
        </w:tc>
        <w:tc>
          <w:tcPr>
            <w:tcW w:w="851"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社会公众或服务对象满意度</w:t>
            </w:r>
          </w:p>
        </w:tc>
        <w:tc>
          <w:tcPr>
            <w:tcW w:w="567"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2</w:t>
            </w:r>
          </w:p>
        </w:tc>
        <w:tc>
          <w:tcPr>
            <w:tcW w:w="3118" w:type="dxa"/>
            <w:vAlign w:val="center"/>
          </w:tcPr>
          <w:p>
            <w:pPr>
              <w:widowControl/>
              <w:jc w:val="center"/>
              <w:rPr>
                <w:rFonts w:ascii="仿宋_GB2312" w:hAnsi="宋体" w:eastAsia="仿宋_GB2312" w:cs="宋体"/>
                <w:kern w:val="0"/>
                <w:sz w:val="20"/>
                <w:szCs w:val="20"/>
              </w:rPr>
            </w:pPr>
            <w:r>
              <w:rPr>
                <w:rFonts w:hint="eastAsia" w:ascii="仿宋_GB2312" w:hAnsi="宋体" w:eastAsia="仿宋_GB2312" w:cs="宋体"/>
                <w:kern w:val="0"/>
                <w:sz w:val="20"/>
                <w:szCs w:val="20"/>
              </w:rPr>
              <w:t>90%（含）以上计2分；</w:t>
            </w:r>
            <w:r>
              <w:rPr>
                <w:rFonts w:hint="eastAsia" w:ascii="仿宋_GB2312" w:hAnsi="宋体" w:eastAsia="仿宋_GB2312" w:cs="宋体"/>
                <w:kern w:val="0"/>
                <w:sz w:val="20"/>
                <w:szCs w:val="20"/>
              </w:rPr>
              <w:br w:type="textWrapping"/>
            </w:r>
            <w:r>
              <w:rPr>
                <w:rFonts w:hint="eastAsia" w:ascii="仿宋_GB2312" w:hAnsi="宋体" w:eastAsia="仿宋_GB2312" w:cs="宋体"/>
                <w:kern w:val="0"/>
                <w:sz w:val="20"/>
                <w:szCs w:val="20"/>
              </w:rPr>
              <w:t>80%（含）-90%，计1分；70%（含）-80%，计0.5分；低于70%,计0分。</w:t>
            </w:r>
          </w:p>
        </w:tc>
        <w:tc>
          <w:tcPr>
            <w:tcW w:w="3472" w:type="dxa"/>
            <w:vAlign w:val="center"/>
          </w:tcPr>
          <w:p>
            <w:pPr>
              <w:widowControl/>
              <w:rPr>
                <w:rFonts w:ascii="仿宋_GB2312" w:hAnsi="宋体" w:eastAsia="仿宋_GB2312" w:cs="宋体"/>
                <w:kern w:val="0"/>
                <w:sz w:val="20"/>
                <w:szCs w:val="20"/>
              </w:rPr>
            </w:pPr>
            <w:r>
              <w:rPr>
                <w:rFonts w:hint="eastAsia" w:ascii="仿宋_GB2312" w:hAnsi="宋体" w:eastAsia="仿宋_GB2312" w:cs="宋体"/>
                <w:kern w:val="0"/>
                <w:sz w:val="20"/>
                <w:szCs w:val="20"/>
              </w:rPr>
              <w:t>社会公众或服务对象是指部门（单位）履行职责而影响到的部门，群体或个人，一般采取社会调查的方式(不少于10份)。</w:t>
            </w:r>
          </w:p>
        </w:tc>
        <w:tc>
          <w:tcPr>
            <w:tcW w:w="617" w:type="dxa"/>
          </w:tcPr>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w:t>
            </w: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p>
          <w:p>
            <w:pPr>
              <w:widowControl/>
              <w:jc w:val="left"/>
              <w:rPr>
                <w:rFonts w:ascii="仿宋_GB2312" w:hAnsi="宋体" w:eastAsia="仿宋_GB2312" w:cs="宋体"/>
                <w:kern w:val="0"/>
                <w:sz w:val="20"/>
                <w:szCs w:val="20"/>
              </w:rPr>
            </w:pPr>
            <w:r>
              <w:rPr>
                <w:rFonts w:hint="eastAsia" w:ascii="仿宋_GB2312" w:hAnsi="宋体" w:eastAsia="仿宋_GB2312" w:cs="宋体"/>
                <w:kern w:val="0"/>
                <w:sz w:val="20"/>
                <w:szCs w:val="20"/>
              </w:rPr>
              <w:t xml:space="preserve"> 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6" w:hRule="atLeast"/>
          <w:jc w:val="center"/>
        </w:trPr>
        <w:tc>
          <w:tcPr>
            <w:tcW w:w="840" w:type="dxa"/>
            <w:gridSpan w:val="2"/>
            <w:vAlign w:val="center"/>
          </w:tcPr>
          <w:p>
            <w:pPr>
              <w:widowControl/>
              <w:jc w:val="center"/>
              <w:rPr>
                <w:rFonts w:ascii="仿宋_GB2312" w:hAnsi="宋体" w:eastAsia="仿宋_GB2312" w:cs="宋体"/>
                <w:kern w:val="0"/>
                <w:sz w:val="22"/>
                <w:szCs w:val="22"/>
              </w:rPr>
            </w:pPr>
            <w:r>
              <w:rPr>
                <w:rFonts w:hint="eastAsia" w:ascii="仿宋_GB2312" w:hAnsi="宋体" w:eastAsia="仿宋_GB2312" w:cs="宋体"/>
                <w:kern w:val="0"/>
                <w:sz w:val="22"/>
                <w:szCs w:val="22"/>
              </w:rPr>
              <w:t>合计</w:t>
            </w:r>
          </w:p>
        </w:tc>
        <w:tc>
          <w:tcPr>
            <w:tcW w:w="8575" w:type="dxa"/>
            <w:gridSpan w:val="5"/>
            <w:vAlign w:val="center"/>
          </w:tcPr>
          <w:p>
            <w:pPr>
              <w:widowControl/>
              <w:rPr>
                <w:rFonts w:ascii="仿宋_GB2312" w:hAnsi="宋体" w:eastAsia="仿宋_GB2312" w:cs="宋体"/>
                <w:kern w:val="0"/>
                <w:sz w:val="20"/>
                <w:szCs w:val="20"/>
              </w:rPr>
            </w:pPr>
          </w:p>
        </w:tc>
        <w:tc>
          <w:tcPr>
            <w:tcW w:w="617" w:type="dxa"/>
          </w:tcPr>
          <w:p>
            <w:pPr>
              <w:widowControl/>
              <w:jc w:val="left"/>
              <w:rPr>
                <w:rFonts w:ascii="宋体" w:hAnsi="宋体" w:cs="宋体"/>
                <w:kern w:val="0"/>
                <w:sz w:val="24"/>
              </w:rPr>
            </w:pPr>
            <w:r>
              <w:rPr>
                <w:rFonts w:hint="eastAsia" w:ascii="宋体" w:hAnsi="宋体" w:cs="宋体"/>
                <w:kern w:val="0"/>
                <w:sz w:val="24"/>
              </w:rPr>
              <w:t>97</w:t>
            </w:r>
          </w:p>
        </w:tc>
      </w:tr>
    </w:tbl>
    <w:p>
      <w:pPr>
        <w:spacing w:line="600" w:lineRule="exact"/>
        <w:rPr>
          <w:rFonts w:ascii="宋体" w:hAnsi="宋体" w:cs="宋体"/>
          <w:kern w:val="0"/>
          <w:sz w:val="32"/>
          <w:szCs w:val="32"/>
        </w:rPr>
      </w:pPr>
    </w:p>
    <w:p/>
    <w:p/>
    <w:p>
      <w:pPr>
        <w:rPr>
          <w:rFonts w:ascii="黑体" w:eastAsia="黑体"/>
          <w:sz w:val="32"/>
          <w:szCs w:val="32"/>
        </w:rPr>
      </w:pPr>
      <w:r>
        <w:rPr>
          <w:rFonts w:hint="eastAsia" w:ascii="黑体" w:eastAsia="黑体"/>
          <w:sz w:val="32"/>
          <w:szCs w:val="32"/>
        </w:rPr>
        <w:br w:type="page"/>
      </w:r>
    </w:p>
    <w:p>
      <w:pPr>
        <w:adjustRightInd w:val="0"/>
        <w:spacing w:line="600" w:lineRule="exact"/>
        <w:ind w:right="641"/>
        <w:rPr>
          <w:rFonts w:ascii="黑体" w:eastAsia="黑体"/>
          <w:sz w:val="32"/>
          <w:szCs w:val="32"/>
        </w:rPr>
      </w:pPr>
      <w:r>
        <w:rPr>
          <w:rFonts w:hint="eastAsia" w:ascii="黑体" w:eastAsia="黑体"/>
          <w:sz w:val="32"/>
          <w:szCs w:val="32"/>
        </w:rPr>
        <w:t>附件3</w:t>
      </w:r>
    </w:p>
    <w:p>
      <w:pPr>
        <w:adjustRightInd w:val="0"/>
        <w:spacing w:line="600" w:lineRule="exact"/>
        <w:ind w:right="641"/>
        <w:jc w:val="center"/>
        <w:rPr>
          <w:rFonts w:eastAsia="方正小标宋_GBK"/>
          <w:sz w:val="36"/>
          <w:szCs w:val="36"/>
        </w:rPr>
      </w:pPr>
      <w:r>
        <w:rPr>
          <w:rFonts w:hint="eastAsia" w:eastAsia="方正小标宋_GBK"/>
          <w:sz w:val="36"/>
          <w:szCs w:val="36"/>
        </w:rPr>
        <w:t xml:space="preserve">   邵阳县自然资源局2021年度部门整体</w:t>
      </w:r>
      <w:r>
        <w:rPr>
          <w:rFonts w:eastAsia="方正小标宋_GBK"/>
          <w:sz w:val="36"/>
          <w:szCs w:val="36"/>
        </w:rPr>
        <w:t>支出绩</w:t>
      </w:r>
    </w:p>
    <w:p>
      <w:pPr>
        <w:adjustRightInd w:val="0"/>
        <w:spacing w:line="600" w:lineRule="exact"/>
        <w:ind w:right="641"/>
        <w:jc w:val="center"/>
        <w:rPr>
          <w:rFonts w:eastAsia="方正小标宋_GBK"/>
          <w:sz w:val="36"/>
          <w:szCs w:val="36"/>
        </w:rPr>
      </w:pPr>
      <w:r>
        <w:rPr>
          <w:rFonts w:eastAsia="方正小标宋_GBK"/>
          <w:sz w:val="36"/>
          <w:szCs w:val="36"/>
        </w:rPr>
        <w:t>效报告</w:t>
      </w:r>
    </w:p>
    <w:p>
      <w:pPr>
        <w:adjustRightInd w:val="0"/>
        <w:snapToGrid w:val="0"/>
        <w:spacing w:line="600" w:lineRule="exact"/>
        <w:ind w:firstLine="640" w:firstLineChars="200"/>
        <w:rPr>
          <w:rFonts w:eastAsia="黑体"/>
          <w:sz w:val="32"/>
          <w:szCs w:val="32"/>
        </w:rPr>
      </w:pPr>
      <w:r>
        <w:rPr>
          <w:rFonts w:eastAsia="黑体"/>
          <w:sz w:val="32"/>
          <w:szCs w:val="32"/>
        </w:rPr>
        <w:t>一、</w:t>
      </w:r>
      <w:r>
        <w:rPr>
          <w:rFonts w:hint="eastAsia" w:eastAsia="黑体"/>
          <w:sz w:val="32"/>
          <w:szCs w:val="32"/>
        </w:rPr>
        <w:t>部门</w:t>
      </w:r>
      <w:r>
        <w:rPr>
          <w:rFonts w:eastAsia="黑体"/>
          <w:sz w:val="32"/>
          <w:szCs w:val="32"/>
        </w:rPr>
        <w:t>概况</w:t>
      </w:r>
    </w:p>
    <w:p>
      <w:pPr>
        <w:adjustRightInd w:val="0"/>
        <w:snapToGrid w:val="0"/>
        <w:spacing w:line="600" w:lineRule="exact"/>
        <w:ind w:firstLine="640" w:firstLineChars="200"/>
        <w:rPr>
          <w:rFonts w:eastAsia="仿宋_GB2312"/>
          <w:sz w:val="32"/>
          <w:szCs w:val="32"/>
        </w:rPr>
      </w:pPr>
      <w:r>
        <w:rPr>
          <w:rFonts w:eastAsia="仿宋_GB2312"/>
          <w:sz w:val="32"/>
          <w:szCs w:val="32"/>
        </w:rPr>
        <w:t>（一）</w:t>
      </w:r>
      <w:r>
        <w:rPr>
          <w:rFonts w:hint="eastAsia" w:eastAsia="仿宋_GB2312"/>
          <w:sz w:val="32"/>
          <w:szCs w:val="32"/>
        </w:rPr>
        <w:t>部门</w:t>
      </w:r>
      <w:r>
        <w:rPr>
          <w:rFonts w:eastAsia="仿宋_GB2312"/>
          <w:sz w:val="32"/>
          <w:szCs w:val="32"/>
        </w:rPr>
        <w:t>基本情况</w:t>
      </w:r>
    </w:p>
    <w:p>
      <w:pPr>
        <w:adjustRightInd w:val="0"/>
        <w:snapToGrid w:val="0"/>
        <w:spacing w:line="600" w:lineRule="exact"/>
        <w:ind w:firstLine="640" w:firstLineChars="200"/>
        <w:rPr>
          <w:rFonts w:eastAsia="仿宋_GB2312"/>
          <w:sz w:val="32"/>
          <w:szCs w:val="32"/>
        </w:rPr>
      </w:pPr>
      <w:r>
        <w:rPr>
          <w:rFonts w:hint="eastAsia" w:ascii="仿宋" w:hAnsi="仿宋" w:eastAsia="仿宋"/>
          <w:sz w:val="32"/>
          <w:szCs w:val="32"/>
        </w:rPr>
        <w:t>邵阳县自然资源局（以下简称我局）为正科级全额拨款行政、事业单位，内设办公室、政工股、财务股、政策法规股、自然资源调查监测股、自然资源确权登记股、自然资源所有者权益和开发利用股、国土空间规划股、建设工程规划股、市政和村镇建设规划股、国土空间用途管制股、国土空间生态修复股、耕地保护监督股、矿产资源保护监督股、地质勘查管理股、测绘地理信息股、自然资源督察股、执法监督股、政务服务股等19个机关股室；下设土地交易中心、土地储备中心、土地开发整理中心、征用地事务中心、国土资源执法监察大队、测绘站、不动产登记中心7个二级机构，1个工业园区分局。截止2021年12月底全局实有人数</w:t>
      </w:r>
      <w:r>
        <w:rPr>
          <w:rFonts w:hint="eastAsia" w:ascii="仿宋" w:hAnsi="仿宋" w:eastAsia="仿宋"/>
          <w:sz w:val="32"/>
          <w:szCs w:val="32"/>
          <w:lang w:val="en-US" w:eastAsia="zh-CN"/>
        </w:rPr>
        <w:t>190</w:t>
      </w:r>
      <w:r>
        <w:rPr>
          <w:rFonts w:hint="eastAsia" w:ascii="仿宋" w:hAnsi="仿宋" w:eastAsia="仿宋"/>
          <w:sz w:val="32"/>
          <w:szCs w:val="32"/>
        </w:rPr>
        <w:t>人，在职190人，退休</w:t>
      </w:r>
      <w:r>
        <w:rPr>
          <w:rFonts w:hint="eastAsia" w:ascii="仿宋" w:hAnsi="仿宋" w:eastAsia="仿宋"/>
          <w:sz w:val="32"/>
          <w:szCs w:val="32"/>
          <w:lang w:val="en-US" w:eastAsia="zh-CN"/>
        </w:rPr>
        <w:t>0</w:t>
      </w:r>
      <w:r>
        <w:rPr>
          <w:rFonts w:hint="eastAsia" w:ascii="仿宋" w:hAnsi="仿宋" w:eastAsia="仿宋"/>
          <w:sz w:val="32"/>
          <w:szCs w:val="32"/>
        </w:rPr>
        <w:t>人,公务用车0辆。主要职能：主要负责县域范围内土地、矿产督察、测绘、耕地保护、规划、地质灾害防治、不动产登记等管理工作，并积极承办县委县政府和省厅、市局交办的其他工作。</w:t>
      </w:r>
    </w:p>
    <w:p>
      <w:pPr>
        <w:adjustRightInd w:val="0"/>
        <w:snapToGrid w:val="0"/>
        <w:spacing w:line="600" w:lineRule="exact"/>
        <w:ind w:firstLine="640" w:firstLineChars="200"/>
        <w:rPr>
          <w:rFonts w:eastAsia="仿宋_GB2312"/>
          <w:sz w:val="32"/>
          <w:szCs w:val="32"/>
        </w:rPr>
      </w:pPr>
      <w:r>
        <w:rPr>
          <w:rFonts w:eastAsia="仿宋_GB2312"/>
          <w:sz w:val="32"/>
          <w:szCs w:val="32"/>
        </w:rPr>
        <w:t>（二）</w:t>
      </w:r>
      <w:r>
        <w:rPr>
          <w:rFonts w:hint="eastAsia" w:eastAsia="仿宋_GB2312"/>
          <w:sz w:val="32"/>
          <w:szCs w:val="32"/>
        </w:rPr>
        <w:t>部门整体支出规模、使用方向</w:t>
      </w:r>
      <w:r>
        <w:rPr>
          <w:rFonts w:eastAsia="仿宋_GB2312"/>
          <w:sz w:val="32"/>
          <w:szCs w:val="32"/>
        </w:rPr>
        <w:t>和主要内容、涉及范围等。</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2021年本单位整体支出13037.38万元，其中：基本支出2828.73万元，项目支出10208.6</w:t>
      </w:r>
      <w:r>
        <w:rPr>
          <w:rFonts w:hint="eastAsia" w:ascii="仿宋" w:hAnsi="仿宋" w:eastAsia="仿宋"/>
          <w:sz w:val="32"/>
          <w:szCs w:val="32"/>
          <w:lang w:val="en-US" w:eastAsia="zh-CN"/>
        </w:rPr>
        <w:t>6</w:t>
      </w:r>
      <w:r>
        <w:rPr>
          <w:rFonts w:hint="eastAsia" w:ascii="仿宋" w:hAnsi="仿宋" w:eastAsia="仿宋"/>
          <w:sz w:val="32"/>
          <w:szCs w:val="32"/>
        </w:rPr>
        <w:t>万元。</w:t>
      </w:r>
    </w:p>
    <w:p>
      <w:pPr>
        <w:adjustRightInd w:val="0"/>
        <w:snapToGrid w:val="0"/>
        <w:spacing w:line="600" w:lineRule="exact"/>
        <w:ind w:firstLine="640" w:firstLineChars="200"/>
        <w:rPr>
          <w:rFonts w:eastAsia="仿宋_GB2312"/>
          <w:sz w:val="32"/>
          <w:szCs w:val="32"/>
        </w:rPr>
      </w:pPr>
      <w:r>
        <w:rPr>
          <w:rFonts w:hint="eastAsia" w:ascii="仿宋" w:hAnsi="仿宋" w:eastAsia="仿宋"/>
          <w:sz w:val="32"/>
          <w:szCs w:val="32"/>
        </w:rPr>
        <w:t>全年用于工资福利支出2198.9</w:t>
      </w:r>
      <w:r>
        <w:rPr>
          <w:rFonts w:hint="eastAsia" w:ascii="仿宋" w:hAnsi="仿宋" w:eastAsia="仿宋"/>
          <w:sz w:val="32"/>
          <w:szCs w:val="32"/>
          <w:lang w:val="en-US" w:eastAsia="zh-CN"/>
        </w:rPr>
        <w:t>8</w:t>
      </w:r>
      <w:r>
        <w:rPr>
          <w:rFonts w:hint="eastAsia" w:ascii="仿宋" w:hAnsi="仿宋" w:eastAsia="仿宋"/>
          <w:sz w:val="32"/>
          <w:szCs w:val="32"/>
        </w:rPr>
        <w:t>万元，商品服务支出3350.98万元，对个人和家庭的补助支出</w:t>
      </w:r>
      <w:r>
        <w:rPr>
          <w:rFonts w:hint="eastAsia" w:ascii="仿宋" w:hAnsi="仿宋" w:eastAsia="仿宋"/>
          <w:sz w:val="32"/>
          <w:szCs w:val="32"/>
          <w:lang w:val="en-US" w:eastAsia="zh-CN"/>
        </w:rPr>
        <w:t>14.77</w:t>
      </w:r>
      <w:r>
        <w:rPr>
          <w:rFonts w:hint="eastAsia" w:ascii="仿宋" w:hAnsi="仿宋" w:eastAsia="仿宋"/>
          <w:sz w:val="32"/>
          <w:szCs w:val="32"/>
        </w:rPr>
        <w:t>万元，其他资本性支出</w:t>
      </w:r>
      <w:r>
        <w:rPr>
          <w:rFonts w:ascii="仿宋" w:hAnsi="仿宋" w:eastAsia="仿宋"/>
          <w:sz w:val="32"/>
          <w:szCs w:val="32"/>
        </w:rPr>
        <w:t>7472</w:t>
      </w:r>
      <w:r>
        <w:rPr>
          <w:rFonts w:hint="eastAsia" w:ascii="仿宋" w:hAnsi="仿宋" w:eastAsia="仿宋"/>
          <w:sz w:val="32"/>
          <w:szCs w:val="32"/>
        </w:rPr>
        <w:t>.</w:t>
      </w:r>
      <w:r>
        <w:rPr>
          <w:rFonts w:ascii="仿宋" w:hAnsi="仿宋" w:eastAsia="仿宋"/>
          <w:sz w:val="32"/>
          <w:szCs w:val="32"/>
        </w:rPr>
        <w:t>65</w:t>
      </w:r>
      <w:r>
        <w:rPr>
          <w:rFonts w:hint="eastAsia" w:ascii="仿宋" w:hAnsi="仿宋" w:eastAsia="仿宋"/>
          <w:sz w:val="32"/>
          <w:szCs w:val="32"/>
        </w:rPr>
        <w:t>万元。</w:t>
      </w:r>
    </w:p>
    <w:p>
      <w:pPr>
        <w:adjustRightInd w:val="0"/>
        <w:snapToGrid w:val="0"/>
        <w:spacing w:line="600" w:lineRule="exact"/>
        <w:ind w:firstLine="640" w:firstLineChars="200"/>
        <w:rPr>
          <w:rFonts w:eastAsia="黑体"/>
          <w:sz w:val="32"/>
          <w:szCs w:val="32"/>
        </w:rPr>
      </w:pPr>
      <w:r>
        <w:rPr>
          <w:rFonts w:eastAsia="黑体"/>
          <w:sz w:val="32"/>
          <w:szCs w:val="32"/>
        </w:rPr>
        <w:t>二、</w:t>
      </w:r>
      <w:r>
        <w:rPr>
          <w:rFonts w:hint="eastAsia" w:eastAsia="黑体"/>
          <w:sz w:val="32"/>
          <w:szCs w:val="32"/>
        </w:rPr>
        <w:t>部门整体支出</w:t>
      </w:r>
      <w:r>
        <w:rPr>
          <w:rFonts w:eastAsia="黑体"/>
          <w:sz w:val="32"/>
          <w:szCs w:val="32"/>
        </w:rPr>
        <w:t>管理及使用情况</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（一）预算执行情况</w:t>
      </w:r>
    </w:p>
    <w:p>
      <w:pPr>
        <w:spacing w:line="640" w:lineRule="exact"/>
        <w:ind w:firstLine="640" w:firstLineChars="200"/>
        <w:rPr>
          <w:rFonts w:ascii="仿宋" w:hAnsi="仿宋" w:eastAsia="仿宋"/>
          <w:color w:val="FF0000"/>
          <w:sz w:val="32"/>
          <w:szCs w:val="32"/>
        </w:rPr>
      </w:pPr>
      <w:r>
        <w:rPr>
          <w:rFonts w:hint="eastAsia" w:ascii="仿宋" w:hAnsi="仿宋" w:eastAsia="仿宋"/>
          <w:sz w:val="32"/>
          <w:szCs w:val="32"/>
        </w:rPr>
        <w:t>2021年县财政下达我局的财政收入任务1100万元，我局实际完成1425.71万元完成率129.61</w:t>
      </w:r>
      <w:r>
        <w:rPr>
          <w:rFonts w:ascii="仿宋" w:hAnsi="仿宋" w:eastAsia="仿宋"/>
          <w:sz w:val="32"/>
          <w:szCs w:val="32"/>
        </w:rPr>
        <w:t>%</w:t>
      </w:r>
      <w:r>
        <w:rPr>
          <w:rFonts w:hint="eastAsia" w:ascii="仿宋" w:hAnsi="仿宋" w:eastAsia="仿宋"/>
          <w:sz w:val="32"/>
          <w:szCs w:val="32"/>
        </w:rPr>
        <w:t>；另入库不抵收入任务的土地出让总价款30445万元，土地出让金1159.7万元，财政收入任务完成情况良好。</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2021年度年初预算收入2249.38万元，基本支出2249.38万元，专项支出统一纳入县级管理，年中基本支出预算调整追加146.5万元，年终基本支出拨款合计</w:t>
      </w:r>
      <w:r>
        <w:rPr>
          <w:rFonts w:hint="eastAsia" w:ascii="仿宋" w:hAnsi="仿宋" w:eastAsia="仿宋"/>
          <w:sz w:val="32"/>
          <w:szCs w:val="32"/>
        </w:rPr>
        <w:t>2395.87</w:t>
      </w:r>
      <w:r>
        <w:rPr>
          <w:rFonts w:hint="eastAsia" w:ascii="仿宋" w:hAnsi="仿宋" w:eastAsia="仿宋"/>
          <w:sz w:val="32"/>
          <w:szCs w:val="32"/>
          <w:shd w:val="clear" w:color="auto" w:fill="FFFFFF"/>
        </w:rPr>
        <w:t>万元，基本支出决算数</w:t>
      </w:r>
      <w:r>
        <w:rPr>
          <w:rFonts w:hint="eastAsia" w:ascii="仿宋" w:hAnsi="仿宋" w:eastAsia="仿宋"/>
          <w:sz w:val="32"/>
          <w:szCs w:val="32"/>
        </w:rPr>
        <w:t>2828.73</w:t>
      </w:r>
      <w:r>
        <w:rPr>
          <w:rFonts w:hint="eastAsia" w:ascii="仿宋" w:hAnsi="仿宋" w:eastAsia="仿宋"/>
          <w:sz w:val="32"/>
          <w:szCs w:val="32"/>
          <w:shd w:val="clear" w:color="auto" w:fill="FFFFFF"/>
        </w:rPr>
        <w:t>万元。项目支出预算调整追加11279.02万元，项目支出决算数10208.6</w:t>
      </w:r>
      <w:r>
        <w:rPr>
          <w:rFonts w:hint="eastAsia" w:ascii="仿宋" w:hAnsi="仿宋" w:eastAsia="仿宋"/>
          <w:sz w:val="32"/>
          <w:szCs w:val="32"/>
          <w:shd w:val="clear" w:color="auto" w:fill="FFFFFF"/>
          <w:lang w:val="en-US" w:eastAsia="zh-CN"/>
        </w:rPr>
        <w:t>6</w:t>
      </w:r>
      <w:r>
        <w:rPr>
          <w:rFonts w:hint="eastAsia" w:ascii="仿宋" w:hAnsi="仿宋" w:eastAsia="仿宋"/>
          <w:sz w:val="32"/>
          <w:szCs w:val="32"/>
          <w:shd w:val="clear" w:color="auto" w:fill="FFFFFF"/>
        </w:rPr>
        <w:t>万元。</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（二）基本支出</w:t>
      </w:r>
    </w:p>
    <w:p>
      <w:pPr>
        <w:spacing w:line="640" w:lineRule="exact"/>
        <w:ind w:firstLine="640" w:firstLineChars="200"/>
        <w:rPr>
          <w:rFonts w:hint="default" w:ascii="仿宋" w:hAnsi="仿宋" w:eastAsia="仿宋"/>
          <w:sz w:val="32"/>
          <w:szCs w:val="32"/>
          <w:shd w:val="clear" w:color="auto" w:fill="FFFFFF"/>
          <w:lang w:val="en-US" w:eastAsia="zh-CN"/>
        </w:rPr>
      </w:pPr>
      <w:r>
        <w:rPr>
          <w:rFonts w:hint="eastAsia" w:ascii="仿宋" w:hAnsi="仿宋" w:eastAsia="仿宋"/>
          <w:sz w:val="32"/>
          <w:szCs w:val="32"/>
          <w:shd w:val="clear" w:color="auto" w:fill="FFFFFF"/>
        </w:rPr>
        <w:t>我局2021年基本支出</w:t>
      </w:r>
      <w:r>
        <w:rPr>
          <w:rFonts w:hint="eastAsia" w:ascii="仿宋" w:hAnsi="仿宋" w:eastAsia="仿宋"/>
          <w:sz w:val="32"/>
          <w:szCs w:val="32"/>
        </w:rPr>
        <w:t>2828.73</w:t>
      </w:r>
      <w:r>
        <w:rPr>
          <w:rFonts w:hint="eastAsia" w:ascii="仿宋" w:hAnsi="仿宋" w:eastAsia="仿宋"/>
          <w:sz w:val="32"/>
          <w:szCs w:val="32"/>
          <w:shd w:val="clear" w:color="auto" w:fill="FFFFFF"/>
        </w:rPr>
        <w:t>万元，其中：人员经费</w:t>
      </w:r>
      <w:r>
        <w:rPr>
          <w:rFonts w:hint="eastAsia" w:ascii="仿宋" w:hAnsi="仿宋" w:eastAsia="仿宋"/>
          <w:sz w:val="32"/>
          <w:szCs w:val="32"/>
        </w:rPr>
        <w:t>22</w:t>
      </w:r>
      <w:r>
        <w:rPr>
          <w:rFonts w:hint="eastAsia" w:ascii="仿宋" w:hAnsi="仿宋" w:eastAsia="仿宋"/>
          <w:sz w:val="32"/>
          <w:szCs w:val="32"/>
          <w:lang w:val="en-US" w:eastAsia="zh-CN"/>
        </w:rPr>
        <w:t>13.74</w:t>
      </w:r>
      <w:r>
        <w:rPr>
          <w:rFonts w:hint="eastAsia" w:ascii="仿宋" w:hAnsi="仿宋" w:eastAsia="仿宋"/>
          <w:sz w:val="32"/>
          <w:szCs w:val="32"/>
          <w:shd w:val="clear" w:color="auto" w:fill="FFFFFF"/>
        </w:rPr>
        <w:t>万元（</w:t>
      </w:r>
      <w:r>
        <w:rPr>
          <w:rFonts w:hint="eastAsia" w:ascii="仿宋" w:hAnsi="仿宋" w:eastAsia="仿宋"/>
          <w:sz w:val="32"/>
          <w:szCs w:val="32"/>
        </w:rPr>
        <w:t>工资福利支出2198.9</w:t>
      </w:r>
      <w:r>
        <w:rPr>
          <w:rFonts w:hint="eastAsia" w:ascii="仿宋" w:hAnsi="仿宋" w:eastAsia="仿宋"/>
          <w:sz w:val="32"/>
          <w:szCs w:val="32"/>
          <w:lang w:val="en-US" w:eastAsia="zh-CN"/>
        </w:rPr>
        <w:t>8</w:t>
      </w:r>
      <w:r>
        <w:rPr>
          <w:rFonts w:hint="eastAsia" w:ascii="仿宋" w:hAnsi="仿宋" w:eastAsia="仿宋"/>
          <w:sz w:val="32"/>
          <w:szCs w:val="32"/>
        </w:rPr>
        <w:t>万元，对个人和家庭的补助支出</w:t>
      </w:r>
      <w:r>
        <w:rPr>
          <w:rFonts w:hint="eastAsia" w:ascii="仿宋" w:hAnsi="仿宋" w:eastAsia="仿宋"/>
          <w:sz w:val="32"/>
          <w:szCs w:val="32"/>
          <w:lang w:val="en-US" w:eastAsia="zh-CN"/>
        </w:rPr>
        <w:t>14.77</w:t>
      </w:r>
      <w:r>
        <w:rPr>
          <w:rFonts w:hint="eastAsia" w:ascii="仿宋" w:hAnsi="仿宋" w:eastAsia="仿宋"/>
          <w:sz w:val="32"/>
          <w:szCs w:val="32"/>
        </w:rPr>
        <w:t>万元</w:t>
      </w:r>
      <w:r>
        <w:rPr>
          <w:rFonts w:hint="eastAsia" w:ascii="仿宋" w:hAnsi="仿宋" w:eastAsia="仿宋"/>
          <w:sz w:val="32"/>
          <w:szCs w:val="32"/>
          <w:shd w:val="clear" w:color="auto" w:fill="FFFFFF"/>
        </w:rPr>
        <w:t>）</w:t>
      </w:r>
      <w:r>
        <w:rPr>
          <w:rFonts w:hint="eastAsia" w:ascii="仿宋" w:hAnsi="仿宋" w:eastAsia="仿宋"/>
          <w:sz w:val="32"/>
          <w:szCs w:val="32"/>
          <w:shd w:val="clear" w:color="auto" w:fill="FFFFFF"/>
          <w:lang w:eastAsia="zh-CN"/>
        </w:rPr>
        <w:t>；</w:t>
      </w:r>
      <w:r>
        <w:rPr>
          <w:rFonts w:hint="eastAsia" w:ascii="仿宋" w:hAnsi="仿宋" w:eastAsia="仿宋"/>
          <w:sz w:val="32"/>
          <w:szCs w:val="32"/>
          <w:shd w:val="clear" w:color="auto" w:fill="FFFFFF"/>
        </w:rPr>
        <w:t>公用经费</w:t>
      </w:r>
      <w:r>
        <w:rPr>
          <w:rFonts w:hint="eastAsia" w:ascii="仿宋" w:hAnsi="仿宋" w:eastAsia="仿宋"/>
          <w:sz w:val="32"/>
          <w:szCs w:val="32"/>
          <w:lang w:val="en-US" w:eastAsia="zh-CN"/>
        </w:rPr>
        <w:t>614.99</w:t>
      </w:r>
      <w:r>
        <w:rPr>
          <w:rFonts w:hint="eastAsia" w:ascii="仿宋" w:hAnsi="仿宋" w:eastAsia="仿宋"/>
          <w:sz w:val="32"/>
          <w:szCs w:val="32"/>
          <w:shd w:val="clear" w:color="auto" w:fill="FFFFFF"/>
        </w:rPr>
        <w:t>万元（其中：</w:t>
      </w:r>
      <w:r>
        <w:rPr>
          <w:rFonts w:hint="eastAsia" w:ascii="仿宋" w:hAnsi="仿宋" w:eastAsia="仿宋"/>
          <w:sz w:val="32"/>
          <w:szCs w:val="32"/>
          <w:shd w:val="clear" w:color="auto" w:fill="FFFFFF"/>
          <w:lang w:eastAsia="zh-CN"/>
        </w:rPr>
        <w:t>商品和服务支出</w:t>
      </w:r>
      <w:r>
        <w:rPr>
          <w:rFonts w:hint="eastAsia" w:ascii="仿宋" w:hAnsi="仿宋" w:eastAsia="仿宋"/>
          <w:sz w:val="32"/>
          <w:szCs w:val="32"/>
          <w:shd w:val="clear" w:color="auto" w:fill="FFFFFF"/>
          <w:lang w:val="en-US" w:eastAsia="zh-CN"/>
        </w:rPr>
        <w:t>557.45万元、资本性支出57.54万元）</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“三公”经费支出1.53万元，其中：因公出国（境）费0元，公务用车购置及运行维护费0万元，公务接待费1.53万元）。“三公”经费严格控制在年初预算范围内，较好地达成年度预算设定的绩效目标。</w:t>
      </w:r>
    </w:p>
    <w:p>
      <w:pPr>
        <w:adjustRightInd w:val="0"/>
        <w:snapToGrid w:val="0"/>
        <w:spacing w:line="600" w:lineRule="exact"/>
        <w:ind w:firstLine="643" w:firstLineChars="200"/>
        <w:rPr>
          <w:rFonts w:ascii="楷体_GB2312" w:eastAsia="楷体_GB2312"/>
          <w:b/>
          <w:sz w:val="32"/>
          <w:szCs w:val="32"/>
        </w:rPr>
      </w:pPr>
      <w:r>
        <w:rPr>
          <w:rFonts w:hint="eastAsia" w:ascii="楷体_GB2312" w:eastAsia="楷体_GB2312"/>
          <w:b/>
          <w:sz w:val="32"/>
          <w:szCs w:val="32"/>
        </w:rPr>
        <w:t>（三）专项支出</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1．专项资金安排落实、总投入等情况。</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根据县财政的相关规定，2021年土地开发整治项目资金由县会计核算局统一管理，县财政年初预算时未安排我局专项经费。2021年实际拨入各项专项资金总11279.02万元（预算调整追加）。主要包括：县批次建设用地项目征拆补偿资金6910.95万元、县批次建设用地项目报批资金632.91万元、县级解决自然资源空间规划、土地利用、执法等专项资金3054万元、地质灾害防治项目资金115万元、公共资源交易服务费分成217万元、空心房整治专项资金280万元、农田设施修复、村庄整治等其他项目资金69.16万元。其中：上级指标拨入670万元，报告批拨10609.02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2．专项资金实际使用情况分析。</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按照项目实际需求安排支出，全年实际支出</w:t>
      </w:r>
      <w:r>
        <w:rPr>
          <w:rFonts w:hint="eastAsia" w:ascii="仿宋" w:hAnsi="仿宋" w:eastAsia="仿宋"/>
          <w:sz w:val="32"/>
          <w:szCs w:val="32"/>
          <w:shd w:val="clear" w:color="auto" w:fill="FFFFFF"/>
        </w:rPr>
        <w:t>10208.6</w:t>
      </w:r>
      <w:r>
        <w:rPr>
          <w:rFonts w:hint="eastAsia" w:ascii="仿宋" w:hAnsi="仿宋" w:eastAsia="仿宋"/>
          <w:sz w:val="32"/>
          <w:szCs w:val="32"/>
          <w:shd w:val="clear" w:color="auto" w:fill="FFFFFF"/>
          <w:lang w:val="en-US" w:eastAsia="zh-CN"/>
        </w:rPr>
        <w:t>6</w:t>
      </w:r>
      <w:r>
        <w:rPr>
          <w:rFonts w:hint="eastAsia" w:ascii="仿宋" w:hAnsi="仿宋" w:eastAsia="仿宋"/>
          <w:sz w:val="32"/>
          <w:szCs w:val="32"/>
        </w:rPr>
        <w:t>万元。按年度工作计划安排逐步开展，其中：</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1）、按经济分类：工资福利支出0万元，商品与服务支出</w:t>
      </w:r>
      <w:r>
        <w:rPr>
          <w:rFonts w:ascii="仿宋" w:hAnsi="仿宋" w:eastAsia="仿宋"/>
          <w:sz w:val="32"/>
          <w:szCs w:val="32"/>
        </w:rPr>
        <w:t>2793</w:t>
      </w:r>
      <w:r>
        <w:rPr>
          <w:rFonts w:hint="eastAsia" w:ascii="仿宋" w:hAnsi="仿宋" w:eastAsia="仿宋"/>
          <w:sz w:val="32"/>
          <w:szCs w:val="32"/>
        </w:rPr>
        <w:t>.</w:t>
      </w:r>
      <w:r>
        <w:rPr>
          <w:rFonts w:ascii="仿宋" w:hAnsi="仿宋" w:eastAsia="仿宋"/>
          <w:sz w:val="32"/>
          <w:szCs w:val="32"/>
        </w:rPr>
        <w:t>54</w:t>
      </w:r>
      <w:r>
        <w:rPr>
          <w:rFonts w:hint="eastAsia" w:ascii="仿宋" w:hAnsi="仿宋" w:eastAsia="仿宋"/>
          <w:sz w:val="32"/>
          <w:szCs w:val="32"/>
        </w:rPr>
        <w:t>万元，其他资本性支出</w:t>
      </w:r>
      <w:r>
        <w:rPr>
          <w:rFonts w:ascii="仿宋" w:hAnsi="仿宋" w:eastAsia="仿宋"/>
          <w:sz w:val="32"/>
          <w:szCs w:val="32"/>
        </w:rPr>
        <w:t>7415</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2万元。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2）、按功能科目分类：一般公共预算财政拨款支出</w:t>
      </w:r>
      <w:r>
        <w:rPr>
          <w:rFonts w:ascii="仿宋" w:hAnsi="仿宋" w:eastAsia="仿宋"/>
          <w:sz w:val="32"/>
          <w:szCs w:val="32"/>
        </w:rPr>
        <w:t>2791</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rPr>
        <w:t>3万元，政府性基金财政拨款支出</w:t>
      </w:r>
      <w:r>
        <w:rPr>
          <w:rFonts w:ascii="仿宋" w:hAnsi="仿宋" w:eastAsia="仿宋"/>
          <w:sz w:val="32"/>
          <w:szCs w:val="32"/>
        </w:rPr>
        <w:t>7416</w:t>
      </w:r>
      <w:r>
        <w:rPr>
          <w:rFonts w:hint="eastAsia" w:ascii="仿宋" w:hAnsi="仿宋" w:eastAsia="仿宋"/>
          <w:sz w:val="32"/>
          <w:szCs w:val="32"/>
        </w:rPr>
        <w:t>.</w:t>
      </w:r>
      <w:r>
        <w:rPr>
          <w:rFonts w:ascii="仿宋" w:hAnsi="仿宋" w:eastAsia="仿宋"/>
          <w:sz w:val="32"/>
          <w:szCs w:val="32"/>
        </w:rPr>
        <w:t>8</w:t>
      </w:r>
      <w:r>
        <w:rPr>
          <w:rFonts w:hint="eastAsia" w:ascii="仿宋" w:hAnsi="仿宋" w:eastAsia="仿宋"/>
          <w:sz w:val="32"/>
          <w:szCs w:val="32"/>
          <w:lang w:val="en-US" w:eastAsia="zh-CN"/>
        </w:rPr>
        <w:t>3</w:t>
      </w:r>
      <w:r>
        <w:rPr>
          <w:rFonts w:hint="eastAsia" w:ascii="仿宋" w:hAnsi="仿宋" w:eastAsia="仿宋"/>
          <w:sz w:val="32"/>
          <w:szCs w:val="32"/>
        </w:rPr>
        <w:t>万元。</w:t>
      </w:r>
    </w:p>
    <w:p>
      <w:pPr>
        <w:spacing w:line="600" w:lineRule="exact"/>
        <w:ind w:firstLine="640" w:firstLineChars="200"/>
        <w:rPr>
          <w:rFonts w:ascii="仿宋" w:hAnsi="仿宋" w:eastAsia="仿宋"/>
          <w:sz w:val="32"/>
          <w:szCs w:val="32"/>
        </w:rPr>
      </w:pPr>
      <w:r>
        <w:rPr>
          <w:rFonts w:hint="eastAsia" w:ascii="仿宋" w:hAnsi="仿宋" w:eastAsia="仿宋"/>
          <w:sz w:val="32"/>
          <w:szCs w:val="32"/>
        </w:rPr>
        <w:t>3）、按具体项目分类：拨付储备中心县批次用地相关税费</w:t>
      </w:r>
      <w:r>
        <w:rPr>
          <w:rFonts w:ascii="仿宋" w:hAnsi="仿宋" w:eastAsia="仿宋"/>
          <w:sz w:val="32"/>
          <w:szCs w:val="32"/>
        </w:rPr>
        <w:t>603</w:t>
      </w:r>
      <w:r>
        <w:rPr>
          <w:rFonts w:hint="eastAsia" w:ascii="仿宋" w:hAnsi="仿宋" w:eastAsia="仿宋"/>
          <w:sz w:val="32"/>
          <w:szCs w:val="32"/>
        </w:rPr>
        <w:t>.</w:t>
      </w:r>
      <w:r>
        <w:rPr>
          <w:rFonts w:ascii="仿宋" w:hAnsi="仿宋" w:eastAsia="仿宋"/>
          <w:sz w:val="32"/>
          <w:szCs w:val="32"/>
        </w:rPr>
        <w:t>51</w:t>
      </w:r>
      <w:r>
        <w:rPr>
          <w:rFonts w:hint="eastAsia" w:ascii="仿宋" w:hAnsi="仿宋" w:eastAsia="仿宋"/>
          <w:sz w:val="32"/>
          <w:szCs w:val="32"/>
        </w:rPr>
        <w:t>万元、拨付县建设用地项目征拆补偿资金</w:t>
      </w:r>
      <w:r>
        <w:rPr>
          <w:rFonts w:ascii="仿宋" w:hAnsi="仿宋" w:eastAsia="仿宋"/>
          <w:sz w:val="32"/>
          <w:szCs w:val="32"/>
        </w:rPr>
        <w:t>6805</w:t>
      </w:r>
      <w:r>
        <w:rPr>
          <w:rFonts w:hint="eastAsia" w:ascii="仿宋" w:hAnsi="仿宋" w:eastAsia="仿宋"/>
          <w:sz w:val="32"/>
          <w:szCs w:val="32"/>
        </w:rPr>
        <w:t>.</w:t>
      </w:r>
      <w:r>
        <w:rPr>
          <w:rFonts w:ascii="仿宋" w:hAnsi="仿宋" w:eastAsia="仿宋"/>
          <w:sz w:val="32"/>
          <w:szCs w:val="32"/>
        </w:rPr>
        <w:t>31</w:t>
      </w:r>
      <w:r>
        <w:rPr>
          <w:rFonts w:hint="eastAsia" w:ascii="仿宋" w:hAnsi="仿宋" w:eastAsia="仿宋"/>
          <w:sz w:val="32"/>
          <w:szCs w:val="32"/>
        </w:rPr>
        <w:t>万元、第二批改善农业生产条件资金8万元、地质灾害综合防治专项支出</w:t>
      </w:r>
      <w:r>
        <w:rPr>
          <w:rFonts w:ascii="仿宋" w:hAnsi="仿宋" w:eastAsia="仿宋"/>
          <w:sz w:val="32"/>
          <w:szCs w:val="32"/>
        </w:rPr>
        <w:t>176</w:t>
      </w:r>
      <w:r>
        <w:rPr>
          <w:rFonts w:hint="eastAsia" w:ascii="仿宋" w:hAnsi="仿宋" w:eastAsia="仿宋"/>
          <w:sz w:val="32"/>
          <w:szCs w:val="32"/>
        </w:rPr>
        <w:t>.</w:t>
      </w:r>
      <w:r>
        <w:rPr>
          <w:rFonts w:ascii="仿宋" w:hAnsi="仿宋" w:eastAsia="仿宋"/>
          <w:sz w:val="32"/>
          <w:szCs w:val="32"/>
        </w:rPr>
        <w:t>88</w:t>
      </w:r>
      <w:r>
        <w:rPr>
          <w:rFonts w:hint="eastAsia" w:ascii="仿宋" w:hAnsi="仿宋" w:eastAsia="仿宋"/>
          <w:sz w:val="32"/>
          <w:szCs w:val="32"/>
        </w:rPr>
        <w:t>万元、县级解决农房一体化登记等专项资金</w:t>
      </w:r>
      <w:r>
        <w:rPr>
          <w:rFonts w:ascii="仿宋" w:hAnsi="仿宋" w:eastAsia="仿宋"/>
          <w:sz w:val="32"/>
          <w:szCs w:val="32"/>
        </w:rPr>
        <w:t>1814</w:t>
      </w:r>
      <w:r>
        <w:rPr>
          <w:rFonts w:hint="eastAsia" w:ascii="仿宋" w:hAnsi="仿宋" w:eastAsia="仿宋"/>
          <w:sz w:val="32"/>
          <w:szCs w:val="32"/>
        </w:rPr>
        <w:t>.</w:t>
      </w:r>
      <w:r>
        <w:rPr>
          <w:rFonts w:ascii="仿宋" w:hAnsi="仿宋" w:eastAsia="仿宋"/>
          <w:sz w:val="32"/>
          <w:szCs w:val="32"/>
        </w:rPr>
        <w:t>1</w:t>
      </w:r>
      <w:r>
        <w:rPr>
          <w:rFonts w:hint="eastAsia" w:ascii="仿宋" w:hAnsi="仿宋" w:eastAsia="仿宋"/>
          <w:sz w:val="32"/>
          <w:szCs w:val="32"/>
        </w:rPr>
        <w:t>2万元、县级解决自然资源空间规划、土地利用及执法等专项资金</w:t>
      </w:r>
      <w:r>
        <w:rPr>
          <w:rFonts w:ascii="仿宋" w:hAnsi="仿宋" w:eastAsia="仿宋"/>
          <w:sz w:val="32"/>
          <w:szCs w:val="32"/>
        </w:rPr>
        <w:t>769</w:t>
      </w:r>
      <w:r>
        <w:rPr>
          <w:rFonts w:hint="eastAsia" w:ascii="仿宋" w:hAnsi="仿宋" w:eastAsia="仿宋"/>
          <w:sz w:val="32"/>
          <w:szCs w:val="32"/>
        </w:rPr>
        <w:t>.</w:t>
      </w:r>
      <w:r>
        <w:rPr>
          <w:rFonts w:ascii="仿宋" w:hAnsi="仿宋" w:eastAsia="仿宋"/>
          <w:sz w:val="32"/>
          <w:szCs w:val="32"/>
        </w:rPr>
        <w:t>39</w:t>
      </w:r>
      <w:r>
        <w:rPr>
          <w:rFonts w:hint="eastAsia" w:ascii="仿宋" w:hAnsi="仿宋" w:eastAsia="仿宋"/>
          <w:sz w:val="32"/>
          <w:szCs w:val="32"/>
        </w:rPr>
        <w:t>万元、不动产登记专项支出</w:t>
      </w:r>
      <w:r>
        <w:rPr>
          <w:rFonts w:ascii="仿宋" w:hAnsi="仿宋" w:eastAsia="仿宋"/>
          <w:sz w:val="32"/>
          <w:szCs w:val="32"/>
        </w:rPr>
        <w:t>31</w:t>
      </w:r>
      <w:r>
        <w:rPr>
          <w:rFonts w:hint="eastAsia" w:ascii="仿宋" w:hAnsi="仿宋" w:eastAsia="仿宋"/>
          <w:sz w:val="32"/>
          <w:szCs w:val="32"/>
        </w:rPr>
        <w:t>.</w:t>
      </w:r>
      <w:r>
        <w:rPr>
          <w:rFonts w:ascii="仿宋" w:hAnsi="仿宋" w:eastAsia="仿宋"/>
          <w:sz w:val="32"/>
          <w:szCs w:val="32"/>
        </w:rPr>
        <w:t>35</w:t>
      </w:r>
      <w:r>
        <w:rPr>
          <w:rFonts w:hint="eastAsia" w:ascii="仿宋" w:hAnsi="仿宋" w:eastAsia="仿宋"/>
          <w:sz w:val="32"/>
          <w:szCs w:val="32"/>
        </w:rPr>
        <w:t>万元。</w:t>
      </w:r>
      <w:r>
        <w:rPr>
          <w:rFonts w:hint="eastAsia" w:ascii="仿宋" w:hAnsi="仿宋" w:eastAsia="仿宋"/>
          <w:sz w:val="32"/>
          <w:szCs w:val="32"/>
          <w:shd w:val="clear" w:color="auto" w:fill="FFFFFF"/>
        </w:rPr>
        <w:t>因部分专项工作尚未完成存在应付未付款项，及部分项目资金财政于2021年年底才拨入项目未实施</w:t>
      </w:r>
      <w:r>
        <w:rPr>
          <w:rFonts w:hint="eastAsia" w:ascii="仿宋" w:hAnsi="仿宋" w:eastAsia="仿宋"/>
          <w:sz w:val="32"/>
          <w:szCs w:val="32"/>
        </w:rPr>
        <w:t>等原因，专项资金年终累计结转结余</w:t>
      </w:r>
      <w:r>
        <w:rPr>
          <w:rFonts w:ascii="仿宋" w:hAnsi="仿宋" w:eastAsia="仿宋"/>
          <w:sz w:val="32"/>
          <w:szCs w:val="32"/>
        </w:rPr>
        <w:t>19256</w:t>
      </w:r>
      <w:r>
        <w:rPr>
          <w:rFonts w:hint="eastAsia" w:ascii="仿宋" w:hAnsi="仿宋" w:eastAsia="仿宋"/>
          <w:sz w:val="32"/>
          <w:szCs w:val="32"/>
        </w:rPr>
        <w:t>.</w:t>
      </w:r>
      <w:r>
        <w:rPr>
          <w:rFonts w:ascii="仿宋" w:hAnsi="仿宋" w:eastAsia="仿宋"/>
          <w:sz w:val="32"/>
          <w:szCs w:val="32"/>
        </w:rPr>
        <w:t>53</w:t>
      </w:r>
      <w:r>
        <w:rPr>
          <w:rFonts w:hint="eastAsia" w:ascii="仿宋" w:hAnsi="仿宋" w:eastAsia="仿宋"/>
          <w:sz w:val="32"/>
          <w:szCs w:val="32"/>
        </w:rPr>
        <w:t>万元（耕地开垦项目资金9932.38万元、县级解决土地变更调查、规划、执法、地灾防治等专项资金4136.56万元、农村宅基地和集体建设用地房地一体确权登记资金</w:t>
      </w:r>
      <w:r>
        <w:rPr>
          <w:rFonts w:ascii="仿宋" w:hAnsi="仿宋" w:eastAsia="仿宋"/>
          <w:sz w:val="32"/>
          <w:szCs w:val="32"/>
        </w:rPr>
        <w:t>1338</w:t>
      </w:r>
      <w:r>
        <w:rPr>
          <w:rFonts w:hint="eastAsia" w:ascii="仿宋" w:hAnsi="仿宋" w:eastAsia="仿宋"/>
          <w:sz w:val="32"/>
          <w:szCs w:val="32"/>
        </w:rPr>
        <w:t>.</w:t>
      </w:r>
      <w:r>
        <w:rPr>
          <w:rFonts w:ascii="仿宋" w:hAnsi="仿宋" w:eastAsia="仿宋"/>
          <w:sz w:val="32"/>
          <w:szCs w:val="32"/>
        </w:rPr>
        <w:t>34</w:t>
      </w:r>
      <w:r>
        <w:rPr>
          <w:rFonts w:hint="eastAsia" w:ascii="仿宋" w:hAnsi="仿宋" w:eastAsia="仿宋"/>
          <w:sz w:val="32"/>
          <w:szCs w:val="32"/>
        </w:rPr>
        <w:t>万元）。</w:t>
      </w:r>
    </w:p>
    <w:p>
      <w:pPr>
        <w:spacing w:line="640" w:lineRule="exact"/>
        <w:ind w:firstLine="640" w:firstLineChars="200"/>
        <w:rPr>
          <w:rFonts w:ascii="仿宋" w:hAnsi="仿宋" w:eastAsia="仿宋"/>
          <w:sz w:val="32"/>
          <w:szCs w:val="32"/>
        </w:rPr>
      </w:pPr>
      <w:r>
        <w:rPr>
          <w:rFonts w:hint="eastAsia" w:ascii="仿宋" w:hAnsi="仿宋" w:eastAsia="仿宋"/>
          <w:sz w:val="32"/>
          <w:szCs w:val="32"/>
        </w:rPr>
        <w:t>3．专项资金管理情况分析。</w:t>
      </w:r>
    </w:p>
    <w:p>
      <w:pPr>
        <w:spacing w:line="640" w:lineRule="exact"/>
        <w:ind w:firstLine="480" w:firstLineChars="150"/>
        <w:rPr>
          <w:rFonts w:ascii="仿宋" w:hAnsi="仿宋" w:eastAsia="仿宋"/>
          <w:sz w:val="32"/>
          <w:szCs w:val="32"/>
        </w:rPr>
      </w:pPr>
      <w:r>
        <w:rPr>
          <w:rFonts w:hint="eastAsia" w:ascii="仿宋" w:hAnsi="仿宋" w:eastAsia="仿宋"/>
          <w:sz w:val="32"/>
          <w:szCs w:val="32"/>
        </w:rPr>
        <w:t>我局专项资金管理严格按照《关于进一步加强专项资金使用管理的通知》（湘国土资办发[2007]94号）的</w:t>
      </w:r>
      <w:bookmarkStart w:id="0" w:name="_GoBack"/>
      <w:bookmarkEnd w:id="0"/>
      <w:r>
        <w:rPr>
          <w:rFonts w:hint="eastAsia" w:ascii="仿宋" w:hAnsi="仿宋" w:eastAsia="仿宋"/>
          <w:sz w:val="32"/>
          <w:szCs w:val="32"/>
        </w:rPr>
        <w:t>规定，并制定了《邵阳县自然资源局专项资金管理制度》，实行预算管理，坚持专人管理、专账核算原则，严格按照预算管理的要求使用项目资金，严格规范资金拨付流程，工程款支付依据齐备，相关费用的支出严格控制在预算范围内，确保项目资金的合法合理使用。大宗商品</w:t>
      </w:r>
      <w:r>
        <w:rPr>
          <w:rFonts w:hint="eastAsia" w:ascii="仿宋" w:hAnsi="仿宋" w:eastAsia="仿宋"/>
          <w:sz w:val="32"/>
          <w:szCs w:val="32"/>
          <w:lang w:eastAsia="zh-CN"/>
        </w:rPr>
        <w:t>服务</w:t>
      </w:r>
      <w:r>
        <w:rPr>
          <w:rFonts w:hint="eastAsia" w:ascii="仿宋" w:hAnsi="仿宋" w:eastAsia="仿宋"/>
          <w:sz w:val="32"/>
          <w:szCs w:val="32"/>
        </w:rPr>
        <w:t>采购均严格按政府采购有关规定执行。</w:t>
      </w:r>
    </w:p>
    <w:p>
      <w:pPr>
        <w:adjustRightInd w:val="0"/>
        <w:snapToGrid w:val="0"/>
        <w:spacing w:line="600" w:lineRule="exact"/>
        <w:ind w:firstLine="640" w:firstLineChars="200"/>
        <w:rPr>
          <w:rFonts w:eastAsia="黑体"/>
          <w:sz w:val="32"/>
          <w:szCs w:val="32"/>
        </w:rPr>
      </w:pPr>
      <w:r>
        <w:rPr>
          <w:rFonts w:eastAsia="黑体"/>
          <w:sz w:val="32"/>
          <w:szCs w:val="32"/>
        </w:rPr>
        <w:t>三、</w:t>
      </w:r>
      <w:r>
        <w:rPr>
          <w:rFonts w:hint="eastAsia" w:eastAsia="黑体"/>
          <w:sz w:val="32"/>
          <w:szCs w:val="32"/>
        </w:rPr>
        <w:t>部门专项</w:t>
      </w:r>
      <w:r>
        <w:rPr>
          <w:rFonts w:eastAsia="黑体"/>
          <w:sz w:val="32"/>
          <w:szCs w:val="32"/>
        </w:rPr>
        <w:t>组织实施情况</w:t>
      </w:r>
    </w:p>
    <w:p>
      <w:pPr>
        <w:adjustRightInd w:val="0"/>
        <w:snapToGrid w:val="0"/>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在各项目实施过程中，本单位严格对项目经费实行专款专用，按照谁主管、谁负责的原则，明确项目管理和实施的具体责任人。强化资金使用和监督，包括资金使用前预算和计划的审核和监督，经费使用后支出内容的真实性、合理性和合法性的审核和监督，所有支出需通过单位财务集体会审后才能支付，确保资金的使用效率和项目的顺利实施，服务单位满意率较高。</w:t>
      </w:r>
    </w:p>
    <w:p>
      <w:pPr>
        <w:adjustRightInd w:val="0"/>
        <w:snapToGrid w:val="0"/>
        <w:spacing w:line="600" w:lineRule="exact"/>
        <w:ind w:firstLine="640" w:firstLineChars="200"/>
        <w:rPr>
          <w:rFonts w:eastAsia="黑体"/>
          <w:sz w:val="32"/>
          <w:szCs w:val="32"/>
        </w:rPr>
      </w:pPr>
      <w:r>
        <w:rPr>
          <w:rFonts w:hint="eastAsia" w:eastAsia="黑体"/>
          <w:sz w:val="32"/>
          <w:szCs w:val="32"/>
        </w:rPr>
        <w:t>四、资产管理情况</w:t>
      </w:r>
    </w:p>
    <w:p>
      <w:pPr>
        <w:adjustRightInd w:val="0"/>
        <w:snapToGrid w:val="0"/>
        <w:spacing w:line="60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本单位2021年度为进一步合理配备并节约、有效使用资产，提高资产使用效率，保障资产的安全和完整，修订了单位《资产管理制度》，成立了资产管理领导工作小组，明确办公室为资产管理的归口管理部门，对单位资产的配置、管理使用、处置从制度上进一步规范。实际工作中，资产配置时，由各业务股室按年初资产配置计划，报请主管领导审批（需进行政府采购的严格按政府采购程序执行），统一由办公室组织实施。管理和使用严格遵循统一领导、分级管理、责任到人、物尽其用的原则。资产的处置，都是通过行政事业单位资产管理信息系统严格履行上报手续，报经过上级主管部门的审批通过后严格执行。资产的配置、处置均填报入财政资产管理系统，确保单位资产账实相符，并按时报送单位资产月报表。</w:t>
      </w:r>
    </w:p>
    <w:p>
      <w:pPr>
        <w:adjustRightInd w:val="0"/>
        <w:snapToGrid w:val="0"/>
        <w:spacing w:line="600" w:lineRule="exact"/>
        <w:ind w:firstLine="643" w:firstLineChars="200"/>
        <w:rPr>
          <w:rFonts w:ascii="仿宋" w:hAnsi="仿宋" w:eastAsia="仿宋"/>
          <w:b/>
          <w:sz w:val="32"/>
          <w:szCs w:val="32"/>
          <w:shd w:val="clear" w:color="auto" w:fill="FFFFFF"/>
        </w:rPr>
      </w:pPr>
      <w:r>
        <w:rPr>
          <w:rFonts w:hint="eastAsia" w:ascii="仿宋" w:hAnsi="仿宋" w:eastAsia="仿宋"/>
          <w:b/>
          <w:sz w:val="32"/>
          <w:szCs w:val="32"/>
          <w:shd w:val="clear" w:color="auto" w:fill="FFFFFF"/>
        </w:rPr>
        <w:t>五</w:t>
      </w:r>
      <w:r>
        <w:rPr>
          <w:rFonts w:ascii="仿宋" w:hAnsi="仿宋" w:eastAsia="仿宋"/>
          <w:b/>
          <w:sz w:val="32"/>
          <w:szCs w:val="32"/>
          <w:shd w:val="clear" w:color="auto" w:fill="FFFFFF"/>
        </w:rPr>
        <w:t>、</w:t>
      </w:r>
      <w:r>
        <w:rPr>
          <w:rFonts w:hint="eastAsia" w:ascii="仿宋" w:hAnsi="仿宋" w:eastAsia="仿宋"/>
          <w:b/>
          <w:sz w:val="32"/>
          <w:szCs w:val="32"/>
          <w:shd w:val="clear" w:color="auto" w:fill="FFFFFF"/>
        </w:rPr>
        <w:t>绩效评价工作情况</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shd w:val="clear" w:color="auto" w:fill="FFFFFF"/>
        </w:rPr>
        <w:t>1．管理制度健全性上，我局根据国家有关财经法律法规和</w:t>
      </w:r>
      <w:r>
        <w:rPr>
          <w:rFonts w:hint="eastAsia" w:ascii="仿宋" w:hAnsi="仿宋" w:eastAsia="仿宋"/>
          <w:sz w:val="32"/>
          <w:szCs w:val="32"/>
        </w:rPr>
        <w:t>工作实际，制定了《邵阳县自然资源局财务管理制度》和《邵阳县自然资源局专项资金管理办法》，且相关管理制度得到了认真执行。</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2．资金使用合规性上，我局在资金使用上一直按照国家财经法规和本单位财务管理制度规定以及有关专项资金管理办法的规定收支，资金拨付有完整的审批程序和手续，按照财经制度的有关要求，做到专款专用，专人保管，实行财务集中会审制，保证资金使用的合法性。资金使用无截留、挤占、挪用、虚列支出等情况。</w:t>
      </w:r>
    </w:p>
    <w:p>
      <w:pPr>
        <w:adjustRightInd w:val="0"/>
        <w:snapToGrid w:val="0"/>
        <w:spacing w:line="600" w:lineRule="exact"/>
        <w:ind w:firstLine="640" w:firstLineChars="200"/>
        <w:rPr>
          <w:rFonts w:eastAsia="黑体"/>
          <w:sz w:val="32"/>
          <w:szCs w:val="32"/>
        </w:rPr>
      </w:pPr>
      <w:r>
        <w:rPr>
          <w:rFonts w:hint="eastAsia" w:eastAsia="黑体"/>
          <w:sz w:val="32"/>
          <w:szCs w:val="32"/>
        </w:rPr>
        <w:t>六、综合评价情况及评价结论</w:t>
      </w:r>
    </w:p>
    <w:p>
      <w:pPr>
        <w:adjustRightInd w:val="0"/>
        <w:snapToGrid w:val="0"/>
        <w:spacing w:line="600" w:lineRule="exact"/>
        <w:ind w:firstLine="640" w:firstLineChars="200"/>
        <w:rPr>
          <w:rFonts w:ascii="仿宋" w:hAnsi="仿宋" w:eastAsia="仿宋"/>
          <w:color w:val="FF0000"/>
          <w:sz w:val="32"/>
          <w:szCs w:val="32"/>
        </w:rPr>
      </w:pPr>
      <w:r>
        <w:rPr>
          <w:rFonts w:hint="eastAsia" w:ascii="仿宋" w:hAnsi="仿宋" w:eastAsia="仿宋"/>
          <w:sz w:val="32"/>
          <w:szCs w:val="32"/>
        </w:rPr>
        <w:t>2021年本单位部门整体支出综合评价情况良好，预算配置、执行、管理、资产管理、绩效管理、职责履行执行及完成情况良好，社会公众或服务对象满意度较高。</w:t>
      </w:r>
    </w:p>
    <w:p>
      <w:pPr>
        <w:adjustRightInd w:val="0"/>
        <w:snapToGrid w:val="0"/>
        <w:spacing w:line="600" w:lineRule="exact"/>
        <w:ind w:firstLine="640" w:firstLineChars="200"/>
        <w:rPr>
          <w:rFonts w:eastAsia="黑体"/>
          <w:sz w:val="32"/>
          <w:szCs w:val="32"/>
        </w:rPr>
      </w:pPr>
      <w:r>
        <w:rPr>
          <w:rFonts w:hint="eastAsia" w:eastAsia="黑体"/>
          <w:sz w:val="32"/>
          <w:szCs w:val="32"/>
        </w:rPr>
        <w:t>七、部门整体支出主要</w:t>
      </w:r>
      <w:r>
        <w:rPr>
          <w:rFonts w:eastAsia="黑体"/>
          <w:sz w:val="32"/>
          <w:szCs w:val="32"/>
        </w:rPr>
        <w:t>绩效</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2021年，我局把强化工作责任心，提高工作质量，优化工作态度，提高工作对象对我们工作满意度做为主要工作来抓，各股室工作按照年初的计划有序的开展，办事效益进一步提高，服务态度进一步优化。具体分为：</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基本支出严格按年初预算执行，特别是严控“三公经费”支出，“三公经费”支出较往年稳步下降；</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基本农田保护工作实施基本到位，制作了高标准的基本农田保护碑，提高了农田保护的意识；</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对农村土地整治进行了全面的规划，规划后更加规范、有序，有利于高效使用土地，使土地实现了更高的经济效益和可利用率；</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积极争取用地指标，为县建设项目用地提供了坚实保障；</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地质灾害综合防治体系建设工作、地质灾害整体搬迁避让工作稳步开展，保障了人民群众生命财产安全；</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不动产登记工作扎实有序推进，很好的完成了农村集体土地确权颁证年度工作任务。</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执法工作稳步推进并取得较好成绩，开展了土地矿产卫片执法问题图斑整改、农村乱占耕地建房及砂石土矿专项整治工作。</w:t>
      </w:r>
    </w:p>
    <w:p>
      <w:pPr>
        <w:spacing w:line="640" w:lineRule="exact"/>
        <w:ind w:firstLine="640" w:firstLineChars="200"/>
        <w:rPr>
          <w:rFonts w:hint="eastAsia" w:ascii="仿宋" w:hAnsi="仿宋" w:eastAsia="仿宋"/>
          <w:sz w:val="32"/>
          <w:szCs w:val="32"/>
          <w:shd w:val="clear" w:color="auto" w:fill="FFFFFF"/>
        </w:rPr>
      </w:pPr>
      <w:r>
        <w:rPr>
          <w:rFonts w:hint="eastAsia" w:ascii="仿宋" w:hAnsi="仿宋" w:eastAsia="仿宋"/>
          <w:sz w:val="32"/>
          <w:szCs w:val="32"/>
          <w:shd w:val="clear" w:color="auto" w:fill="FFFFFF"/>
        </w:rPr>
        <w:t>全面完成了上级安排的各项工作，很好的完成各种经济、社会、效益指标工作，主管部门及服务对象总体</w:t>
      </w:r>
      <w:r>
        <w:rPr>
          <w:rFonts w:hint="eastAsia" w:ascii="仿宋" w:hAnsi="仿宋" w:eastAsia="仿宋"/>
          <w:sz w:val="32"/>
          <w:szCs w:val="32"/>
        </w:rPr>
        <w:t>满意度较高</w:t>
      </w:r>
      <w:r>
        <w:rPr>
          <w:rFonts w:hint="eastAsia" w:ascii="仿宋" w:hAnsi="仿宋" w:eastAsia="仿宋"/>
          <w:sz w:val="32"/>
          <w:szCs w:val="32"/>
          <w:shd w:val="clear" w:color="auto" w:fill="FFFFFF"/>
        </w:rPr>
        <w:t>。</w:t>
      </w:r>
    </w:p>
    <w:p>
      <w:pPr>
        <w:adjustRightInd w:val="0"/>
        <w:snapToGrid w:val="0"/>
        <w:spacing w:line="600" w:lineRule="exact"/>
        <w:ind w:firstLine="640" w:firstLineChars="200"/>
        <w:rPr>
          <w:rFonts w:ascii="黑体" w:eastAsia="黑体"/>
          <w:sz w:val="32"/>
          <w:szCs w:val="32"/>
        </w:rPr>
      </w:pPr>
      <w:r>
        <w:rPr>
          <w:rFonts w:hint="eastAsia" w:ascii="黑体" w:eastAsia="黑体"/>
          <w:sz w:val="32"/>
          <w:szCs w:val="32"/>
        </w:rPr>
        <w:t>八、存在的问题</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1．因财政资金紧张，各类开支不能及时报账，导致资金的拨付、使用存在不协调，年终预算指标结转结余数额较大，</w:t>
      </w:r>
      <w:r>
        <w:rPr>
          <w:rFonts w:hint="eastAsia" w:ascii="仿宋" w:hAnsi="仿宋" w:eastAsia="仿宋"/>
          <w:bCs/>
          <w:sz w:val="32"/>
          <w:szCs w:val="32"/>
        </w:rPr>
        <w:t>实际工作中很多专项工作不能及时开展及推进，影响省市各专项资金绩效考评，存在较多潜在的风险</w:t>
      </w:r>
      <w:r>
        <w:rPr>
          <w:rFonts w:hint="eastAsia" w:ascii="仿宋" w:hAnsi="仿宋" w:eastAsia="仿宋"/>
          <w:sz w:val="32"/>
          <w:szCs w:val="32"/>
          <w:shd w:val="clear" w:color="auto" w:fill="FFFFFF"/>
        </w:rPr>
        <w:t>。</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rPr>
        <w:t>2．对于绩效评价的认识不够深入，实际工作中存在把预算绩效简单等同于工作目标、工作考核，绩效目标和指标往往根据项目实际完成情况制定，对项目执行过程有效约束不够，存在一定的偏差。</w:t>
      </w:r>
    </w:p>
    <w:p>
      <w:pPr>
        <w:adjustRightInd w:val="0"/>
        <w:snapToGrid w:val="0"/>
        <w:spacing w:line="600" w:lineRule="exact"/>
        <w:ind w:firstLine="640" w:firstLineChars="200"/>
        <w:rPr>
          <w:rFonts w:eastAsia="黑体"/>
          <w:sz w:val="32"/>
          <w:szCs w:val="32"/>
        </w:rPr>
      </w:pPr>
      <w:r>
        <w:rPr>
          <w:rFonts w:hint="eastAsia" w:eastAsia="黑体"/>
          <w:sz w:val="32"/>
          <w:szCs w:val="32"/>
        </w:rPr>
        <w:t>九</w:t>
      </w:r>
      <w:r>
        <w:rPr>
          <w:rFonts w:eastAsia="黑体"/>
          <w:sz w:val="32"/>
          <w:szCs w:val="32"/>
        </w:rPr>
        <w:t>、</w:t>
      </w:r>
      <w:r>
        <w:rPr>
          <w:rFonts w:hint="eastAsia" w:eastAsia="黑体"/>
          <w:sz w:val="32"/>
          <w:szCs w:val="32"/>
        </w:rPr>
        <w:t>改进措施和有关建议</w:t>
      </w:r>
    </w:p>
    <w:p>
      <w:pPr>
        <w:spacing w:line="640" w:lineRule="exact"/>
        <w:ind w:firstLine="640" w:firstLineChars="200"/>
        <w:rPr>
          <w:rFonts w:ascii="仿宋" w:hAnsi="仿宋" w:eastAsia="仿宋"/>
          <w:sz w:val="32"/>
          <w:szCs w:val="32"/>
          <w:shd w:val="clear" w:color="auto" w:fill="FFFFFF"/>
        </w:rPr>
      </w:pPr>
      <w:r>
        <w:rPr>
          <w:rFonts w:hint="eastAsia" w:ascii="仿宋" w:hAnsi="仿宋" w:eastAsia="仿宋"/>
          <w:sz w:val="32"/>
          <w:szCs w:val="32"/>
          <w:shd w:val="clear" w:color="auto" w:fill="FFFFFF"/>
        </w:rPr>
        <w:t>1．加强与县财政特别是国库沟通与协商，以保证我局各项开支特别是各专项资金能够顺利支付到位，逐步消解项目资金结转结余过大问题，提升财政资金使用效益。</w:t>
      </w:r>
    </w:p>
    <w:p>
      <w:pPr>
        <w:spacing w:line="640" w:lineRule="exact"/>
        <w:ind w:firstLine="640" w:firstLineChars="200"/>
        <w:rPr>
          <w:rFonts w:eastAsia="仿宋_GB2312"/>
          <w:sz w:val="28"/>
          <w:szCs w:val="28"/>
        </w:rPr>
      </w:pPr>
      <w:r>
        <w:rPr>
          <w:rFonts w:hint="eastAsia" w:ascii="仿宋" w:hAnsi="仿宋" w:eastAsia="仿宋"/>
          <w:sz w:val="32"/>
          <w:szCs w:val="32"/>
        </w:rPr>
        <w:t>2．规范绩效评价管理资料的收集整理，确保相关信息完整、可靠，客观公正地反映项目资金实际使用和产生的绩效状况，为今后该项目实施方向及管理方式的改进提供指导。</w:t>
      </w:r>
    </w:p>
    <w:p>
      <w:pPr>
        <w:spacing w:line="640" w:lineRule="exact"/>
        <w:ind w:firstLine="640" w:firstLineChars="200"/>
        <w:rPr>
          <w:rFonts w:ascii="仿宋" w:hAnsi="仿宋" w:eastAsia="仿宋"/>
          <w:color w:val="FF0000"/>
          <w:sz w:val="32"/>
          <w:szCs w:val="32"/>
          <w:shd w:val="clear" w:color="auto" w:fill="FFFFFF"/>
        </w:rPr>
      </w:pPr>
    </w:p>
    <w:p>
      <w:pPr>
        <w:spacing w:line="640" w:lineRule="exact"/>
        <w:ind w:firstLine="640" w:firstLineChars="200"/>
        <w:jc w:val="right"/>
        <w:rPr>
          <w:rFonts w:ascii="仿宋" w:hAnsi="仿宋" w:eastAsia="仿宋"/>
          <w:sz w:val="32"/>
          <w:szCs w:val="32"/>
          <w:shd w:val="clear" w:color="auto" w:fill="FFFFFF"/>
        </w:rPr>
      </w:pPr>
      <w:r>
        <w:rPr>
          <w:rFonts w:hint="eastAsia" w:ascii="仿宋" w:hAnsi="仿宋" w:eastAsia="仿宋"/>
          <w:sz w:val="32"/>
          <w:szCs w:val="32"/>
          <w:shd w:val="clear" w:color="auto" w:fill="FFFFFF"/>
        </w:rPr>
        <w:t>邵阳县自然资源局</w:t>
      </w:r>
    </w:p>
    <w:p>
      <w:pPr>
        <w:spacing w:line="640" w:lineRule="exact"/>
        <w:ind w:firstLine="640" w:firstLineChars="200"/>
        <w:jc w:val="right"/>
        <w:rPr>
          <w:rFonts w:ascii="仿宋" w:hAnsi="仿宋" w:eastAsia="仿宋"/>
          <w:sz w:val="32"/>
          <w:szCs w:val="32"/>
          <w:shd w:val="clear" w:color="auto" w:fill="FFFFFF"/>
        </w:rPr>
      </w:pPr>
      <w:r>
        <w:rPr>
          <w:rFonts w:hint="eastAsia" w:ascii="仿宋" w:hAnsi="仿宋" w:eastAsia="仿宋"/>
          <w:sz w:val="32"/>
          <w:szCs w:val="32"/>
          <w:shd w:val="clear" w:color="auto" w:fill="FFFFFF"/>
        </w:rPr>
        <w:t>2022年2月16日</w:t>
      </w:r>
    </w:p>
    <w:p>
      <w:r>
        <w:rPr>
          <w:rFonts w:hint="eastAsia"/>
        </w:rPr>
        <w:br w:type="textWrapping"/>
      </w:r>
    </w:p>
    <w:p>
      <w:pPr>
        <w:widowControl/>
        <w:jc w:val="left"/>
      </w:pPr>
      <w:r>
        <w:br w:type="page"/>
      </w:r>
    </w:p>
    <w:p>
      <w:pPr>
        <w:jc w:val="left"/>
        <w:rPr>
          <w:rFonts w:ascii="宋体" w:hAnsi="宋体" w:cs="宋体"/>
          <w:sz w:val="44"/>
          <w:szCs w:val="44"/>
        </w:rPr>
      </w:pPr>
      <w:r>
        <w:rPr>
          <w:rFonts w:hint="eastAsia" w:ascii="黑体" w:hAnsi="黑体" w:eastAsia="黑体" w:cs="黑体"/>
          <w:sz w:val="32"/>
          <w:szCs w:val="32"/>
        </w:rPr>
        <w:t>附件4</w:t>
      </w:r>
    </w:p>
    <w:p>
      <w:pPr>
        <w:jc w:val="center"/>
        <w:rPr>
          <w:sz w:val="36"/>
          <w:szCs w:val="36"/>
        </w:rPr>
      </w:pPr>
      <w:r>
        <w:rPr>
          <w:rFonts w:hint="eastAsia"/>
          <w:sz w:val="36"/>
          <w:szCs w:val="36"/>
          <w:u w:val="single"/>
        </w:rPr>
        <w:t xml:space="preserve"> 邵阳县自然资源局 </w:t>
      </w:r>
      <w:r>
        <w:rPr>
          <w:rFonts w:hint="eastAsia"/>
          <w:sz w:val="36"/>
          <w:szCs w:val="36"/>
        </w:rPr>
        <w:t>单位履行职责情况调查问卷</w:t>
      </w:r>
    </w:p>
    <w:p>
      <w:pPr>
        <w:jc w:val="center"/>
        <w:rPr>
          <w:rFonts w:ascii="楷体" w:hAnsi="楷体" w:eastAsia="楷体" w:cs="楷体"/>
          <w:sz w:val="28"/>
          <w:szCs w:val="28"/>
        </w:rPr>
      </w:pPr>
      <w:r>
        <w:rPr>
          <w:rFonts w:hint="eastAsia" w:ascii="楷体" w:hAnsi="楷体" w:eastAsia="楷体" w:cs="楷体"/>
          <w:sz w:val="28"/>
          <w:szCs w:val="28"/>
        </w:rPr>
        <w:t>单位：         职业：         性别：         年龄：</w:t>
      </w:r>
    </w:p>
    <w:p>
      <w:pPr>
        <w:numPr>
          <w:ilvl w:val="0"/>
          <w:numId w:val="1"/>
        </w:num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你对该单位履行职责情况是否满意？（A）</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2"/>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你对该单位干部作风建设情况是否满意？（A）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3.你对该单位的“三公经费”使用是否满意？（A）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4.你对该单位的“信息公开”是否满意？（A）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5.你对该单位的办事效率是否满意？（A）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6.你对该单位的服务态度是否满意？（A）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3"/>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你对该单位对“公车”的管理是否满意？（A）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8.你对该单位的“固定资产”管理是否满意？（A）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9.你对该单位的项目（包括招投标、项目建设等）管理情况是否满意？（A）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10.你对该单位的党风廉政建设情况是否满意？（A）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11.你对该单位处理、解决群众所反映的问题是否满意？（A）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numPr>
          <w:ilvl w:val="0"/>
          <w:numId w:val="4"/>
        </w:numPr>
        <w:ind w:left="10" w:leftChars="5" w:firstLine="406" w:firstLineChars="127"/>
        <w:rPr>
          <w:rFonts w:ascii="仿宋" w:hAnsi="仿宋" w:eastAsia="仿宋" w:cs="仿宋"/>
          <w:sz w:val="32"/>
          <w:szCs w:val="32"/>
        </w:rPr>
      </w:pPr>
      <w:r>
        <w:rPr>
          <w:rFonts w:hint="eastAsia" w:ascii="仿宋" w:hAnsi="仿宋" w:eastAsia="仿宋" w:cs="仿宋"/>
          <w:sz w:val="32"/>
          <w:szCs w:val="32"/>
        </w:rPr>
        <w:t>你对该单位为民办实事的工作是否满意？（A）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13.你对该单位在落实政策、执行制度方面是否满意？（A）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rPr>
          <w:rFonts w:ascii="仿宋" w:hAnsi="仿宋" w:eastAsia="仿宋" w:cs="仿宋"/>
          <w:sz w:val="32"/>
          <w:szCs w:val="32"/>
        </w:rPr>
      </w:pPr>
      <w:r>
        <w:rPr>
          <w:rFonts w:hint="eastAsia" w:ascii="仿宋" w:hAnsi="仿宋" w:eastAsia="仿宋" w:cs="仿宋"/>
          <w:sz w:val="32"/>
          <w:szCs w:val="32"/>
        </w:rPr>
        <w:t>14.你对该单位干部的敬业精神评价如何？（A）</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 xml:space="preserve">      A.满意    B.基本满意    C.不满意</w:t>
      </w:r>
    </w:p>
    <w:p>
      <w:pPr>
        <w:ind w:left="10" w:leftChars="5" w:firstLine="406" w:firstLineChars="127"/>
        <w:jc w:val="left"/>
        <w:rPr>
          <w:rFonts w:ascii="仿宋" w:hAnsi="仿宋" w:eastAsia="仿宋" w:cs="仿宋"/>
          <w:sz w:val="32"/>
          <w:szCs w:val="32"/>
        </w:rPr>
      </w:pPr>
      <w:r>
        <w:rPr>
          <w:rFonts w:hint="eastAsia" w:ascii="仿宋" w:hAnsi="仿宋" w:eastAsia="仿宋" w:cs="仿宋"/>
          <w:sz w:val="32"/>
          <w:szCs w:val="32"/>
        </w:rPr>
        <w:t>15.你对该单位在履行职责、作风建设方面有哪些意见建议？</w:t>
      </w:r>
    </w:p>
    <w:p>
      <w:pPr>
        <w:jc w:val="left"/>
        <w:rPr>
          <w:rFonts w:ascii="宋体" w:hAnsi="宋体" w:cs="宋体"/>
          <w:sz w:val="44"/>
          <w:szCs w:val="44"/>
        </w:rPr>
      </w:pPr>
      <w:r>
        <w:rPr>
          <w:rFonts w:hint="eastAsia" w:ascii="黑体" w:hAnsi="黑体" w:eastAsia="黑体" w:cs="黑体"/>
          <w:sz w:val="32"/>
          <w:szCs w:val="32"/>
        </w:rPr>
        <w:t>附件</w:t>
      </w:r>
      <w:r>
        <w:rPr>
          <w:rFonts w:hint="eastAsia" w:ascii="黑体" w:hAnsi="黑体" w:eastAsia="黑体" w:cs="黑体"/>
          <w:sz w:val="32"/>
          <w:szCs w:val="32"/>
          <w:lang w:val="en-US" w:eastAsia="zh-CN"/>
        </w:rPr>
        <w:t>5</w:t>
      </w:r>
      <w:r>
        <w:rPr>
          <w:rFonts w:hint="eastAsia" w:ascii="宋体" w:hAnsi="宋体" w:cs="宋体"/>
          <w:sz w:val="44"/>
          <w:szCs w:val="44"/>
        </w:rPr>
        <w:t xml:space="preserve">                  </w:t>
      </w:r>
    </w:p>
    <w:tbl>
      <w:tblPr>
        <w:tblStyle w:val="4"/>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812"/>
        <w:gridCol w:w="1541"/>
        <w:gridCol w:w="799"/>
        <w:gridCol w:w="1315"/>
        <w:gridCol w:w="696"/>
        <w:gridCol w:w="1009"/>
        <w:gridCol w:w="1602"/>
        <w:gridCol w:w="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617" w:hRule="atLeast"/>
        </w:trPr>
        <w:tc>
          <w:tcPr>
            <w:tcW w:w="8920" w:type="dxa"/>
            <w:gridSpan w:val="9"/>
            <w:vAlign w:val="center"/>
          </w:tcPr>
          <w:p>
            <w:pPr>
              <w:jc w:val="center"/>
            </w:pPr>
            <w:r>
              <w:rPr>
                <w:rFonts w:hint="eastAsia"/>
              </w:rPr>
              <w:t>绩效目标自评表</w:t>
            </w:r>
          </w:p>
          <w:p>
            <w:pPr>
              <w:jc w:val="center"/>
            </w:pPr>
            <w:r>
              <w:rPr>
                <w:rFonts w:hint="eastAsia"/>
              </w:rPr>
              <w:t>（2021年度）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587" w:hRule="atLeast"/>
        </w:trPr>
        <w:tc>
          <w:tcPr>
            <w:tcW w:w="1958" w:type="dxa"/>
            <w:gridSpan w:val="3"/>
            <w:vAlign w:val="center"/>
          </w:tcPr>
          <w:p>
            <w:pPr>
              <w:jc w:val="center"/>
            </w:pPr>
            <w:r>
              <w:rPr>
                <w:rFonts w:hint="eastAsia"/>
              </w:rPr>
              <w:t>目名称</w:t>
            </w:r>
          </w:p>
        </w:tc>
        <w:tc>
          <w:tcPr>
            <w:tcW w:w="2340" w:type="dxa"/>
            <w:gridSpan w:val="2"/>
            <w:vAlign w:val="center"/>
          </w:tcPr>
          <w:p>
            <w:pPr>
              <w:jc w:val="center"/>
            </w:pPr>
            <w:r>
              <w:rPr>
                <w:rFonts w:hint="eastAsia" w:ascii="仿宋" w:hAnsi="仿宋" w:eastAsia="仿宋" w:cs="仿宋"/>
                <w:color w:val="000000"/>
                <w:szCs w:val="21"/>
              </w:rPr>
              <w:t>农村宅基地和集体建设用地使用权房地一体确权登记颁证工作</w:t>
            </w:r>
          </w:p>
        </w:tc>
        <w:tc>
          <w:tcPr>
            <w:tcW w:w="1315" w:type="dxa"/>
            <w:vAlign w:val="center"/>
          </w:tcPr>
          <w:p>
            <w:pPr>
              <w:jc w:val="center"/>
            </w:pPr>
            <w:r>
              <w:rPr>
                <w:rFonts w:hint="eastAsia"/>
              </w:rPr>
              <w:t>项目负责人及电话</w:t>
            </w:r>
          </w:p>
        </w:tc>
        <w:tc>
          <w:tcPr>
            <w:tcW w:w="3307" w:type="dxa"/>
            <w:gridSpan w:val="3"/>
            <w:vAlign w:val="center"/>
          </w:tcPr>
          <w:p>
            <w:pPr>
              <w:jc w:val="center"/>
            </w:pPr>
            <w:r>
              <w:rPr>
                <w:rFonts w:hint="eastAsia"/>
              </w:rPr>
              <w:t>李玲15173933463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498" w:hRule="atLeast"/>
        </w:trPr>
        <w:tc>
          <w:tcPr>
            <w:tcW w:w="1958" w:type="dxa"/>
            <w:gridSpan w:val="3"/>
            <w:vAlign w:val="center"/>
          </w:tcPr>
          <w:p>
            <w:pPr>
              <w:jc w:val="center"/>
            </w:pPr>
            <w:r>
              <w:rPr>
                <w:rFonts w:hint="eastAsia"/>
              </w:rPr>
              <w:t>主管部门</w:t>
            </w:r>
          </w:p>
        </w:tc>
        <w:tc>
          <w:tcPr>
            <w:tcW w:w="2340" w:type="dxa"/>
            <w:gridSpan w:val="2"/>
            <w:vAlign w:val="center"/>
          </w:tcPr>
          <w:p>
            <w:pPr>
              <w:jc w:val="center"/>
            </w:pPr>
            <w:r>
              <w:rPr>
                <w:rFonts w:hint="eastAsia"/>
              </w:rPr>
              <w:t>邵阳县自然资源局</w:t>
            </w:r>
          </w:p>
        </w:tc>
        <w:tc>
          <w:tcPr>
            <w:tcW w:w="1315" w:type="dxa"/>
            <w:vAlign w:val="center"/>
          </w:tcPr>
          <w:p>
            <w:pPr>
              <w:jc w:val="center"/>
            </w:pPr>
            <w:r>
              <w:rPr>
                <w:rFonts w:hint="eastAsia"/>
              </w:rPr>
              <w:t>实施单位</w:t>
            </w:r>
          </w:p>
        </w:tc>
        <w:tc>
          <w:tcPr>
            <w:tcW w:w="3307" w:type="dxa"/>
            <w:gridSpan w:val="3"/>
            <w:vAlign w:val="center"/>
          </w:tcPr>
          <w:p>
            <w:pPr>
              <w:jc w:val="center"/>
            </w:pPr>
            <w:r>
              <w:rPr>
                <w:rFonts w:hint="eastAsia"/>
              </w:rPr>
              <w:t>省第二测绘院等8家技术单位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1958" w:type="dxa"/>
            <w:gridSpan w:val="3"/>
            <w:vAlign w:val="center"/>
          </w:tcPr>
          <w:p>
            <w:pPr>
              <w:jc w:val="center"/>
            </w:pPr>
            <w:r>
              <w:rPr>
                <w:rFonts w:hint="eastAsia"/>
              </w:rPr>
              <w:t>资金情况</w:t>
            </w:r>
          </w:p>
          <w:p>
            <w:pPr>
              <w:jc w:val="center"/>
            </w:pPr>
            <w:r>
              <w:rPr>
                <w:rFonts w:hint="eastAsia"/>
              </w:rPr>
              <w:t>（万元）</w:t>
            </w:r>
          </w:p>
        </w:tc>
        <w:tc>
          <w:tcPr>
            <w:tcW w:w="1541" w:type="dxa"/>
            <w:vAlign w:val="center"/>
          </w:tcPr>
          <w:p>
            <w:pPr>
              <w:jc w:val="center"/>
            </w:pPr>
            <w:r>
              <w:rPr>
                <w:rFonts w:hint="eastAsia" w:ascii="仿宋" w:hAnsi="仿宋" w:eastAsia="仿宋" w:cs="仿宋"/>
                <w:color w:val="000000"/>
                <w:szCs w:val="21"/>
              </w:rPr>
              <w:t>5491.944</w:t>
            </w:r>
          </w:p>
        </w:tc>
        <w:tc>
          <w:tcPr>
            <w:tcW w:w="799" w:type="dxa"/>
            <w:vAlign w:val="center"/>
          </w:tcPr>
          <w:p>
            <w:pPr>
              <w:jc w:val="center"/>
            </w:pPr>
            <w:r>
              <w:rPr>
                <w:rFonts w:hint="eastAsia"/>
              </w:rPr>
              <w:t>全年预算数（A)</w:t>
            </w:r>
          </w:p>
        </w:tc>
        <w:tc>
          <w:tcPr>
            <w:tcW w:w="1315" w:type="dxa"/>
            <w:vAlign w:val="center"/>
          </w:tcPr>
          <w:p>
            <w:pPr>
              <w:jc w:val="center"/>
            </w:pPr>
            <w:r>
              <w:rPr>
                <w:rFonts w:hint="eastAsia"/>
              </w:rPr>
              <w:t>全年执行数</w:t>
            </w:r>
          </w:p>
          <w:p>
            <w:pPr>
              <w:jc w:val="center"/>
            </w:pPr>
            <w:r>
              <w:rPr>
                <w:rFonts w:hint="eastAsia"/>
              </w:rPr>
              <w:t>（B）</w:t>
            </w:r>
          </w:p>
        </w:tc>
        <w:tc>
          <w:tcPr>
            <w:tcW w:w="696" w:type="dxa"/>
            <w:vAlign w:val="center"/>
          </w:tcPr>
          <w:p>
            <w:pPr>
              <w:jc w:val="center"/>
            </w:pPr>
            <w:r>
              <w:rPr>
                <w:rFonts w:hint="eastAsia"/>
              </w:rPr>
              <w:t>分值</w:t>
            </w:r>
          </w:p>
        </w:tc>
        <w:tc>
          <w:tcPr>
            <w:tcW w:w="1009" w:type="dxa"/>
            <w:vAlign w:val="center"/>
          </w:tcPr>
          <w:p>
            <w:pPr>
              <w:jc w:val="center"/>
            </w:pPr>
            <w:r>
              <w:rPr>
                <w:rFonts w:hint="eastAsia"/>
              </w:rPr>
              <w:t>执行率（B/A）</w:t>
            </w:r>
          </w:p>
        </w:tc>
        <w:tc>
          <w:tcPr>
            <w:tcW w:w="1617" w:type="dxa"/>
            <w:gridSpan w:val="2"/>
            <w:vAlign w:val="center"/>
          </w:tcPr>
          <w:p>
            <w:pPr>
              <w:jc w:val="center"/>
            </w:pPr>
            <w:r>
              <w:rPr>
                <w:rFonts w:hint="eastAsia"/>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vAlign w:val="center"/>
          </w:tcPr>
          <w:p>
            <w:pPr>
              <w:jc w:val="center"/>
            </w:pPr>
          </w:p>
        </w:tc>
        <w:tc>
          <w:tcPr>
            <w:tcW w:w="726" w:type="dxa"/>
            <w:vAlign w:val="center"/>
          </w:tcPr>
          <w:p>
            <w:pPr>
              <w:jc w:val="center"/>
            </w:pPr>
          </w:p>
        </w:tc>
        <w:tc>
          <w:tcPr>
            <w:tcW w:w="812" w:type="dxa"/>
            <w:vAlign w:val="center"/>
          </w:tcPr>
          <w:p>
            <w:pPr>
              <w:jc w:val="center"/>
            </w:pPr>
          </w:p>
        </w:tc>
        <w:tc>
          <w:tcPr>
            <w:tcW w:w="1541" w:type="dxa"/>
            <w:vAlign w:val="center"/>
          </w:tcPr>
          <w:p>
            <w:pPr>
              <w:jc w:val="center"/>
            </w:pPr>
            <w:r>
              <w:rPr>
                <w:rFonts w:hint="eastAsia"/>
              </w:rPr>
              <w:t>年度资金总额：</w:t>
            </w:r>
          </w:p>
        </w:tc>
        <w:tc>
          <w:tcPr>
            <w:tcW w:w="799" w:type="dxa"/>
            <w:vAlign w:val="center"/>
          </w:tcPr>
          <w:p>
            <w:pPr>
              <w:jc w:val="center"/>
            </w:pPr>
            <w:r>
              <w:rPr>
                <w:rFonts w:hint="eastAsia" w:ascii="仿宋" w:hAnsi="仿宋" w:eastAsia="仿宋" w:cs="仿宋"/>
                <w:color w:val="000000"/>
                <w:szCs w:val="21"/>
              </w:rPr>
              <w:t>2745.944</w:t>
            </w:r>
          </w:p>
        </w:tc>
        <w:tc>
          <w:tcPr>
            <w:tcW w:w="1315" w:type="dxa"/>
            <w:vAlign w:val="center"/>
          </w:tcPr>
          <w:p>
            <w:pPr>
              <w:jc w:val="center"/>
            </w:pPr>
            <w:r>
              <w:rPr>
                <w:rFonts w:hint="eastAsia"/>
              </w:rPr>
              <w:t>1407.6</w:t>
            </w:r>
          </w:p>
        </w:tc>
        <w:tc>
          <w:tcPr>
            <w:tcW w:w="696" w:type="dxa"/>
            <w:vAlign w:val="center"/>
          </w:tcPr>
          <w:p>
            <w:pPr>
              <w:jc w:val="center"/>
            </w:pPr>
            <w:r>
              <w:rPr>
                <w:rFonts w:hint="eastAsia"/>
              </w:rPr>
              <w:t>10</w:t>
            </w:r>
          </w:p>
        </w:tc>
        <w:tc>
          <w:tcPr>
            <w:tcW w:w="1009" w:type="dxa"/>
            <w:vAlign w:val="center"/>
          </w:tcPr>
          <w:p>
            <w:pPr>
              <w:jc w:val="center"/>
            </w:pPr>
            <w:r>
              <w:rPr>
                <w:rFonts w:hint="eastAsia"/>
              </w:rPr>
              <w:t>51.26%</w:t>
            </w:r>
          </w:p>
        </w:tc>
        <w:tc>
          <w:tcPr>
            <w:tcW w:w="1617" w:type="dxa"/>
            <w:gridSpan w:val="2"/>
            <w:vAlign w:val="center"/>
          </w:tcPr>
          <w:p>
            <w:pPr>
              <w:jc w:val="center"/>
            </w:pPr>
            <w:r>
              <w:rPr>
                <w:rFonts w:hint="eastAsia"/>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vAlign w:val="center"/>
          </w:tcPr>
          <w:p>
            <w:pPr>
              <w:jc w:val="center"/>
            </w:pPr>
          </w:p>
        </w:tc>
        <w:tc>
          <w:tcPr>
            <w:tcW w:w="726" w:type="dxa"/>
            <w:vAlign w:val="center"/>
          </w:tcPr>
          <w:p>
            <w:pPr>
              <w:jc w:val="center"/>
            </w:pPr>
          </w:p>
        </w:tc>
        <w:tc>
          <w:tcPr>
            <w:tcW w:w="812" w:type="dxa"/>
            <w:vAlign w:val="center"/>
          </w:tcPr>
          <w:p>
            <w:pPr>
              <w:jc w:val="center"/>
            </w:pPr>
          </w:p>
        </w:tc>
        <w:tc>
          <w:tcPr>
            <w:tcW w:w="1541" w:type="dxa"/>
            <w:vAlign w:val="center"/>
          </w:tcPr>
          <w:p>
            <w:pPr>
              <w:jc w:val="center"/>
            </w:pPr>
            <w:r>
              <w:rPr>
                <w:rFonts w:hint="eastAsia"/>
              </w:rPr>
              <w:t>其中：本年财政拨款</w:t>
            </w:r>
          </w:p>
        </w:tc>
        <w:tc>
          <w:tcPr>
            <w:tcW w:w="799" w:type="dxa"/>
            <w:vAlign w:val="center"/>
          </w:tcPr>
          <w:p>
            <w:pPr>
              <w:jc w:val="center"/>
            </w:pPr>
            <w:r>
              <w:rPr>
                <w:rFonts w:hint="eastAsia" w:ascii="仿宋" w:hAnsi="仿宋" w:eastAsia="仿宋" w:cs="仿宋"/>
                <w:color w:val="000000"/>
                <w:szCs w:val="21"/>
              </w:rPr>
              <w:t>2745.944</w:t>
            </w:r>
          </w:p>
        </w:tc>
        <w:tc>
          <w:tcPr>
            <w:tcW w:w="1315" w:type="dxa"/>
            <w:vAlign w:val="center"/>
          </w:tcPr>
          <w:p>
            <w:pPr>
              <w:jc w:val="center"/>
            </w:pPr>
            <w:r>
              <w:rPr>
                <w:rFonts w:hint="eastAsia"/>
              </w:rPr>
              <w:t>1407.6</w:t>
            </w:r>
          </w:p>
        </w:tc>
        <w:tc>
          <w:tcPr>
            <w:tcW w:w="696" w:type="dxa"/>
            <w:vAlign w:val="center"/>
          </w:tcPr>
          <w:p>
            <w:pPr>
              <w:jc w:val="center"/>
            </w:pPr>
            <w:r>
              <w:rPr>
                <w:rFonts w:hint="eastAsia"/>
              </w:rPr>
              <w:t>-</w:t>
            </w:r>
          </w:p>
        </w:tc>
        <w:tc>
          <w:tcPr>
            <w:tcW w:w="1009" w:type="dxa"/>
            <w:vAlign w:val="center"/>
          </w:tcPr>
          <w:p>
            <w:pPr>
              <w:jc w:val="center"/>
            </w:pPr>
          </w:p>
        </w:tc>
        <w:tc>
          <w:tcPr>
            <w:tcW w:w="1617" w:type="dxa"/>
            <w:gridSpan w:val="2"/>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7" w:hRule="atLeast"/>
        </w:trPr>
        <w:tc>
          <w:tcPr>
            <w:tcW w:w="420" w:type="dxa"/>
            <w:vAlign w:val="center"/>
          </w:tcPr>
          <w:p>
            <w:pPr>
              <w:jc w:val="center"/>
            </w:pPr>
          </w:p>
        </w:tc>
        <w:tc>
          <w:tcPr>
            <w:tcW w:w="726" w:type="dxa"/>
            <w:vAlign w:val="center"/>
          </w:tcPr>
          <w:p>
            <w:pPr>
              <w:jc w:val="center"/>
            </w:pPr>
          </w:p>
        </w:tc>
        <w:tc>
          <w:tcPr>
            <w:tcW w:w="812" w:type="dxa"/>
            <w:vAlign w:val="center"/>
          </w:tcPr>
          <w:p>
            <w:pPr>
              <w:jc w:val="center"/>
            </w:pPr>
          </w:p>
        </w:tc>
        <w:tc>
          <w:tcPr>
            <w:tcW w:w="1541" w:type="dxa"/>
            <w:vAlign w:val="center"/>
          </w:tcPr>
          <w:p>
            <w:pPr>
              <w:jc w:val="center"/>
            </w:pPr>
            <w:r>
              <w:rPr>
                <w:rFonts w:hint="eastAsia"/>
              </w:rPr>
              <w:t>其他</w:t>
            </w:r>
          </w:p>
          <w:p>
            <w:pPr>
              <w:jc w:val="center"/>
            </w:pPr>
            <w:r>
              <w:rPr>
                <w:rFonts w:hint="eastAsia"/>
              </w:rPr>
              <w:t>资金</w:t>
            </w:r>
          </w:p>
        </w:tc>
        <w:tc>
          <w:tcPr>
            <w:tcW w:w="799" w:type="dxa"/>
            <w:vAlign w:val="center"/>
          </w:tcPr>
          <w:p>
            <w:pPr>
              <w:jc w:val="center"/>
            </w:pPr>
          </w:p>
        </w:tc>
        <w:tc>
          <w:tcPr>
            <w:tcW w:w="1315" w:type="dxa"/>
            <w:vAlign w:val="center"/>
          </w:tcPr>
          <w:p>
            <w:pPr>
              <w:jc w:val="center"/>
            </w:pPr>
          </w:p>
        </w:tc>
        <w:tc>
          <w:tcPr>
            <w:tcW w:w="696" w:type="dxa"/>
            <w:vAlign w:val="center"/>
          </w:tcPr>
          <w:p>
            <w:pPr>
              <w:jc w:val="center"/>
            </w:pPr>
            <w:r>
              <w:rPr>
                <w:rFonts w:hint="eastAsia"/>
              </w:rPr>
              <w:t>-</w:t>
            </w:r>
          </w:p>
        </w:tc>
        <w:tc>
          <w:tcPr>
            <w:tcW w:w="1009" w:type="dxa"/>
            <w:vAlign w:val="center"/>
          </w:tcPr>
          <w:p>
            <w:pPr>
              <w:jc w:val="center"/>
            </w:pPr>
          </w:p>
        </w:tc>
        <w:tc>
          <w:tcPr>
            <w:tcW w:w="1617" w:type="dxa"/>
            <w:gridSpan w:val="2"/>
            <w:vAlign w:val="center"/>
          </w:tcPr>
          <w:p>
            <w:pPr>
              <w:jc w:val="center"/>
            </w:pPr>
            <w:r>
              <w:rPr>
                <w:rFonts w:hint="eastAsia"/>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5" w:type="dxa"/>
          <w:trHeight w:val="313" w:hRule="atLeast"/>
        </w:trPr>
        <w:tc>
          <w:tcPr>
            <w:tcW w:w="420" w:type="dxa"/>
            <w:vMerge w:val="restart"/>
            <w:vAlign w:val="center"/>
          </w:tcPr>
          <w:p>
            <w:pPr>
              <w:jc w:val="center"/>
            </w:pPr>
            <w:r>
              <w:rPr>
                <w:rFonts w:hint="eastAsia"/>
              </w:rPr>
              <w:t>年</w:t>
            </w:r>
          </w:p>
          <w:p>
            <w:pPr>
              <w:jc w:val="center"/>
            </w:pPr>
            <w:r>
              <w:rPr>
                <w:rFonts w:hint="eastAsia"/>
              </w:rPr>
              <w:t>度</w:t>
            </w:r>
          </w:p>
          <w:p>
            <w:pPr>
              <w:jc w:val="center"/>
            </w:pPr>
            <w:r>
              <w:rPr>
                <w:rFonts w:hint="eastAsia"/>
              </w:rPr>
              <w:t>总</w:t>
            </w:r>
          </w:p>
          <w:p>
            <w:pPr>
              <w:jc w:val="center"/>
            </w:pPr>
            <w:r>
              <w:rPr>
                <w:rFonts w:hint="eastAsia"/>
              </w:rPr>
              <w:t>体</w:t>
            </w:r>
          </w:p>
          <w:p>
            <w:pPr>
              <w:jc w:val="center"/>
            </w:pPr>
            <w:r>
              <w:rPr>
                <w:rFonts w:hint="eastAsia"/>
              </w:rPr>
              <w:t>目</w:t>
            </w:r>
          </w:p>
          <w:p>
            <w:pPr>
              <w:jc w:val="center"/>
            </w:pPr>
            <w:r>
              <w:rPr>
                <w:rFonts w:hint="eastAsia"/>
              </w:rPr>
              <w:t>标</w:t>
            </w:r>
          </w:p>
        </w:tc>
        <w:tc>
          <w:tcPr>
            <w:tcW w:w="3878" w:type="dxa"/>
            <w:gridSpan w:val="4"/>
            <w:vAlign w:val="center"/>
          </w:tcPr>
          <w:p>
            <w:pPr>
              <w:jc w:val="center"/>
            </w:pPr>
            <w:r>
              <w:rPr>
                <w:rFonts w:hint="eastAsia"/>
              </w:rPr>
              <w:t>年初设定目标</w:t>
            </w:r>
          </w:p>
        </w:tc>
        <w:tc>
          <w:tcPr>
            <w:tcW w:w="4622" w:type="dxa"/>
            <w:gridSpan w:val="4"/>
            <w:vAlign w:val="center"/>
          </w:tcPr>
          <w:p>
            <w:pPr>
              <w:jc w:val="center"/>
            </w:pPr>
            <w:r>
              <w:rPr>
                <w:rFonts w:hint="eastAsia"/>
              </w:rPr>
              <w:t>年度总体目标完成情况综述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2" w:hRule="atLeast"/>
        </w:trPr>
        <w:tc>
          <w:tcPr>
            <w:tcW w:w="420" w:type="dxa"/>
            <w:vMerge w:val="continue"/>
            <w:vAlign w:val="center"/>
          </w:tcPr>
          <w:p>
            <w:pPr>
              <w:jc w:val="center"/>
            </w:pPr>
          </w:p>
        </w:tc>
        <w:tc>
          <w:tcPr>
            <w:tcW w:w="3878" w:type="dxa"/>
            <w:gridSpan w:val="4"/>
            <w:vAlign w:val="center"/>
          </w:tcPr>
          <w:p>
            <w:pPr>
              <w:jc w:val="left"/>
            </w:pPr>
            <w:r>
              <w:rPr>
                <w:rFonts w:hint="eastAsia" w:ascii="仿宋" w:hAnsi="仿宋" w:eastAsia="仿宋" w:cs="仿宋"/>
                <w:color w:val="000000"/>
                <w:szCs w:val="21"/>
              </w:rPr>
              <w:t>完成全县范围内农村宅基地和集体建设用地权“房地一体”权籍调查和确权登记发证工作为目标，建立覆盖城乡的不动产统一登记体系，为我县实施农村产权制度改革奠定产权基础。</w:t>
            </w:r>
          </w:p>
        </w:tc>
        <w:tc>
          <w:tcPr>
            <w:tcW w:w="4637" w:type="dxa"/>
            <w:gridSpan w:val="5"/>
            <w:vAlign w:val="center"/>
          </w:tcPr>
          <w:p>
            <w:pPr>
              <w:jc w:val="left"/>
            </w:pPr>
            <w:r>
              <w:rPr>
                <w:rFonts w:hint="eastAsia" w:ascii="仿宋" w:hAnsi="仿宋" w:eastAsia="仿宋" w:cs="仿宋"/>
                <w:color w:val="000000"/>
                <w:szCs w:val="21"/>
              </w:rPr>
              <w:t>完成全县范围内农村宅基地和集体建设用地权“房地一体”权籍调查和确权登记发证工作，建立覆盖城乡的不动产统一登记体系。</w:t>
            </w:r>
            <w: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Align w:val="center"/>
          </w:tcPr>
          <w:p>
            <w:pPr>
              <w:jc w:val="center"/>
            </w:pPr>
          </w:p>
        </w:tc>
        <w:tc>
          <w:tcPr>
            <w:tcW w:w="812" w:type="dxa"/>
            <w:vAlign w:val="center"/>
          </w:tcPr>
          <w:p>
            <w:pPr>
              <w:jc w:val="center"/>
            </w:pP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0" w:hRule="atLeast"/>
        </w:trPr>
        <w:tc>
          <w:tcPr>
            <w:tcW w:w="420" w:type="dxa"/>
            <w:vMerge w:val="restart"/>
            <w:vAlign w:val="center"/>
          </w:tcPr>
          <w:p>
            <w:pPr>
              <w:jc w:val="center"/>
            </w:pPr>
            <w:r>
              <w:rPr>
                <w:rFonts w:hint="eastAsia"/>
              </w:rPr>
              <w:t>绩</w:t>
            </w:r>
          </w:p>
          <w:p>
            <w:pPr>
              <w:jc w:val="center"/>
            </w:pPr>
            <w:r>
              <w:rPr>
                <w:rFonts w:hint="eastAsia"/>
              </w:rPr>
              <w:t>效</w:t>
            </w:r>
          </w:p>
          <w:p>
            <w:pPr>
              <w:jc w:val="center"/>
            </w:pPr>
            <w:r>
              <w:rPr>
                <w:rFonts w:hint="eastAsia"/>
              </w:rPr>
              <w:t>指</w:t>
            </w:r>
          </w:p>
          <w:p>
            <w:pPr>
              <w:jc w:val="center"/>
            </w:pPr>
            <w:r>
              <w:rPr>
                <w:rFonts w:hint="eastAsia"/>
              </w:rPr>
              <w:t>标</w:t>
            </w:r>
          </w:p>
        </w:tc>
        <w:tc>
          <w:tcPr>
            <w:tcW w:w="726" w:type="dxa"/>
            <w:vAlign w:val="center"/>
          </w:tcPr>
          <w:p>
            <w:pPr>
              <w:jc w:val="center"/>
            </w:pPr>
            <w:r>
              <w:rPr>
                <w:rFonts w:hint="eastAsia"/>
              </w:rPr>
              <w:t>一级指标</w:t>
            </w:r>
          </w:p>
        </w:tc>
        <w:tc>
          <w:tcPr>
            <w:tcW w:w="812" w:type="dxa"/>
            <w:vAlign w:val="center"/>
          </w:tcPr>
          <w:p>
            <w:pPr>
              <w:jc w:val="center"/>
            </w:pPr>
            <w:r>
              <w:rPr>
                <w:rFonts w:hint="eastAsia"/>
              </w:rPr>
              <w:t>二级指标</w:t>
            </w:r>
          </w:p>
        </w:tc>
        <w:tc>
          <w:tcPr>
            <w:tcW w:w="1541" w:type="dxa"/>
            <w:vAlign w:val="center"/>
          </w:tcPr>
          <w:p>
            <w:pPr>
              <w:jc w:val="center"/>
            </w:pPr>
            <w:r>
              <w:rPr>
                <w:rFonts w:hint="eastAsia"/>
              </w:rPr>
              <w:t>三级指标</w:t>
            </w:r>
          </w:p>
        </w:tc>
        <w:tc>
          <w:tcPr>
            <w:tcW w:w="799" w:type="dxa"/>
            <w:vAlign w:val="center"/>
          </w:tcPr>
          <w:p>
            <w:pPr>
              <w:jc w:val="center"/>
            </w:pPr>
            <w:r>
              <w:rPr>
                <w:rFonts w:hint="eastAsia"/>
              </w:rPr>
              <w:t>分值</w:t>
            </w:r>
          </w:p>
        </w:tc>
        <w:tc>
          <w:tcPr>
            <w:tcW w:w="1315" w:type="dxa"/>
            <w:vAlign w:val="center"/>
          </w:tcPr>
          <w:p>
            <w:pPr>
              <w:jc w:val="center"/>
            </w:pPr>
            <w:r>
              <w:rPr>
                <w:rFonts w:hint="eastAsia"/>
              </w:rPr>
              <w:t>年度指标值</w:t>
            </w:r>
          </w:p>
        </w:tc>
        <w:tc>
          <w:tcPr>
            <w:tcW w:w="696" w:type="dxa"/>
            <w:vAlign w:val="center"/>
          </w:tcPr>
          <w:p>
            <w:pPr>
              <w:jc w:val="center"/>
            </w:pPr>
            <w:r>
              <w:rPr>
                <w:rFonts w:hint="eastAsia"/>
              </w:rPr>
              <w:t>全年实际值</w:t>
            </w:r>
          </w:p>
        </w:tc>
        <w:tc>
          <w:tcPr>
            <w:tcW w:w="1009" w:type="dxa"/>
            <w:vAlign w:val="center"/>
          </w:tcPr>
          <w:p>
            <w:pPr>
              <w:jc w:val="center"/>
            </w:pPr>
            <w:r>
              <w:rPr>
                <w:rFonts w:hint="eastAsia"/>
              </w:rPr>
              <w:t>得分</w:t>
            </w:r>
          </w:p>
        </w:tc>
        <w:tc>
          <w:tcPr>
            <w:tcW w:w="1617" w:type="dxa"/>
            <w:gridSpan w:val="2"/>
            <w:vAlign w:val="center"/>
          </w:tcPr>
          <w:p>
            <w:pPr>
              <w:jc w:val="center"/>
            </w:pPr>
            <w:r>
              <w:rPr>
                <w:rFonts w:hint="eastAsia"/>
              </w:rPr>
              <w:t>未完成原因及采取的改进措施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restart"/>
            <w:vAlign w:val="center"/>
          </w:tcPr>
          <w:p>
            <w:pPr>
              <w:jc w:val="center"/>
            </w:pPr>
            <w:r>
              <w:rPr>
                <w:rFonts w:hint="eastAsia"/>
              </w:rPr>
              <w:t>产</w:t>
            </w:r>
          </w:p>
          <w:p>
            <w:pPr>
              <w:jc w:val="center"/>
            </w:pPr>
            <w:r>
              <w:rPr>
                <w:rFonts w:hint="eastAsia"/>
              </w:rPr>
              <w:t>出</w:t>
            </w:r>
          </w:p>
          <w:p>
            <w:pPr>
              <w:jc w:val="center"/>
            </w:pPr>
            <w:r>
              <w:rPr>
                <w:rFonts w:hint="eastAsia"/>
              </w:rPr>
              <w:t>指</w:t>
            </w:r>
          </w:p>
          <w:p>
            <w:pPr>
              <w:jc w:val="center"/>
            </w:pPr>
            <w:r>
              <w:rPr>
                <w:rFonts w:hint="eastAsia"/>
              </w:rPr>
              <w:t>标</w:t>
            </w:r>
          </w:p>
          <w:p>
            <w:pPr>
              <w:jc w:val="center"/>
            </w:pPr>
            <w:r>
              <w:rPr>
                <w:rFonts w:hint="eastAsia"/>
              </w:rPr>
              <w:t>（50</w:t>
            </w:r>
          </w:p>
          <w:p>
            <w:pPr>
              <w:jc w:val="center"/>
            </w:pPr>
            <w:r>
              <w:rPr>
                <w:rFonts w:hint="eastAsia"/>
              </w:rPr>
              <w:t>分）</w:t>
            </w:r>
          </w:p>
        </w:tc>
        <w:tc>
          <w:tcPr>
            <w:tcW w:w="812" w:type="dxa"/>
            <w:vAlign w:val="center"/>
          </w:tcPr>
          <w:p>
            <w:pPr>
              <w:jc w:val="center"/>
            </w:pPr>
            <w:r>
              <w:rPr>
                <w:rFonts w:hint="eastAsia"/>
              </w:rPr>
              <w:t>数量指标</w:t>
            </w:r>
          </w:p>
        </w:tc>
        <w:tc>
          <w:tcPr>
            <w:tcW w:w="1541" w:type="dxa"/>
            <w:vAlign w:val="center"/>
          </w:tcPr>
          <w:p>
            <w:pPr>
              <w:jc w:val="center"/>
            </w:pPr>
            <w:r>
              <w:rPr>
                <w:rFonts w:hint="eastAsia" w:ascii="仿宋" w:hAnsi="仿宋" w:eastAsia="仿宋" w:cs="仿宋"/>
                <w:color w:val="000000"/>
                <w:szCs w:val="21"/>
              </w:rPr>
              <w:t>农村宅基地和集体建设用地宗数</w:t>
            </w:r>
          </w:p>
        </w:tc>
        <w:tc>
          <w:tcPr>
            <w:tcW w:w="799" w:type="dxa"/>
            <w:vAlign w:val="center"/>
          </w:tcPr>
          <w:p>
            <w:pPr>
              <w:jc w:val="center"/>
            </w:pPr>
            <w:r>
              <w:rPr>
                <w:rFonts w:hint="eastAsia"/>
              </w:rPr>
              <w:t>20</w:t>
            </w:r>
          </w:p>
        </w:tc>
        <w:tc>
          <w:tcPr>
            <w:tcW w:w="1315" w:type="dxa"/>
            <w:vAlign w:val="center"/>
          </w:tcPr>
          <w:p>
            <w:pPr>
              <w:jc w:val="center"/>
            </w:pPr>
            <w:r>
              <w:rPr>
                <w:rFonts w:hint="eastAsia" w:ascii="仿宋" w:hAnsi="仿宋" w:eastAsia="仿宋" w:cs="仿宋"/>
                <w:color w:val="000000"/>
                <w:szCs w:val="21"/>
              </w:rPr>
              <w:t>230007</w:t>
            </w:r>
          </w:p>
        </w:tc>
        <w:tc>
          <w:tcPr>
            <w:tcW w:w="696" w:type="dxa"/>
            <w:vAlign w:val="center"/>
          </w:tcPr>
          <w:p>
            <w:pPr>
              <w:jc w:val="center"/>
            </w:pPr>
            <w:r>
              <w:rPr>
                <w:rFonts w:hint="eastAsia" w:ascii="仿宋" w:hAnsi="仿宋" w:eastAsia="仿宋" w:cs="仿宋"/>
                <w:color w:val="000000"/>
                <w:szCs w:val="21"/>
              </w:rPr>
              <w:t>230007</w:t>
            </w:r>
          </w:p>
        </w:tc>
        <w:tc>
          <w:tcPr>
            <w:tcW w:w="1009" w:type="dxa"/>
            <w:vAlign w:val="center"/>
          </w:tcPr>
          <w:p>
            <w:pPr>
              <w:jc w:val="center"/>
            </w:pPr>
            <w:r>
              <w:rPr>
                <w:rFonts w:hint="eastAsia"/>
              </w:rPr>
              <w:t>20</w:t>
            </w:r>
          </w:p>
        </w:tc>
        <w:tc>
          <w:tcPr>
            <w:tcW w:w="16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质量指标</w:t>
            </w:r>
          </w:p>
        </w:tc>
        <w:tc>
          <w:tcPr>
            <w:tcW w:w="1541" w:type="dxa"/>
            <w:vAlign w:val="center"/>
          </w:tcPr>
          <w:p>
            <w:pPr>
              <w:jc w:val="center"/>
            </w:pPr>
            <w:r>
              <w:rPr>
                <w:rFonts w:hint="eastAsia" w:ascii="仿宋" w:hAnsi="仿宋" w:eastAsia="仿宋" w:cs="仿宋"/>
                <w:bCs/>
                <w:color w:val="000000"/>
                <w:szCs w:val="21"/>
              </w:rPr>
              <w:t>初步成果通过省、市级验收</w:t>
            </w:r>
          </w:p>
        </w:tc>
        <w:tc>
          <w:tcPr>
            <w:tcW w:w="799" w:type="dxa"/>
            <w:vAlign w:val="center"/>
          </w:tcPr>
          <w:p>
            <w:pPr>
              <w:jc w:val="center"/>
            </w:pPr>
            <w:r>
              <w:rPr>
                <w:rFonts w:hint="eastAsia"/>
              </w:rPr>
              <w:t>20</w:t>
            </w:r>
          </w:p>
        </w:tc>
        <w:tc>
          <w:tcPr>
            <w:tcW w:w="1315" w:type="dxa"/>
            <w:vAlign w:val="center"/>
          </w:tcPr>
          <w:p>
            <w:pPr>
              <w:jc w:val="center"/>
            </w:pPr>
            <w:r>
              <w:rPr>
                <w:rFonts w:hint="eastAsia"/>
              </w:rPr>
              <w:t>合格</w:t>
            </w:r>
          </w:p>
        </w:tc>
        <w:tc>
          <w:tcPr>
            <w:tcW w:w="696" w:type="dxa"/>
            <w:vAlign w:val="center"/>
          </w:tcPr>
          <w:p>
            <w:pPr>
              <w:jc w:val="center"/>
            </w:pPr>
            <w:r>
              <w:rPr>
                <w:rFonts w:hint="eastAsia"/>
              </w:rPr>
              <w:t>合格</w:t>
            </w:r>
          </w:p>
        </w:tc>
        <w:tc>
          <w:tcPr>
            <w:tcW w:w="1009" w:type="dxa"/>
            <w:vAlign w:val="center"/>
          </w:tcPr>
          <w:p>
            <w:pPr>
              <w:jc w:val="center"/>
            </w:pPr>
            <w:r>
              <w:rPr>
                <w:rFonts w:hint="eastAsia"/>
              </w:rPr>
              <w:t>20</w:t>
            </w:r>
          </w:p>
        </w:tc>
        <w:tc>
          <w:tcPr>
            <w:tcW w:w="16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时效指标</w:t>
            </w:r>
          </w:p>
        </w:tc>
        <w:tc>
          <w:tcPr>
            <w:tcW w:w="1541" w:type="dxa"/>
            <w:vAlign w:val="center"/>
          </w:tcPr>
          <w:p>
            <w:pPr>
              <w:jc w:val="center"/>
            </w:pPr>
            <w:r>
              <w:rPr>
                <w:rFonts w:hint="eastAsia"/>
              </w:rPr>
              <w:t>2021年12月完成</w:t>
            </w:r>
          </w:p>
        </w:tc>
        <w:tc>
          <w:tcPr>
            <w:tcW w:w="799" w:type="dxa"/>
            <w:vAlign w:val="center"/>
          </w:tcPr>
          <w:p>
            <w:pPr>
              <w:jc w:val="center"/>
            </w:pPr>
            <w:r>
              <w:rPr>
                <w:rFonts w:hint="eastAsia"/>
              </w:rPr>
              <w:t>10</w:t>
            </w:r>
          </w:p>
        </w:tc>
        <w:tc>
          <w:tcPr>
            <w:tcW w:w="1315" w:type="dxa"/>
            <w:vAlign w:val="center"/>
          </w:tcPr>
          <w:p>
            <w:pPr>
              <w:jc w:val="center"/>
            </w:pPr>
            <w:r>
              <w:rPr>
                <w:rFonts w:hint="eastAsia"/>
              </w:rPr>
              <w:t>100%</w:t>
            </w:r>
          </w:p>
        </w:tc>
        <w:tc>
          <w:tcPr>
            <w:tcW w:w="696" w:type="dxa"/>
            <w:vAlign w:val="center"/>
          </w:tcPr>
          <w:p>
            <w:pPr>
              <w:jc w:val="center"/>
            </w:pPr>
            <w:r>
              <w:rPr>
                <w:rFonts w:hint="eastAsia"/>
              </w:rPr>
              <w:t>90%</w:t>
            </w:r>
          </w:p>
        </w:tc>
        <w:tc>
          <w:tcPr>
            <w:tcW w:w="1009" w:type="dxa"/>
            <w:vAlign w:val="center"/>
          </w:tcPr>
          <w:p>
            <w:pPr>
              <w:jc w:val="center"/>
            </w:pPr>
            <w:r>
              <w:rPr>
                <w:rFonts w:hint="eastAsia"/>
              </w:rPr>
              <w:t>8</w:t>
            </w:r>
          </w:p>
        </w:tc>
        <w:tc>
          <w:tcPr>
            <w:tcW w:w="16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成本指标</w:t>
            </w:r>
          </w:p>
        </w:tc>
        <w:tc>
          <w:tcPr>
            <w:tcW w:w="1541" w:type="dxa"/>
            <w:vAlign w:val="center"/>
          </w:tcPr>
          <w:p>
            <w:pPr>
              <w:jc w:val="center"/>
            </w:pPr>
            <w:r>
              <w:rPr>
                <w:rFonts w:hint="eastAsia" w:ascii="仿宋" w:hAnsi="仿宋" w:eastAsia="仿宋" w:cs="仿宋"/>
                <w:bCs/>
                <w:color w:val="000000"/>
                <w:szCs w:val="21"/>
              </w:rPr>
              <w:t>240元/宗</w:t>
            </w:r>
          </w:p>
        </w:tc>
        <w:tc>
          <w:tcPr>
            <w:tcW w:w="799" w:type="dxa"/>
            <w:vAlign w:val="center"/>
          </w:tcPr>
          <w:p>
            <w:pPr>
              <w:jc w:val="center"/>
            </w:pPr>
            <w:r>
              <w:rPr>
                <w:rFonts w:hint="eastAsia"/>
              </w:rPr>
              <w:t>10</w:t>
            </w:r>
          </w:p>
        </w:tc>
        <w:tc>
          <w:tcPr>
            <w:tcW w:w="1315" w:type="dxa"/>
            <w:vAlign w:val="center"/>
          </w:tcPr>
          <w:p>
            <w:pPr>
              <w:jc w:val="center"/>
            </w:pPr>
            <w:r>
              <w:rPr>
                <w:rFonts w:hint="eastAsia" w:ascii="仿宋" w:hAnsi="仿宋" w:eastAsia="仿宋" w:cs="仿宋"/>
                <w:bCs/>
                <w:color w:val="000000"/>
                <w:szCs w:val="21"/>
              </w:rPr>
              <w:t>240元/宗</w:t>
            </w:r>
          </w:p>
        </w:tc>
        <w:tc>
          <w:tcPr>
            <w:tcW w:w="696" w:type="dxa"/>
            <w:vAlign w:val="center"/>
          </w:tcPr>
          <w:p>
            <w:pPr>
              <w:jc w:val="center"/>
            </w:pPr>
            <w:r>
              <w:rPr>
                <w:rFonts w:hint="eastAsia"/>
              </w:rPr>
              <w:t>100%</w:t>
            </w:r>
          </w:p>
        </w:tc>
        <w:tc>
          <w:tcPr>
            <w:tcW w:w="1009" w:type="dxa"/>
            <w:vAlign w:val="center"/>
          </w:tcPr>
          <w:p>
            <w:pPr>
              <w:jc w:val="center"/>
            </w:pPr>
            <w:r>
              <w:rPr>
                <w:rFonts w:hint="eastAsia"/>
              </w:rPr>
              <w:t>10</w:t>
            </w:r>
          </w:p>
        </w:tc>
        <w:tc>
          <w:tcPr>
            <w:tcW w:w="1617" w:type="dxa"/>
            <w:gridSpan w:val="2"/>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w:t>
            </w: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gridSpan w:val="2"/>
            <w:vAlign w:val="center"/>
          </w:tcPr>
          <w:p>
            <w:pPr>
              <w:jc w:val="center"/>
            </w:pPr>
          </w:p>
        </w:tc>
      </w:tr>
    </w:tbl>
    <w:p>
      <w:r>
        <w:br w:type="page"/>
      </w:r>
    </w:p>
    <w:tbl>
      <w:tblPr>
        <w:tblStyle w:val="4"/>
        <w:tblpPr w:leftFromText="180" w:rightFromText="180" w:vertAnchor="page" w:horzAnchor="page" w:tblpX="1792" w:tblpY="1913"/>
        <w:tblOverlap w:val="never"/>
        <w:tblW w:w="893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
        <w:gridCol w:w="726"/>
        <w:gridCol w:w="812"/>
        <w:gridCol w:w="1541"/>
        <w:gridCol w:w="799"/>
        <w:gridCol w:w="1315"/>
        <w:gridCol w:w="696"/>
        <w:gridCol w:w="1009"/>
        <w:gridCol w:w="16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1" w:hRule="atLeast"/>
        </w:trPr>
        <w:tc>
          <w:tcPr>
            <w:tcW w:w="420" w:type="dxa"/>
            <w:vMerge w:val="restart"/>
            <w:vAlign w:val="center"/>
          </w:tcPr>
          <w:p>
            <w:pPr>
              <w:jc w:val="center"/>
            </w:pPr>
          </w:p>
        </w:tc>
        <w:tc>
          <w:tcPr>
            <w:tcW w:w="726" w:type="dxa"/>
            <w:vMerge w:val="restart"/>
            <w:vAlign w:val="center"/>
          </w:tcPr>
          <w:p>
            <w:pPr>
              <w:jc w:val="center"/>
            </w:pPr>
            <w:r>
              <w:rPr>
                <w:rFonts w:hint="eastAsia"/>
              </w:rPr>
              <w:t>效</w:t>
            </w:r>
          </w:p>
          <w:p>
            <w:pPr>
              <w:jc w:val="center"/>
            </w:pPr>
            <w:r>
              <w:rPr>
                <w:rFonts w:hint="eastAsia"/>
              </w:rPr>
              <w:t>效益</w:t>
            </w:r>
          </w:p>
          <w:p>
            <w:pPr>
              <w:jc w:val="center"/>
            </w:pPr>
            <w:r>
              <w:rPr>
                <w:rFonts w:hint="eastAsia"/>
              </w:rPr>
              <w:t>指</w:t>
            </w:r>
          </w:p>
          <w:p>
            <w:pPr>
              <w:jc w:val="center"/>
            </w:pPr>
            <w:r>
              <w:rPr>
                <w:rFonts w:hint="eastAsia"/>
              </w:rPr>
              <w:t>标</w:t>
            </w:r>
          </w:p>
          <w:p>
            <w:pPr>
              <w:jc w:val="center"/>
            </w:pPr>
            <w:r>
              <w:rPr>
                <w:rFonts w:hint="eastAsia"/>
              </w:rPr>
              <w:t>（30</w:t>
            </w:r>
          </w:p>
          <w:p>
            <w:pPr>
              <w:jc w:val="center"/>
            </w:pPr>
            <w:r>
              <w:rPr>
                <w:rFonts w:hint="eastAsia"/>
              </w:rPr>
              <w:t>分）</w:t>
            </w:r>
          </w:p>
        </w:tc>
        <w:tc>
          <w:tcPr>
            <w:tcW w:w="812" w:type="dxa"/>
            <w:vAlign w:val="center"/>
          </w:tcPr>
          <w:p>
            <w:pPr>
              <w:jc w:val="center"/>
            </w:pPr>
            <w:r>
              <w:rPr>
                <w:rFonts w:hint="eastAsia"/>
              </w:rPr>
              <w:t>经济效益指标</w:t>
            </w: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社会效益指标</w:t>
            </w:r>
          </w:p>
        </w:tc>
        <w:tc>
          <w:tcPr>
            <w:tcW w:w="1541" w:type="dxa"/>
            <w:vAlign w:val="center"/>
          </w:tcPr>
          <w:p>
            <w:pPr>
              <w:jc w:val="center"/>
            </w:pPr>
            <w:r>
              <w:rPr>
                <w:rFonts w:hint="eastAsia" w:ascii="仿宋" w:hAnsi="仿宋" w:eastAsia="仿宋" w:cs="仿宋"/>
                <w:color w:val="000000"/>
                <w:szCs w:val="21"/>
              </w:rPr>
              <w:t>稳定农村改革发展、乡村振兴和保护农民切身利益</w:t>
            </w:r>
          </w:p>
        </w:tc>
        <w:tc>
          <w:tcPr>
            <w:tcW w:w="799" w:type="dxa"/>
            <w:vAlign w:val="center"/>
          </w:tcPr>
          <w:p>
            <w:pPr>
              <w:jc w:val="center"/>
            </w:pPr>
            <w:r>
              <w:rPr>
                <w:rFonts w:hint="eastAsia"/>
              </w:rPr>
              <w:t>10</w:t>
            </w:r>
          </w:p>
        </w:tc>
        <w:tc>
          <w:tcPr>
            <w:tcW w:w="1315" w:type="dxa"/>
            <w:vAlign w:val="center"/>
          </w:tcPr>
          <w:p>
            <w:pPr>
              <w:jc w:val="center"/>
            </w:pPr>
            <w:r>
              <w:rPr>
                <w:rFonts w:hint="eastAsia"/>
              </w:rPr>
              <w:t>提升</w:t>
            </w:r>
          </w:p>
        </w:tc>
        <w:tc>
          <w:tcPr>
            <w:tcW w:w="696" w:type="dxa"/>
            <w:vAlign w:val="center"/>
          </w:tcPr>
          <w:p>
            <w:pPr>
              <w:jc w:val="center"/>
            </w:pPr>
            <w:r>
              <w:rPr>
                <w:rFonts w:hint="eastAsia"/>
              </w:rPr>
              <w:t>提升</w:t>
            </w:r>
          </w:p>
        </w:tc>
        <w:tc>
          <w:tcPr>
            <w:tcW w:w="1009" w:type="dxa"/>
            <w:vAlign w:val="center"/>
          </w:tcPr>
          <w:p>
            <w:pPr>
              <w:jc w:val="center"/>
            </w:pPr>
            <w:r>
              <w:rPr>
                <w:rFonts w:hint="eastAsia"/>
              </w:rPr>
              <w:t>10</w:t>
            </w: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生态效益指标</w:t>
            </w: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3"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可持续影响指标</w:t>
            </w:r>
          </w:p>
        </w:tc>
        <w:tc>
          <w:tcPr>
            <w:tcW w:w="1541" w:type="dxa"/>
            <w:vAlign w:val="center"/>
          </w:tcPr>
          <w:p>
            <w:pPr>
              <w:jc w:val="center"/>
            </w:pPr>
            <w:r>
              <w:rPr>
                <w:rFonts w:hint="eastAsia" w:ascii="仿宋" w:hAnsi="仿宋" w:eastAsia="仿宋" w:cs="仿宋"/>
                <w:szCs w:val="21"/>
              </w:rPr>
              <w:t>为我县实施农村产权制度改革奠定产权基础</w:t>
            </w:r>
          </w:p>
        </w:tc>
        <w:tc>
          <w:tcPr>
            <w:tcW w:w="799" w:type="dxa"/>
            <w:vAlign w:val="center"/>
          </w:tcPr>
          <w:p>
            <w:pPr>
              <w:jc w:val="center"/>
            </w:pPr>
            <w:r>
              <w:rPr>
                <w:rFonts w:hint="eastAsia"/>
              </w:rPr>
              <w:t>10</w:t>
            </w:r>
          </w:p>
        </w:tc>
        <w:tc>
          <w:tcPr>
            <w:tcW w:w="1315" w:type="dxa"/>
            <w:vAlign w:val="center"/>
          </w:tcPr>
          <w:p>
            <w:pPr>
              <w:jc w:val="center"/>
            </w:pPr>
            <w:r>
              <w:rPr>
                <w:rFonts w:hint="eastAsia"/>
              </w:rPr>
              <w:t>长期</w:t>
            </w:r>
          </w:p>
        </w:tc>
        <w:tc>
          <w:tcPr>
            <w:tcW w:w="696" w:type="dxa"/>
            <w:vAlign w:val="center"/>
          </w:tcPr>
          <w:p>
            <w:pPr>
              <w:jc w:val="center"/>
            </w:pPr>
            <w:r>
              <w:rPr>
                <w:rFonts w:hint="eastAsia"/>
              </w:rPr>
              <w:t>长期</w:t>
            </w:r>
          </w:p>
        </w:tc>
        <w:tc>
          <w:tcPr>
            <w:tcW w:w="1009" w:type="dxa"/>
            <w:vAlign w:val="center"/>
          </w:tcPr>
          <w:p>
            <w:pPr>
              <w:jc w:val="center"/>
            </w:pPr>
            <w:r>
              <w:rPr>
                <w:rFonts w:hint="eastAsia"/>
              </w:rPr>
              <w:t>10</w:t>
            </w: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w:t>
            </w: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vAlign w:val="center"/>
          </w:tcPr>
          <w:p>
            <w:pPr>
              <w:jc w:val="center"/>
            </w:pPr>
          </w:p>
        </w:tc>
        <w:tc>
          <w:tcPr>
            <w:tcW w:w="726" w:type="dxa"/>
            <w:vMerge w:val="restart"/>
            <w:vAlign w:val="center"/>
          </w:tcPr>
          <w:p>
            <w:pPr>
              <w:jc w:val="center"/>
            </w:pPr>
            <w:r>
              <w:rPr>
                <w:rFonts w:hint="eastAsia"/>
              </w:rPr>
              <w:t>满意度指标（10分）</w:t>
            </w:r>
          </w:p>
        </w:tc>
        <w:tc>
          <w:tcPr>
            <w:tcW w:w="812" w:type="dxa"/>
            <w:vMerge w:val="restart"/>
            <w:vAlign w:val="center"/>
          </w:tcPr>
          <w:p>
            <w:pPr>
              <w:jc w:val="center"/>
            </w:pPr>
            <w:r>
              <w:rPr>
                <w:rFonts w:hint="eastAsia"/>
              </w:rPr>
              <w:t>服务对象满意度指标</w:t>
            </w:r>
          </w:p>
        </w:tc>
        <w:tc>
          <w:tcPr>
            <w:tcW w:w="1541" w:type="dxa"/>
            <w:vAlign w:val="center"/>
          </w:tcPr>
          <w:p>
            <w:pPr>
              <w:jc w:val="center"/>
            </w:pPr>
            <w:r>
              <w:rPr>
                <w:rFonts w:hint="eastAsia"/>
              </w:rPr>
              <w:t>满意度</w:t>
            </w:r>
          </w:p>
        </w:tc>
        <w:tc>
          <w:tcPr>
            <w:tcW w:w="799" w:type="dxa"/>
            <w:vAlign w:val="center"/>
          </w:tcPr>
          <w:p>
            <w:pPr>
              <w:jc w:val="center"/>
            </w:pPr>
            <w:r>
              <w:rPr>
                <w:rFonts w:hint="eastAsia"/>
              </w:rPr>
              <w:t>10</w:t>
            </w:r>
          </w:p>
        </w:tc>
        <w:tc>
          <w:tcPr>
            <w:tcW w:w="1315" w:type="dxa"/>
            <w:vAlign w:val="center"/>
          </w:tcPr>
          <w:p>
            <w:pPr>
              <w:jc w:val="center"/>
            </w:pPr>
            <w:r>
              <w:rPr>
                <w:rFonts w:hint="eastAsia"/>
              </w:rPr>
              <w:t>100</w:t>
            </w:r>
          </w:p>
        </w:tc>
        <w:tc>
          <w:tcPr>
            <w:tcW w:w="696" w:type="dxa"/>
            <w:vAlign w:val="center"/>
          </w:tcPr>
          <w:p>
            <w:pPr>
              <w:jc w:val="center"/>
            </w:pPr>
            <w:r>
              <w:rPr>
                <w:rFonts w:hint="eastAsia"/>
              </w:rPr>
              <w:t>98%</w:t>
            </w:r>
          </w:p>
        </w:tc>
        <w:tc>
          <w:tcPr>
            <w:tcW w:w="1009" w:type="dxa"/>
            <w:vAlign w:val="center"/>
          </w:tcPr>
          <w:p>
            <w:pPr>
              <w:jc w:val="center"/>
            </w:pPr>
            <w:r>
              <w:rPr>
                <w:rFonts w:hint="eastAsia"/>
              </w:rPr>
              <w:t>8</w:t>
            </w: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vAlign w:val="center"/>
          </w:tcPr>
          <w:p>
            <w:pPr>
              <w:jc w:val="center"/>
            </w:pPr>
          </w:p>
        </w:tc>
        <w:tc>
          <w:tcPr>
            <w:tcW w:w="726" w:type="dxa"/>
            <w:vMerge w:val="continue"/>
            <w:vAlign w:val="center"/>
          </w:tcPr>
          <w:p>
            <w:pPr>
              <w:jc w:val="center"/>
            </w:pPr>
          </w:p>
        </w:tc>
        <w:tc>
          <w:tcPr>
            <w:tcW w:w="812" w:type="dxa"/>
            <w:vMerge w:val="continue"/>
            <w:vAlign w:val="center"/>
          </w:tcPr>
          <w:p>
            <w:pPr>
              <w:jc w:val="center"/>
            </w:pP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4" w:hRule="atLeast"/>
        </w:trPr>
        <w:tc>
          <w:tcPr>
            <w:tcW w:w="420" w:type="dxa"/>
            <w:vMerge w:val="continue"/>
            <w:vAlign w:val="center"/>
          </w:tcPr>
          <w:p>
            <w:pPr>
              <w:jc w:val="center"/>
            </w:pPr>
          </w:p>
        </w:tc>
        <w:tc>
          <w:tcPr>
            <w:tcW w:w="726" w:type="dxa"/>
            <w:vMerge w:val="continue"/>
            <w:vAlign w:val="center"/>
          </w:tcPr>
          <w:p>
            <w:pPr>
              <w:jc w:val="center"/>
            </w:pPr>
          </w:p>
        </w:tc>
        <w:tc>
          <w:tcPr>
            <w:tcW w:w="812" w:type="dxa"/>
            <w:vMerge w:val="continue"/>
            <w:vAlign w:val="center"/>
          </w:tcPr>
          <w:p>
            <w:pPr>
              <w:jc w:val="center"/>
            </w:pP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420" w:type="dxa"/>
            <w:vMerge w:val="continue"/>
            <w:vAlign w:val="center"/>
          </w:tcPr>
          <w:p>
            <w:pPr>
              <w:jc w:val="center"/>
            </w:pPr>
          </w:p>
        </w:tc>
        <w:tc>
          <w:tcPr>
            <w:tcW w:w="726" w:type="dxa"/>
            <w:vMerge w:val="continue"/>
            <w:vAlign w:val="center"/>
          </w:tcPr>
          <w:p>
            <w:pPr>
              <w:jc w:val="center"/>
            </w:pPr>
          </w:p>
        </w:tc>
        <w:tc>
          <w:tcPr>
            <w:tcW w:w="812" w:type="dxa"/>
            <w:vAlign w:val="center"/>
          </w:tcPr>
          <w:p>
            <w:pPr>
              <w:jc w:val="center"/>
            </w:pPr>
            <w:r>
              <w:rPr>
                <w:rFonts w:hint="eastAsia"/>
              </w:rPr>
              <w:t>......</w:t>
            </w:r>
          </w:p>
        </w:tc>
        <w:tc>
          <w:tcPr>
            <w:tcW w:w="1541" w:type="dxa"/>
            <w:vAlign w:val="center"/>
          </w:tcPr>
          <w:p>
            <w:pPr>
              <w:jc w:val="center"/>
            </w:pPr>
          </w:p>
        </w:tc>
        <w:tc>
          <w:tcPr>
            <w:tcW w:w="799" w:type="dxa"/>
            <w:vAlign w:val="center"/>
          </w:tcPr>
          <w:p>
            <w:pPr>
              <w:jc w:val="center"/>
            </w:pPr>
          </w:p>
        </w:tc>
        <w:tc>
          <w:tcPr>
            <w:tcW w:w="1315" w:type="dxa"/>
            <w:vAlign w:val="center"/>
          </w:tcPr>
          <w:p>
            <w:pPr>
              <w:jc w:val="center"/>
            </w:pPr>
          </w:p>
        </w:tc>
        <w:tc>
          <w:tcPr>
            <w:tcW w:w="696" w:type="dxa"/>
            <w:vAlign w:val="center"/>
          </w:tcPr>
          <w:p>
            <w:pPr>
              <w:jc w:val="center"/>
            </w:pPr>
          </w:p>
        </w:tc>
        <w:tc>
          <w:tcPr>
            <w:tcW w:w="1009" w:type="dxa"/>
            <w:vAlign w:val="center"/>
          </w:tcPr>
          <w:p>
            <w:pPr>
              <w:jc w:val="center"/>
            </w:pPr>
          </w:p>
        </w:tc>
        <w:tc>
          <w:tcPr>
            <w:tcW w:w="1617" w:type="dxa"/>
            <w:vAlign w:val="center"/>
          </w:tcPr>
          <w:p>
            <w:pPr>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3499" w:type="dxa"/>
            <w:gridSpan w:val="4"/>
            <w:vAlign w:val="center"/>
          </w:tcPr>
          <w:p>
            <w:pPr>
              <w:jc w:val="center"/>
            </w:pPr>
            <w:r>
              <w:rPr>
                <w:rFonts w:hint="eastAsia"/>
              </w:rPr>
              <w:t>总分</w:t>
            </w:r>
          </w:p>
        </w:tc>
        <w:tc>
          <w:tcPr>
            <w:tcW w:w="799" w:type="dxa"/>
            <w:vAlign w:val="center"/>
          </w:tcPr>
          <w:p>
            <w:pPr>
              <w:jc w:val="center"/>
            </w:pPr>
            <w:r>
              <w:rPr>
                <w:rFonts w:hint="eastAsia"/>
              </w:rPr>
              <w:t>100</w:t>
            </w:r>
          </w:p>
        </w:tc>
        <w:tc>
          <w:tcPr>
            <w:tcW w:w="1315" w:type="dxa"/>
            <w:vAlign w:val="center"/>
          </w:tcPr>
          <w:p>
            <w:pPr>
              <w:jc w:val="center"/>
            </w:pPr>
          </w:p>
        </w:tc>
        <w:tc>
          <w:tcPr>
            <w:tcW w:w="696" w:type="dxa"/>
            <w:vAlign w:val="center"/>
          </w:tcPr>
          <w:p>
            <w:pPr>
              <w:jc w:val="center"/>
            </w:pPr>
          </w:p>
        </w:tc>
        <w:tc>
          <w:tcPr>
            <w:tcW w:w="1009" w:type="dxa"/>
            <w:vAlign w:val="center"/>
          </w:tcPr>
          <w:p>
            <w:pPr>
              <w:jc w:val="center"/>
            </w:pPr>
            <w:r>
              <w:rPr>
                <w:rFonts w:hint="eastAsia"/>
              </w:rPr>
              <w:t>94</w:t>
            </w:r>
          </w:p>
        </w:tc>
        <w:tc>
          <w:tcPr>
            <w:tcW w:w="1617" w:type="dxa"/>
            <w:vAlign w:val="center"/>
          </w:tcPr>
          <w:p>
            <w:pPr>
              <w:jc w:val="center"/>
            </w:pPr>
          </w:p>
        </w:tc>
      </w:tr>
    </w:tbl>
    <w:p/>
    <w:sectPr>
      <w:footerReference r:id="rId3" w:type="default"/>
      <w:footerReference r:id="rId4" w:type="even"/>
      <w:pgSz w:w="11905" w:h="16837"/>
      <w:pgMar w:top="1418" w:right="1418" w:bottom="1418" w:left="1418" w:header="0" w:footer="0" w:gutter="0"/>
      <w:pgNumType w:start="1"/>
      <w:cols w:space="720" w:num="1"/>
      <w:docGrid w:linePitch="636" w:charSpace="2083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rPr>
        <w:rStyle w:val="6"/>
      </w:rPr>
    </w:pPr>
    <w:r>
      <w:fldChar w:fldCharType="begin"/>
    </w:r>
    <w:r>
      <w:rPr>
        <w:rStyle w:val="6"/>
      </w:rPr>
      <w:instrText xml:space="preserve">PAGE  </w:instrText>
    </w:r>
    <w:r>
      <w:fldChar w:fldCharType="separate"/>
    </w:r>
    <w:r>
      <w:rPr>
        <w:rStyle w:val="6"/>
      </w:rPr>
      <w:t>4</w:t>
    </w:r>
    <w:r>
      <w:fldChar w:fldCharType="end"/>
    </w:r>
  </w:p>
  <w:p>
    <w:pPr>
      <w:pStyle w:val="2"/>
      <w:ind w:right="360" w:firstLine="36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36AD2DF"/>
    <w:multiLevelType w:val="singleLevel"/>
    <w:tmpl w:val="536AD2DF"/>
    <w:lvl w:ilvl="0" w:tentative="0">
      <w:start w:val="1"/>
      <w:numFmt w:val="decimal"/>
      <w:suff w:val="nothing"/>
      <w:lvlText w:val="%1."/>
      <w:lvlJc w:val="left"/>
    </w:lvl>
  </w:abstractNum>
  <w:abstractNum w:abstractNumId="1">
    <w:nsid w:val="536AD99E"/>
    <w:multiLevelType w:val="singleLevel"/>
    <w:tmpl w:val="536AD99E"/>
    <w:lvl w:ilvl="0" w:tentative="0">
      <w:start w:val="7"/>
      <w:numFmt w:val="decimal"/>
      <w:suff w:val="nothing"/>
      <w:lvlText w:val="%1."/>
      <w:lvlJc w:val="left"/>
    </w:lvl>
  </w:abstractNum>
  <w:abstractNum w:abstractNumId="2">
    <w:nsid w:val="536AEB9E"/>
    <w:multiLevelType w:val="singleLevel"/>
    <w:tmpl w:val="536AEB9E"/>
    <w:lvl w:ilvl="0" w:tentative="0">
      <w:start w:val="12"/>
      <w:numFmt w:val="decimal"/>
      <w:suff w:val="nothing"/>
      <w:lvlText w:val="%1."/>
      <w:lvlJc w:val="left"/>
    </w:lvl>
  </w:abstractNum>
  <w:abstractNum w:abstractNumId="3">
    <w:nsid w:val="536AF9FC"/>
    <w:multiLevelType w:val="singleLevel"/>
    <w:tmpl w:val="536AF9FC"/>
    <w:lvl w:ilvl="0" w:tentative="0">
      <w:start w:val="2"/>
      <w:numFmt w:val="decimal"/>
      <w:suff w:val="nothing"/>
      <w:lvlText w:val="%1."/>
      <w:lvlJc w:val="left"/>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jQzYjFlY2JlOTVlNDAyOTM3NmRlNTZhMTU2NzY1NzgifQ=="/>
  </w:docVars>
  <w:rsids>
    <w:rsidRoot w:val="00240A98"/>
    <w:rsid w:val="00030EBA"/>
    <w:rsid w:val="00045DB7"/>
    <w:rsid w:val="0005410E"/>
    <w:rsid w:val="00066C0C"/>
    <w:rsid w:val="00075CFB"/>
    <w:rsid w:val="00075F39"/>
    <w:rsid w:val="000C0129"/>
    <w:rsid w:val="000F187B"/>
    <w:rsid w:val="00144E9D"/>
    <w:rsid w:val="00155F98"/>
    <w:rsid w:val="0018446C"/>
    <w:rsid w:val="001850AF"/>
    <w:rsid w:val="001C5860"/>
    <w:rsid w:val="001E70CD"/>
    <w:rsid w:val="00227D7B"/>
    <w:rsid w:val="00240A98"/>
    <w:rsid w:val="00243022"/>
    <w:rsid w:val="00262604"/>
    <w:rsid w:val="002756D3"/>
    <w:rsid w:val="002802BC"/>
    <w:rsid w:val="002D1244"/>
    <w:rsid w:val="003351EB"/>
    <w:rsid w:val="003626D6"/>
    <w:rsid w:val="003A3F6C"/>
    <w:rsid w:val="003C293F"/>
    <w:rsid w:val="003C7561"/>
    <w:rsid w:val="0043632E"/>
    <w:rsid w:val="00553F57"/>
    <w:rsid w:val="00574241"/>
    <w:rsid w:val="005A4FAD"/>
    <w:rsid w:val="005F5067"/>
    <w:rsid w:val="0063539D"/>
    <w:rsid w:val="00721968"/>
    <w:rsid w:val="007220A0"/>
    <w:rsid w:val="00732C28"/>
    <w:rsid w:val="007A1EC7"/>
    <w:rsid w:val="007B295D"/>
    <w:rsid w:val="007B6D08"/>
    <w:rsid w:val="007C6780"/>
    <w:rsid w:val="00853DC7"/>
    <w:rsid w:val="00855A0A"/>
    <w:rsid w:val="00895373"/>
    <w:rsid w:val="008A6682"/>
    <w:rsid w:val="008D7F53"/>
    <w:rsid w:val="00A0296C"/>
    <w:rsid w:val="00A07B2B"/>
    <w:rsid w:val="00AA7B44"/>
    <w:rsid w:val="00B1381B"/>
    <w:rsid w:val="00B16153"/>
    <w:rsid w:val="00B3072E"/>
    <w:rsid w:val="00B474EA"/>
    <w:rsid w:val="00B930AD"/>
    <w:rsid w:val="00BA2BF1"/>
    <w:rsid w:val="00BC3A53"/>
    <w:rsid w:val="00BC4D9E"/>
    <w:rsid w:val="00C42D8E"/>
    <w:rsid w:val="00C6355F"/>
    <w:rsid w:val="00CF0665"/>
    <w:rsid w:val="00D02CA9"/>
    <w:rsid w:val="00D10354"/>
    <w:rsid w:val="00D5692F"/>
    <w:rsid w:val="00D73943"/>
    <w:rsid w:val="00D870BA"/>
    <w:rsid w:val="00E10A15"/>
    <w:rsid w:val="00E12F32"/>
    <w:rsid w:val="00E468A6"/>
    <w:rsid w:val="00E75DA5"/>
    <w:rsid w:val="00EA5081"/>
    <w:rsid w:val="00F02D94"/>
    <w:rsid w:val="00F32F0D"/>
    <w:rsid w:val="00F37516"/>
    <w:rsid w:val="00FC0AE6"/>
    <w:rsid w:val="00FD5D05"/>
    <w:rsid w:val="011831A4"/>
    <w:rsid w:val="287D4370"/>
    <w:rsid w:val="2CE47F94"/>
    <w:rsid w:val="2E856726"/>
    <w:rsid w:val="2EE55756"/>
    <w:rsid w:val="56CE2F71"/>
    <w:rsid w:val="6DB503BA"/>
    <w:rsid w:val="764530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qFormat/>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styleId="6">
    <w:name w:val="page number"/>
    <w:basedOn w:val="5"/>
    <w:qFormat/>
    <w:uiPriority w:val="0"/>
  </w:style>
  <w:style w:type="character" w:customStyle="1" w:styleId="7">
    <w:name w:val="页眉 Char"/>
    <w:basedOn w:val="5"/>
    <w:link w:val="3"/>
    <w:qFormat/>
    <w:uiPriority w:val="99"/>
    <w:rPr>
      <w:sz w:val="18"/>
      <w:szCs w:val="18"/>
    </w:rPr>
  </w:style>
  <w:style w:type="character" w:customStyle="1" w:styleId="8">
    <w:name w:val="页脚 Char"/>
    <w:basedOn w:val="5"/>
    <w:link w:val="2"/>
    <w:semiHidden/>
    <w:qFormat/>
    <w:uiPriority w:val="99"/>
    <w:rPr>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17</Pages>
  <Words>7835</Words>
  <Characters>8560</Characters>
  <Lines>69</Lines>
  <Paragraphs>19</Paragraphs>
  <TotalTime>326</TotalTime>
  <ScaleCrop>false</ScaleCrop>
  <LinksUpToDate>false</LinksUpToDate>
  <CharactersWithSpaces>9018</CharactersWithSpaces>
  <Application>WPS Office_11.1.0.12598_F1E327BC-269C-435d-A152-05C5408002CA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2020-02-26T02:41:00Z</dcterms:created>
  <dc:creator>PC</dc:creator>
  <cp:lastModifiedBy>Administrator</cp:lastModifiedBy>
  <cp:lastPrinted>2021-03-09T01:12:00Z</cp:lastPrinted>
  <dcterms:modified xsi:type="dcterms:W3CDTF">2022-11-21T08:00:58Z</dcterms:modified>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92AF266E5EF348D38035F08E79284068</vt:lpwstr>
  </property>
</Properties>
</file>