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32"/>
          <w:szCs w:val="32"/>
        </w:rPr>
      </w:pPr>
      <w:r>
        <w:rPr>
          <w:rFonts w:hint="eastAsia" w:ascii="黑体" w:eastAsia="黑体"/>
          <w:sz w:val="32"/>
          <w:szCs w:val="32"/>
        </w:rPr>
        <w:t>附件3</w:t>
      </w: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ascii="宋体" w:hAnsi="宋体"/>
          <w:sz w:val="44"/>
          <w:szCs w:val="44"/>
        </w:rPr>
      </w:pPr>
      <w:r>
        <w:rPr>
          <w:rFonts w:hint="eastAsia" w:ascii="宋体" w:hAnsi="宋体"/>
          <w:w w:val="90"/>
          <w:sz w:val="44"/>
          <w:szCs w:val="44"/>
        </w:rPr>
        <w:t>邵阳县</w:t>
      </w:r>
      <w:r>
        <w:rPr>
          <w:rFonts w:ascii="宋体" w:hAnsi="宋体"/>
          <w:w w:val="90"/>
          <w:sz w:val="44"/>
          <w:szCs w:val="44"/>
        </w:rPr>
        <w:t>20</w:t>
      </w:r>
      <w:r>
        <w:rPr>
          <w:rFonts w:hint="eastAsia" w:ascii="宋体" w:hAnsi="宋体"/>
          <w:w w:val="90"/>
          <w:sz w:val="44"/>
          <w:szCs w:val="44"/>
          <w:lang w:val="en-US" w:eastAsia="zh-CN"/>
        </w:rPr>
        <w:t>22</w:t>
      </w:r>
      <w:r>
        <w:rPr>
          <w:rFonts w:hint="eastAsia" w:ascii="宋体" w:hAnsi="宋体"/>
          <w:w w:val="90"/>
          <w:sz w:val="44"/>
          <w:szCs w:val="44"/>
        </w:rPr>
        <w:t>年度部门整体支出绩效自评报告</w:t>
      </w:r>
      <w:r>
        <w:rPr>
          <w:rFonts w:hint="eastAsia" w:ascii="宋体" w:hAnsi="宋体"/>
          <w:sz w:val="44"/>
          <w:szCs w:val="44"/>
        </w:rPr>
        <w:t xml:space="preserve">   </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邵阳县黄荆乡人民政府</w:t>
      </w:r>
      <w:r>
        <w:rPr>
          <w:rFonts w:hint="eastAsia"/>
          <w:b/>
          <w:bCs/>
          <w:sz w:val="32"/>
          <w:szCs w:val="32"/>
          <w:u w:val="single"/>
        </w:rPr>
        <w:t>　　</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2023</w:t>
      </w:r>
      <w:r>
        <w:rPr>
          <w:rFonts w:hint="eastAsia" w:ascii="楷体" w:hAnsi="楷体" w:eastAsia="楷体" w:cs="楷体"/>
          <w:sz w:val="36"/>
        </w:rPr>
        <w:t>年　</w:t>
      </w:r>
      <w:r>
        <w:rPr>
          <w:rFonts w:hint="eastAsia" w:ascii="楷体" w:hAnsi="楷体" w:eastAsia="楷体" w:cs="楷体"/>
          <w:sz w:val="36"/>
          <w:lang w:val="en-US" w:eastAsia="zh-CN"/>
        </w:rPr>
        <w:t>2</w:t>
      </w:r>
      <w:r>
        <w:rPr>
          <w:rFonts w:hint="eastAsia" w:ascii="楷体" w:hAnsi="楷体" w:eastAsia="楷体" w:cs="楷体"/>
          <w:sz w:val="36"/>
        </w:rPr>
        <w:t>　月　</w:t>
      </w:r>
      <w:r>
        <w:rPr>
          <w:rFonts w:hint="eastAsia" w:ascii="楷体" w:hAnsi="楷体" w:eastAsia="楷体" w:cs="楷体"/>
          <w:sz w:val="36"/>
          <w:lang w:val="en-US" w:eastAsia="zh-CN"/>
        </w:rPr>
        <w:t>18</w:t>
      </w:r>
      <w:r>
        <w:rPr>
          <w:rFonts w:hint="eastAsia" w:ascii="楷体" w:hAnsi="楷体" w:eastAsia="楷体" w:cs="楷体"/>
          <w:sz w:val="36"/>
        </w:rPr>
        <w:t>　日</w:t>
      </w:r>
    </w:p>
    <w:p>
      <w:pPr>
        <w:spacing w:line="600" w:lineRule="exact"/>
        <w:jc w:val="center"/>
        <w:rPr>
          <w:rFonts w:hint="eastAsia" w:ascii="楷体" w:hAnsi="楷体" w:eastAsia="楷体" w:cs="楷体"/>
          <w:sz w:val="36"/>
        </w:rPr>
      </w:pPr>
    </w:p>
    <w:p>
      <w:pPr>
        <w:spacing w:line="600" w:lineRule="exact"/>
        <w:jc w:val="center"/>
        <w:rPr>
          <w:rFonts w:hint="eastAsia" w:ascii="楷体" w:hAnsi="楷体" w:eastAsia="楷体" w:cs="楷体"/>
          <w:sz w:val="36"/>
        </w:rPr>
      </w:pPr>
    </w:p>
    <w:p>
      <w:pPr>
        <w:adjustRightInd w:val="0"/>
        <w:spacing w:line="600" w:lineRule="exact"/>
        <w:ind w:right="641"/>
        <w:rPr>
          <w:rFonts w:ascii="黑体" w:eastAsia="黑体"/>
          <w:sz w:val="32"/>
          <w:szCs w:val="32"/>
        </w:rPr>
      </w:pPr>
      <w:r>
        <w:rPr>
          <w:rFonts w:hint="eastAsia" w:ascii="黑体" w:eastAsia="黑体"/>
          <w:sz w:val="32"/>
          <w:szCs w:val="32"/>
        </w:rPr>
        <w:t>附件2</w:t>
      </w:r>
    </w:p>
    <w:p>
      <w:pPr>
        <w:spacing w:line="560" w:lineRule="exact"/>
        <w:jc w:val="center"/>
        <w:rPr>
          <w:rFonts w:eastAsia="方正小标宋_GBK"/>
          <w:sz w:val="32"/>
          <w:szCs w:val="32"/>
        </w:rPr>
      </w:pPr>
      <w:r>
        <w:rPr>
          <w:rFonts w:hint="eastAsia" w:eastAsia="方正小标宋_GBK"/>
          <w:sz w:val="36"/>
          <w:szCs w:val="36"/>
        </w:rPr>
        <w:t>部门整体支出绩效评价报告</w:t>
      </w:r>
    </w:p>
    <w:p>
      <w:pPr>
        <w:spacing w:line="560" w:lineRule="exact"/>
        <w:jc w:val="center"/>
        <w:rPr>
          <w:rFonts w:eastAsia="方正小标宋_GBK"/>
          <w:sz w:val="32"/>
          <w:szCs w:val="32"/>
        </w:rPr>
      </w:pPr>
    </w:p>
    <w:p>
      <w:pPr>
        <w:pStyle w:val="8"/>
        <w:numPr>
          <w:ilvl w:val="0"/>
          <w:numId w:val="1"/>
        </w:numPr>
        <w:spacing w:line="560" w:lineRule="exact"/>
        <w:ind w:left="640" w:firstLine="0" w:firstLineChars="0"/>
        <w:rPr>
          <w:rFonts w:hint="eastAsia" w:eastAsia="黑体"/>
          <w:sz w:val="32"/>
          <w:szCs w:val="32"/>
        </w:rPr>
      </w:pPr>
      <w:r>
        <w:rPr>
          <w:rFonts w:hint="eastAsia" w:eastAsia="黑体"/>
          <w:sz w:val="32"/>
          <w:szCs w:val="32"/>
        </w:rPr>
        <w:t>部门、单位基本情况</w:t>
      </w:r>
    </w:p>
    <w:p>
      <w:pPr>
        <w:adjustRightInd w:val="0"/>
        <w:snapToGrid w:val="0"/>
        <w:spacing w:line="600" w:lineRule="exact"/>
        <w:ind w:firstLine="643" w:firstLineChars="200"/>
        <w:rPr>
          <w:rFonts w:hint="eastAsia" w:eastAsia="仿宋_GB2312"/>
          <w:b/>
          <w:bCs/>
          <w:sz w:val="32"/>
          <w:szCs w:val="32"/>
        </w:rPr>
      </w:pPr>
      <w:r>
        <w:rPr>
          <w:rFonts w:hint="eastAsia" w:eastAsia="仿宋_GB2312"/>
          <w:b/>
          <w:bCs/>
          <w:sz w:val="32"/>
          <w:szCs w:val="32"/>
          <w:lang w:val="en-US" w:eastAsia="zh-CN"/>
        </w:rPr>
        <w:t>（一）主要职责</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根据《宪法》和《预算法》规定，邵阳县黄荆乡人民政府依法履行下列职能职责：</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（1） 执行上级国家行政机关的决定，命令和国家制定的法令，法规，接受同级党委的领导，执行本级人民代表大会的各项决议，并报告执行决议、决定和命令的情况。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（2）制定并落实本行政区域的经济计划和措施，促进产业结构调整及其他经济保持平衡发展，全面提高人民群众的生活水平和生活质量。</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（3）加强乡级财政的监督和管理，按计划组织，管理镇财政收入和支出，执行国家有关财经纪律和政策，保证国家财政收入的完成；做好统计工作。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（4）协助和支持设置在本行政区域内不隶属于镇的国家机关和企事业单位工作，监督其遵守和执行国家的法律、法规和政策。</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（5）承办县人民政府交办的其他事项。</w:t>
      </w:r>
    </w:p>
    <w:p>
      <w:pPr>
        <w:adjustRightInd w:val="0"/>
        <w:snapToGrid w:val="0"/>
        <w:spacing w:line="600" w:lineRule="exact"/>
        <w:ind w:firstLine="643" w:firstLineChars="200"/>
        <w:rPr>
          <w:rFonts w:hint="eastAsia" w:eastAsia="仿宋_GB2312"/>
          <w:b/>
          <w:bCs/>
          <w:sz w:val="32"/>
          <w:szCs w:val="32"/>
          <w:lang w:val="en-US" w:eastAsia="zh-CN"/>
        </w:rPr>
      </w:pPr>
      <w:r>
        <w:rPr>
          <w:rFonts w:hint="eastAsia" w:eastAsia="仿宋_GB2312"/>
          <w:b/>
          <w:bCs/>
          <w:sz w:val="32"/>
          <w:szCs w:val="32"/>
          <w:lang w:val="en-US" w:eastAsia="zh-CN"/>
        </w:rPr>
        <w:t>（二）当年主要工作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1、乡村振兴工作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2、党建工作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3、信访维稳</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4、城乡环境卫生同治</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5、市域社会治理现代化工作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6、油茶生产</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7、烤烟生产</w:t>
      </w:r>
    </w:p>
    <w:p>
      <w:pPr>
        <w:pStyle w:val="2"/>
        <w:ind w:left="0" w:leftChars="0" w:firstLine="640" w:firstLineChars="200"/>
        <w:rPr>
          <w:rFonts w:hint="eastAsia" w:eastAsia="仿宋_GB2312"/>
          <w:sz w:val="32"/>
          <w:szCs w:val="32"/>
          <w:lang w:val="en-US" w:eastAsia="zh-CN"/>
        </w:rPr>
      </w:pPr>
      <w:r>
        <w:rPr>
          <w:rFonts w:hint="eastAsia" w:eastAsia="仿宋_GB2312"/>
          <w:sz w:val="32"/>
          <w:szCs w:val="32"/>
          <w:lang w:val="en-US" w:eastAsia="zh-CN"/>
        </w:rPr>
        <w:t>8、疫情防控</w:t>
      </w:r>
    </w:p>
    <w:p>
      <w:pPr>
        <w:pStyle w:val="2"/>
        <w:ind w:left="0" w:leftChars="0" w:firstLine="640" w:firstLineChars="200"/>
        <w:rPr>
          <w:rFonts w:hint="default" w:eastAsia="仿宋_GB2312"/>
          <w:sz w:val="32"/>
          <w:szCs w:val="32"/>
          <w:lang w:val="en-US" w:eastAsia="zh-CN"/>
        </w:rPr>
      </w:pPr>
      <w:r>
        <w:rPr>
          <w:rFonts w:hint="eastAsia" w:eastAsia="仿宋_GB2312"/>
          <w:sz w:val="32"/>
          <w:szCs w:val="32"/>
          <w:lang w:val="en-US" w:eastAsia="zh-CN"/>
        </w:rPr>
        <w:t>9、禁毒反电诈工作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10、其他中心工作</w:t>
      </w:r>
    </w:p>
    <w:p>
      <w:pPr>
        <w:adjustRightInd w:val="0"/>
        <w:snapToGrid w:val="0"/>
        <w:spacing w:line="600" w:lineRule="exact"/>
        <w:ind w:firstLine="643" w:firstLineChars="200"/>
        <w:rPr>
          <w:rFonts w:hint="eastAsia" w:eastAsia="仿宋_GB2312"/>
          <w:b/>
          <w:bCs/>
          <w:sz w:val="32"/>
          <w:szCs w:val="32"/>
        </w:rPr>
      </w:pPr>
      <w:r>
        <w:rPr>
          <w:rFonts w:hint="eastAsia" w:eastAsia="仿宋_GB2312"/>
          <w:b/>
          <w:bCs/>
          <w:sz w:val="32"/>
          <w:szCs w:val="32"/>
          <w:lang w:val="en-US" w:eastAsia="zh-CN"/>
        </w:rPr>
        <w:t>（三）机构设置及人员情况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内设机构设置。黄荆乡人民政府单位内设机构包括“六办三中心一大队站”:党政综合办公室、基层党建办公室、经济发展办公室、社会事务办公室、社会治安和应该管理办公室、自然资源和生态环境办公室、政务（便民）服务中心、社会事务综合服务中心、农业综合服务中心、综合行政执法大队、退役军人事务站。</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部门在职实有人数61人，其中：财政全额供养59人；财政差额供养2人，车改后实保留车辆0辆。</w:t>
      </w:r>
    </w:p>
    <w:p>
      <w:pPr>
        <w:adjustRightInd w:val="0"/>
        <w:snapToGrid w:val="0"/>
        <w:spacing w:line="600" w:lineRule="exact"/>
        <w:ind w:firstLine="640" w:firstLineChars="200"/>
        <w:rPr>
          <w:rFonts w:hint="eastAsia" w:eastAsia="黑体"/>
          <w:sz w:val="32"/>
          <w:szCs w:val="32"/>
        </w:rPr>
      </w:pPr>
      <w:r>
        <w:rPr>
          <w:rFonts w:hint="eastAsia" w:eastAsia="仿宋_GB2312"/>
          <w:sz w:val="32"/>
          <w:szCs w:val="32"/>
          <w:lang w:val="en-US" w:eastAsia="zh-CN"/>
        </w:rPr>
        <w:t>当年在职人员61人,比上年增加了1.67%，其原因是2022年新进公务员人数比退休人员多。</w:t>
      </w:r>
    </w:p>
    <w:p>
      <w:pPr>
        <w:pStyle w:val="8"/>
        <w:spacing w:line="560" w:lineRule="exact"/>
        <w:ind w:left="640" w:firstLine="0" w:firstLineChars="0"/>
        <w:rPr>
          <w:rFonts w:eastAsia="黑体"/>
          <w:sz w:val="32"/>
          <w:szCs w:val="32"/>
        </w:rPr>
      </w:pPr>
      <w:r>
        <w:rPr>
          <w:rFonts w:hint="eastAsia" w:eastAsia="黑体"/>
          <w:sz w:val="32"/>
          <w:szCs w:val="32"/>
        </w:rPr>
        <w:t>二、一般公共预算支出情况</w:t>
      </w:r>
    </w:p>
    <w:p>
      <w:pPr>
        <w:pStyle w:val="8"/>
        <w:spacing w:line="560" w:lineRule="exact"/>
        <w:ind w:left="640" w:firstLine="0" w:firstLineChars="0"/>
        <w:rPr>
          <w:rFonts w:hint="eastAsia" w:eastAsia="黑体"/>
          <w:sz w:val="32"/>
          <w:szCs w:val="32"/>
        </w:rPr>
      </w:pPr>
      <w:r>
        <w:rPr>
          <w:rFonts w:hint="eastAsia" w:eastAsia="黑体"/>
          <w:sz w:val="32"/>
          <w:szCs w:val="32"/>
        </w:rPr>
        <w:t>（一）基本支出情况</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基本支出用于保障单位机构正常运转、完成日常工作任务而发生的各项支出，包括用于基本工资、津贴补贴等人员经费以及办公费、印刷费、水电费、办公设备购置等日常公用经费。</w:t>
      </w:r>
    </w:p>
    <w:p>
      <w:pPr>
        <w:pageBreakBefore w:val="0"/>
        <w:kinsoku/>
        <w:wordWrap/>
        <w:overflowPunct/>
        <w:topLinePunct w:val="0"/>
        <w:autoSpaceDE/>
        <w:autoSpaceDN/>
        <w:bidi w:val="0"/>
        <w:adjustRightInd/>
        <w:spacing w:line="560" w:lineRule="exact"/>
        <w:ind w:firstLine="480" w:firstLineChars="1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年年初预算批复的基本支出为</w:t>
      </w:r>
      <w:r>
        <w:rPr>
          <w:rFonts w:hint="eastAsia" w:ascii="仿宋_GB2312" w:hAnsi="仿宋_GB2312" w:eastAsia="仿宋_GB2312" w:cs="仿宋_GB2312"/>
          <w:sz w:val="32"/>
          <w:szCs w:val="32"/>
          <w:lang w:val="en-US" w:eastAsia="zh-CN"/>
        </w:rPr>
        <w:t>761.4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527.27</w:t>
      </w:r>
      <w:r>
        <w:rPr>
          <w:rFonts w:hint="eastAsia" w:ascii="仿宋_GB2312" w:hAnsi="仿宋_GB2312" w:eastAsia="仿宋_GB2312" w:cs="仿宋_GB2312"/>
          <w:sz w:val="32"/>
          <w:szCs w:val="32"/>
        </w:rPr>
        <w:t>万元,商品和福利支出</w:t>
      </w:r>
      <w:r>
        <w:rPr>
          <w:rFonts w:hint="eastAsia" w:ascii="仿宋_GB2312" w:hAnsi="仿宋_GB2312" w:eastAsia="仿宋_GB2312" w:cs="仿宋_GB2312"/>
          <w:sz w:val="32"/>
          <w:szCs w:val="32"/>
          <w:lang w:val="en-US" w:eastAsia="zh-CN"/>
        </w:rPr>
        <w:t>208.89</w:t>
      </w:r>
      <w:r>
        <w:rPr>
          <w:rFonts w:hint="eastAsia" w:ascii="仿宋_GB2312" w:hAnsi="仿宋_GB2312" w:eastAsia="仿宋_GB2312" w:cs="仿宋_GB2312"/>
          <w:sz w:val="32"/>
          <w:szCs w:val="32"/>
        </w:rPr>
        <w:t>万元,对个人和家庭补助支出</w:t>
      </w:r>
      <w:r>
        <w:rPr>
          <w:rFonts w:hint="eastAsia" w:ascii="仿宋_GB2312" w:hAnsi="仿宋_GB2312" w:eastAsia="仿宋_GB2312" w:cs="仿宋_GB2312"/>
          <w:sz w:val="32"/>
          <w:szCs w:val="32"/>
          <w:lang w:val="en-US" w:eastAsia="zh-CN"/>
        </w:rPr>
        <w:t>25.27</w:t>
      </w:r>
      <w:r>
        <w:rPr>
          <w:rFonts w:hint="eastAsia" w:ascii="仿宋_GB2312" w:hAnsi="仿宋_GB2312" w:eastAsia="仿宋_GB2312" w:cs="仿宋_GB2312"/>
          <w:sz w:val="32"/>
          <w:szCs w:val="32"/>
        </w:rPr>
        <w:t>万元。</w:t>
      </w:r>
      <w:bookmarkStart w:id="3" w:name="_GoBack"/>
      <w:bookmarkEnd w:id="3"/>
    </w:p>
    <w:p>
      <w:pPr>
        <w:pStyle w:val="8"/>
        <w:spacing w:line="560" w:lineRule="exact"/>
        <w:rPr>
          <w:rFonts w:hint="eastAsia" w:eastAsia="黑体"/>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年决算总支出</w:t>
      </w:r>
      <w:r>
        <w:rPr>
          <w:rFonts w:hint="default" w:ascii="仿宋_GB2312" w:hAnsi="仿宋_GB2312" w:eastAsia="仿宋_GB2312" w:cs="仿宋_GB2312"/>
          <w:color w:val="auto"/>
          <w:sz w:val="32"/>
          <w:szCs w:val="32"/>
          <w:lang w:val="en-US" w:eastAsia="zh-CN"/>
        </w:rPr>
        <w:t>1116.12</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工资福利支出</w:t>
      </w:r>
      <w:r>
        <w:rPr>
          <w:rFonts w:hint="eastAsia" w:ascii="仿宋_GB2312" w:hAnsi="仿宋_GB2312" w:eastAsia="仿宋_GB2312" w:cs="仿宋_GB2312"/>
          <w:color w:val="auto"/>
          <w:sz w:val="32"/>
          <w:szCs w:val="32"/>
          <w:lang w:val="en-US" w:eastAsia="zh-CN"/>
        </w:rPr>
        <w:t>662.29</w:t>
      </w:r>
      <w:r>
        <w:rPr>
          <w:rFonts w:hint="eastAsia" w:ascii="仿宋_GB2312" w:hAnsi="仿宋_GB2312" w:eastAsia="仿宋_GB2312" w:cs="仿宋_GB2312"/>
          <w:color w:val="auto"/>
          <w:sz w:val="32"/>
          <w:szCs w:val="32"/>
        </w:rPr>
        <w:t>万元、商品和服务支出</w:t>
      </w:r>
      <w:r>
        <w:rPr>
          <w:rFonts w:hint="eastAsia" w:ascii="仿宋_GB2312" w:hAnsi="仿宋_GB2312" w:eastAsia="仿宋_GB2312" w:cs="仿宋_GB2312"/>
          <w:color w:val="auto"/>
          <w:sz w:val="32"/>
          <w:szCs w:val="32"/>
          <w:lang w:val="en-US" w:eastAsia="zh-CN"/>
        </w:rPr>
        <w:t>310.24</w:t>
      </w:r>
      <w:r>
        <w:rPr>
          <w:rFonts w:hint="eastAsia" w:ascii="仿宋_GB2312" w:hAnsi="仿宋_GB2312" w:eastAsia="仿宋_GB2312" w:cs="仿宋_GB2312"/>
          <w:color w:val="auto"/>
          <w:sz w:val="32"/>
          <w:szCs w:val="32"/>
        </w:rPr>
        <w:t>万元、对个人和家庭的补助</w:t>
      </w:r>
      <w:r>
        <w:rPr>
          <w:rFonts w:hint="eastAsia" w:ascii="仿宋_GB2312" w:hAnsi="仿宋_GB2312" w:eastAsia="仿宋_GB2312" w:cs="仿宋_GB2312"/>
          <w:color w:val="auto"/>
          <w:sz w:val="32"/>
          <w:szCs w:val="32"/>
          <w:lang w:val="en-US" w:eastAsia="zh-CN"/>
        </w:rPr>
        <w:t>28.72</w:t>
      </w:r>
      <w:r>
        <w:rPr>
          <w:rFonts w:hint="eastAsia" w:ascii="仿宋_GB2312" w:hAnsi="仿宋_GB2312" w:eastAsia="仿宋_GB2312" w:cs="仿宋_GB2312"/>
          <w:color w:val="auto"/>
          <w:sz w:val="32"/>
          <w:szCs w:val="32"/>
        </w:rPr>
        <w:t>万元、资本性支出</w:t>
      </w:r>
      <w:r>
        <w:rPr>
          <w:rFonts w:hint="eastAsia" w:ascii="仿宋_GB2312" w:hAnsi="仿宋_GB2312" w:eastAsia="仿宋_GB2312" w:cs="仿宋_GB2312"/>
          <w:color w:val="auto"/>
          <w:sz w:val="32"/>
          <w:szCs w:val="32"/>
          <w:lang w:val="en-US" w:eastAsia="zh-CN"/>
        </w:rPr>
        <w:t>31.88</w:t>
      </w:r>
      <w:r>
        <w:rPr>
          <w:rFonts w:hint="eastAsia" w:ascii="仿宋_GB2312" w:hAnsi="仿宋_GB2312" w:eastAsia="仿宋_GB2312" w:cs="仿宋_GB2312"/>
          <w:color w:val="auto"/>
          <w:sz w:val="32"/>
          <w:szCs w:val="32"/>
        </w:rPr>
        <w:t>万元。</w:t>
      </w:r>
    </w:p>
    <w:p>
      <w:pPr>
        <w:pStyle w:val="8"/>
        <w:spacing w:line="560" w:lineRule="exact"/>
        <w:ind w:left="640" w:firstLine="0" w:firstLineChars="0"/>
        <w:rPr>
          <w:rFonts w:eastAsia="黑体"/>
          <w:sz w:val="32"/>
          <w:szCs w:val="32"/>
        </w:rPr>
      </w:pPr>
      <w:r>
        <w:rPr>
          <w:rFonts w:hint="eastAsia" w:eastAsia="黑体"/>
          <w:sz w:val="32"/>
          <w:szCs w:val="32"/>
        </w:rPr>
        <w:t>（二）项目支出情况</w:t>
      </w:r>
    </w:p>
    <w:p>
      <w:pPr>
        <w:widowControl/>
        <w:spacing w:line="560" w:lineRule="exact"/>
        <w:ind w:firstLine="640" w:firstLineChars="200"/>
        <w:jc w:val="left"/>
        <w:rPr>
          <w:rFonts w:ascii="Times New Roman" w:hAnsi="Times New Roman" w:eastAsia="仿宋_GB2312"/>
          <w:sz w:val="32"/>
          <w:szCs w:val="32"/>
        </w:rPr>
      </w:pPr>
      <w:r>
        <w:rPr>
          <w:rFonts w:hint="eastAsia" w:eastAsia="仿宋_GB2312" w:cs="Times New Roman"/>
          <w:kern w:val="2"/>
          <w:sz w:val="32"/>
          <w:szCs w:val="32"/>
          <w:lang w:val="en-US" w:eastAsia="zh-CN" w:bidi="ar-SA"/>
        </w:rPr>
        <w:t>项目支出</w:t>
      </w:r>
      <w:r>
        <w:rPr>
          <w:rFonts w:hint="eastAsia" w:ascii="Calibri" w:hAnsi="Calibri" w:eastAsia="仿宋_GB2312" w:cs="Times New Roman"/>
          <w:kern w:val="2"/>
          <w:sz w:val="32"/>
          <w:szCs w:val="32"/>
          <w:lang w:val="en-US" w:eastAsia="zh-CN" w:bidi="ar-SA"/>
        </w:rPr>
        <w:t>用于单位为完成特定行政工作任务或事业发展目标而发生的支出，包括有关事业发展专项、专项业务费、基本建设支出等。</w:t>
      </w:r>
      <w:r>
        <w:rPr>
          <w:rFonts w:hint="eastAsia" w:eastAsia="仿宋_GB2312" w:cs="Times New Roman"/>
          <w:kern w:val="2"/>
          <w:sz w:val="32"/>
          <w:szCs w:val="32"/>
          <w:lang w:val="en-US" w:eastAsia="zh-CN" w:bidi="ar-SA"/>
        </w:rPr>
        <w:t>2022</w:t>
      </w:r>
      <w:r>
        <w:rPr>
          <w:rFonts w:hint="eastAsia" w:ascii="仿宋_GB2312" w:hAnsi="仿宋_GB2312" w:eastAsia="仿宋_GB2312" w:cs="仿宋_GB2312"/>
          <w:sz w:val="32"/>
          <w:szCs w:val="32"/>
        </w:rPr>
        <w:t>年年初预算批复</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决算项目支出</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w:t>
      </w:r>
    </w:p>
    <w:p>
      <w:pPr>
        <w:pStyle w:val="8"/>
        <w:numPr>
          <w:ilvl w:val="0"/>
          <w:numId w:val="0"/>
        </w:numPr>
        <w:spacing w:line="560" w:lineRule="exact"/>
        <w:ind w:left="640" w:leftChars="0"/>
        <w:rPr>
          <w:rFonts w:hint="eastAsia" w:eastAsia="黑体"/>
          <w:sz w:val="32"/>
          <w:szCs w:val="32"/>
        </w:rPr>
      </w:pPr>
      <w:r>
        <w:rPr>
          <w:rFonts w:hint="eastAsia" w:eastAsia="黑体"/>
          <w:sz w:val="32"/>
          <w:szCs w:val="32"/>
          <w:lang w:val="en-US" w:eastAsia="zh-CN"/>
        </w:rPr>
        <w:t>三、</w:t>
      </w:r>
      <w:r>
        <w:rPr>
          <w:rFonts w:hint="eastAsia" w:eastAsia="黑体"/>
          <w:sz w:val="32"/>
          <w:szCs w:val="32"/>
        </w:rPr>
        <w:t>政府性基金预算支出情况</w:t>
      </w:r>
    </w:p>
    <w:p>
      <w:pPr>
        <w:pStyle w:val="8"/>
        <w:numPr>
          <w:ilvl w:val="0"/>
          <w:numId w:val="0"/>
        </w:numPr>
        <w:spacing w:line="560" w:lineRule="exact"/>
        <w:ind w:left="640" w:leftChars="0"/>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无政府性基金预算。</w:t>
      </w:r>
    </w:p>
    <w:p>
      <w:pPr>
        <w:pStyle w:val="8"/>
        <w:numPr>
          <w:ilvl w:val="0"/>
          <w:numId w:val="0"/>
        </w:numPr>
        <w:spacing w:line="560" w:lineRule="exact"/>
        <w:ind w:left="640" w:leftChars="0"/>
        <w:rPr>
          <w:rFonts w:hint="eastAsia" w:eastAsia="黑体"/>
          <w:sz w:val="32"/>
          <w:szCs w:val="32"/>
        </w:rPr>
      </w:pPr>
      <w:r>
        <w:rPr>
          <w:rFonts w:hint="eastAsia" w:eastAsia="黑体"/>
          <w:sz w:val="32"/>
          <w:szCs w:val="32"/>
          <w:lang w:val="en-US" w:eastAsia="zh-CN"/>
        </w:rPr>
        <w:t>四、</w:t>
      </w:r>
      <w:r>
        <w:rPr>
          <w:rFonts w:hint="eastAsia" w:eastAsia="黑体"/>
          <w:sz w:val="32"/>
          <w:szCs w:val="32"/>
        </w:rPr>
        <w:t>国有资本经营预算支出情况</w:t>
      </w:r>
    </w:p>
    <w:p>
      <w:pPr>
        <w:pStyle w:val="8"/>
        <w:numPr>
          <w:ilvl w:val="0"/>
          <w:numId w:val="0"/>
        </w:numPr>
        <w:spacing w:line="560" w:lineRule="exact"/>
        <w:ind w:left="640" w:leftChars="0"/>
        <w:rPr>
          <w:rFonts w:hint="eastAsia" w:eastAsia="黑体"/>
          <w:sz w:val="32"/>
          <w:szCs w:val="32"/>
          <w:lang w:val="en-US" w:eastAsia="zh-CN"/>
        </w:rPr>
      </w:pPr>
      <w:r>
        <w:rPr>
          <w:rFonts w:hint="eastAsia" w:ascii="Calibri" w:hAnsi="Calibri" w:eastAsia="仿宋_GB2312" w:cs="Times New Roman"/>
          <w:kern w:val="2"/>
          <w:sz w:val="32"/>
          <w:szCs w:val="32"/>
          <w:lang w:val="en-US" w:eastAsia="zh-CN" w:bidi="ar-SA"/>
        </w:rPr>
        <w:t>无国有资本经营预算</w:t>
      </w:r>
    </w:p>
    <w:p>
      <w:pPr>
        <w:pStyle w:val="8"/>
        <w:numPr>
          <w:ilvl w:val="0"/>
          <w:numId w:val="0"/>
        </w:numPr>
        <w:spacing w:line="560" w:lineRule="exact"/>
        <w:ind w:left="640" w:leftChars="0"/>
        <w:rPr>
          <w:rFonts w:hint="eastAsia" w:eastAsia="黑体"/>
          <w:sz w:val="32"/>
          <w:szCs w:val="32"/>
        </w:rPr>
      </w:pPr>
      <w:r>
        <w:rPr>
          <w:rFonts w:hint="eastAsia" w:eastAsia="黑体"/>
          <w:sz w:val="32"/>
          <w:szCs w:val="32"/>
          <w:lang w:val="en-US" w:eastAsia="zh-CN"/>
        </w:rPr>
        <w:t>五、</w:t>
      </w:r>
      <w:r>
        <w:rPr>
          <w:rFonts w:hint="eastAsia" w:eastAsia="黑体"/>
          <w:sz w:val="32"/>
          <w:szCs w:val="32"/>
        </w:rPr>
        <w:t>社会保险基金预算支出情况</w:t>
      </w:r>
    </w:p>
    <w:p>
      <w:pPr>
        <w:pStyle w:val="8"/>
        <w:numPr>
          <w:ilvl w:val="0"/>
          <w:numId w:val="0"/>
        </w:numPr>
        <w:spacing w:line="560" w:lineRule="exact"/>
        <w:ind w:left="640" w:leftChars="0"/>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无国有资本经营预算</w:t>
      </w:r>
    </w:p>
    <w:p>
      <w:pPr>
        <w:widowControl/>
        <w:numPr>
          <w:ilvl w:val="0"/>
          <w:numId w:val="0"/>
        </w:numPr>
        <w:spacing w:line="560" w:lineRule="exact"/>
        <w:ind w:left="640" w:leftChars="0"/>
        <w:jc w:val="left"/>
        <w:rPr>
          <w:rFonts w:hint="eastAsia" w:eastAsia="黑体"/>
          <w:sz w:val="32"/>
          <w:szCs w:val="32"/>
        </w:rPr>
      </w:pPr>
      <w:r>
        <w:rPr>
          <w:rFonts w:hint="eastAsia" w:eastAsia="黑体"/>
          <w:sz w:val="32"/>
          <w:szCs w:val="32"/>
          <w:lang w:val="en-US" w:eastAsia="zh-CN"/>
        </w:rPr>
        <w:t>六、</w:t>
      </w:r>
      <w:r>
        <w:rPr>
          <w:rFonts w:hint="eastAsia" w:eastAsia="黑体"/>
          <w:sz w:val="32"/>
          <w:szCs w:val="32"/>
        </w:rPr>
        <w:t>部门整体支出绩效情况</w:t>
      </w:r>
    </w:p>
    <w:p>
      <w:pPr>
        <w:pageBreakBefore w:val="0"/>
        <w:kinsoku/>
        <w:wordWrap/>
        <w:overflowPunct/>
        <w:topLinePunct w:val="0"/>
        <w:autoSpaceDE/>
        <w:autoSpaceDN/>
        <w:bidi w:val="0"/>
        <w:adjustRightInd/>
        <w:spacing w:line="560" w:lineRule="exact"/>
        <w:ind w:firstLine="4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根据《邵阳县财政局关于开展</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年度部门整体支出绩效自评和专项项目资金绩效评价工作的通知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邵</w:t>
      </w:r>
      <w:r>
        <w:rPr>
          <w:rFonts w:hint="eastAsia" w:ascii="仿宋_GB2312" w:hAnsi="仿宋_GB2312" w:eastAsia="仿宋_GB2312" w:cs="仿宋_GB2312"/>
          <w:sz w:val="32"/>
          <w:szCs w:val="32"/>
        </w:rPr>
        <w:t>财绩[20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邵阳县黄荆乡人民政府</w:t>
      </w:r>
      <w:r>
        <w:rPr>
          <w:rFonts w:hint="eastAsia" w:ascii="仿宋_GB2312" w:hAnsi="仿宋_GB2312" w:eastAsia="仿宋_GB2312" w:cs="仿宋_GB2312"/>
          <w:sz w:val="32"/>
          <w:szCs w:val="32"/>
        </w:rPr>
        <w:t>成立了绩效评价工作领导小组，负责绩效评价工作的组织领导和具体实施。评价小组采取座谈等方式听取情况，检查基本支出、项目支出有关账目，收集整理支出相关资料，并根据各部门报送的绩效自评材料进行分析，形成评价结论。</w:t>
      </w:r>
    </w:p>
    <w:p>
      <w:pPr>
        <w:ind w:firstLine="640" w:firstLineChars="200"/>
        <w:rPr>
          <w:rFonts w:hint="eastAsia" w:ascii="仿宋_GB2312" w:eastAsia="仿宋_GB2312"/>
          <w:sz w:val="30"/>
          <w:szCs w:val="30"/>
        </w:rPr>
      </w:pPr>
      <w:r>
        <w:rPr>
          <w:rFonts w:hint="eastAsia" w:ascii="仿宋" w:hAnsi="仿宋" w:eastAsia="仿宋" w:cs="仿宋"/>
          <w:i w:val="0"/>
          <w:iCs w:val="0"/>
          <w:caps w:val="0"/>
          <w:color w:val="333333"/>
          <w:spacing w:val="0"/>
          <w:sz w:val="32"/>
          <w:szCs w:val="32"/>
          <w:lang w:val="en-US" w:eastAsia="zh-CN"/>
        </w:rPr>
        <w:t>2022年</w:t>
      </w:r>
      <w:r>
        <w:rPr>
          <w:rFonts w:ascii="仿宋" w:hAnsi="仿宋" w:eastAsia="仿宋" w:cs="仿宋"/>
          <w:i w:val="0"/>
          <w:iCs w:val="0"/>
          <w:caps w:val="0"/>
          <w:color w:val="333333"/>
          <w:spacing w:val="0"/>
          <w:sz w:val="32"/>
          <w:szCs w:val="32"/>
        </w:rPr>
        <w:t>我</w:t>
      </w:r>
      <w:r>
        <w:rPr>
          <w:rFonts w:hint="eastAsia" w:ascii="仿宋" w:hAnsi="仿宋" w:eastAsia="仿宋" w:cs="仿宋"/>
          <w:i w:val="0"/>
          <w:iCs w:val="0"/>
          <w:caps w:val="0"/>
          <w:color w:val="333333"/>
          <w:spacing w:val="0"/>
          <w:sz w:val="32"/>
          <w:szCs w:val="32"/>
          <w:lang w:eastAsia="zh-CN"/>
        </w:rPr>
        <w:t>乡</w:t>
      </w:r>
      <w:r>
        <w:rPr>
          <w:rFonts w:ascii="仿宋" w:hAnsi="仿宋" w:eastAsia="仿宋" w:cs="仿宋"/>
          <w:i w:val="0"/>
          <w:iCs w:val="0"/>
          <w:caps w:val="0"/>
          <w:color w:val="333333"/>
          <w:spacing w:val="0"/>
          <w:sz w:val="32"/>
          <w:szCs w:val="32"/>
        </w:rPr>
        <w:t>积极履职，强化管理，较好的完成了年度工作目标。通过加强预算收支管理，不断建立健全内部管理制度，梳理内部管理流程，整体支出管理水平得到提升；各项绩效指标均达到了预期效果。根据部门整体支出绩效评价指标体系，我</w:t>
      </w:r>
      <w:r>
        <w:rPr>
          <w:rFonts w:hint="eastAsia" w:ascii="仿宋" w:hAnsi="仿宋" w:eastAsia="仿宋" w:cs="仿宋"/>
          <w:i w:val="0"/>
          <w:iCs w:val="0"/>
          <w:caps w:val="0"/>
          <w:color w:val="333333"/>
          <w:spacing w:val="0"/>
          <w:sz w:val="32"/>
          <w:szCs w:val="32"/>
          <w:lang w:eastAsia="zh-CN"/>
        </w:rPr>
        <w:t>乡</w:t>
      </w:r>
      <w:r>
        <w:rPr>
          <w:rFonts w:hint="eastAsia" w:ascii="仿宋" w:hAnsi="仿宋" w:eastAsia="仿宋" w:cs="仿宋"/>
          <w:i w:val="0"/>
          <w:iCs w:val="0"/>
          <w:caps w:val="0"/>
          <w:color w:val="333333"/>
          <w:spacing w:val="0"/>
          <w:sz w:val="32"/>
          <w:szCs w:val="32"/>
        </w:rPr>
        <w:t>年度</w:t>
      </w:r>
      <w:r>
        <w:rPr>
          <w:rFonts w:hint="eastAsia" w:ascii="仿宋" w:hAnsi="仿宋" w:eastAsia="仿宋" w:cs="仿宋"/>
          <w:i w:val="0"/>
          <w:iCs w:val="0"/>
          <w:caps w:val="0"/>
          <w:color w:val="333333"/>
          <w:spacing w:val="-2"/>
          <w:sz w:val="32"/>
          <w:szCs w:val="32"/>
        </w:rPr>
        <w:t>部门整体支出绩效自评</w:t>
      </w:r>
      <w:r>
        <w:rPr>
          <w:rFonts w:hint="eastAsia" w:ascii="仿宋" w:hAnsi="仿宋" w:eastAsia="仿宋" w:cs="仿宋"/>
          <w:i w:val="0"/>
          <w:iCs w:val="0"/>
          <w:caps w:val="0"/>
          <w:color w:val="333333"/>
          <w:spacing w:val="-2"/>
          <w:sz w:val="32"/>
          <w:szCs w:val="32"/>
          <w:lang w:val="en-US" w:eastAsia="zh-CN"/>
        </w:rPr>
        <w:t>95</w:t>
      </w:r>
      <w:r>
        <w:rPr>
          <w:rFonts w:hint="eastAsia" w:ascii="仿宋" w:hAnsi="仿宋" w:eastAsia="仿宋" w:cs="仿宋"/>
          <w:i w:val="0"/>
          <w:iCs w:val="0"/>
          <w:caps w:val="0"/>
          <w:color w:val="333333"/>
          <w:spacing w:val="0"/>
          <w:sz w:val="32"/>
          <w:szCs w:val="32"/>
        </w:rPr>
        <w:t>分</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仿宋" w:hAnsi="仿宋" w:eastAsia="仿宋" w:cs="仿宋"/>
          <w:b/>
          <w:bCs/>
          <w:sz w:val="32"/>
          <w:szCs w:val="32"/>
        </w:rPr>
      </w:pPr>
      <w:r>
        <w:rPr>
          <w:rFonts w:hint="eastAsia"/>
          <w:sz w:val="32"/>
          <w:szCs w:val="32"/>
          <w:lang w:val="en-US" w:eastAsia="zh-CN"/>
        </w:rPr>
        <w:t xml:space="preserve">  </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）党的建设方面</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643" w:firstLineChars="200"/>
        <w:textAlignment w:val="auto"/>
        <w:rPr>
          <w:rFonts w:hint="eastAsia" w:ascii="仿宋" w:hAnsi="仿宋" w:eastAsia="仿宋" w:cs="仿宋"/>
          <w:kern w:val="2"/>
          <w:sz w:val="32"/>
          <w:szCs w:val="32"/>
        </w:rPr>
      </w:pPr>
      <w:r>
        <w:rPr>
          <w:rFonts w:hint="eastAsia" w:ascii="仿宋" w:hAnsi="仿宋" w:eastAsia="仿宋" w:cs="仿宋"/>
          <w:b/>
          <w:bCs/>
          <w:kern w:val="2"/>
          <w:sz w:val="32"/>
          <w:szCs w:val="32"/>
        </w:rPr>
        <w:t>一是</w:t>
      </w:r>
      <w:r>
        <w:rPr>
          <w:rFonts w:hint="eastAsia" w:ascii="仿宋" w:hAnsi="仿宋" w:eastAsia="仿宋" w:cs="仿宋"/>
          <w:b w:val="0"/>
          <w:bCs w:val="0"/>
          <w:kern w:val="2"/>
          <w:sz w:val="32"/>
          <w:szCs w:val="32"/>
        </w:rPr>
        <w:t>深化理论学习多种形式开展学习教育。以党员冬春训、组织生活会、每月主题党日活动、微党课等为载体，采取集中实地培训、送学上门、线上培训等方式组织农村党员开展政策理论培训，确保每名党员参与学习培训，全乡党员轮训一遍。安排部署各支部开展“金秋五课”学习，并通过撰写学习心得、交流感想等方式强化学习效果。</w:t>
      </w:r>
      <w:r>
        <w:rPr>
          <w:rFonts w:hint="eastAsia" w:ascii="仿宋" w:hAnsi="仿宋" w:eastAsia="仿宋" w:cs="仿宋"/>
          <w:b w:val="0"/>
          <w:bCs w:val="0"/>
          <w:kern w:val="2"/>
          <w:sz w:val="32"/>
          <w:szCs w:val="32"/>
          <w:lang w:val="en-US" w:eastAsia="zh-CN"/>
        </w:rPr>
        <w:t>二</w:t>
      </w:r>
      <w:r>
        <w:rPr>
          <w:rFonts w:hint="eastAsia" w:ascii="仿宋_GB2312" w:hAnsi="仿宋_GB2312" w:eastAsia="仿宋_GB2312" w:cs="仿宋_GB2312"/>
          <w:b/>
          <w:bCs/>
          <w:color w:val="auto"/>
          <w:kern w:val="2"/>
          <w:sz w:val="32"/>
          <w:szCs w:val="32"/>
          <w:highlight w:val="none"/>
          <w:lang w:val="en-US" w:eastAsia="zh-CN" w:bidi="ar-SA"/>
        </w:rPr>
        <w:t>是</w:t>
      </w:r>
      <w:r>
        <w:rPr>
          <w:rFonts w:hint="eastAsia" w:ascii="仿宋_GB2312" w:hAnsi="仿宋_GB2312" w:eastAsia="仿宋_GB2312" w:cs="仿宋_GB2312"/>
          <w:b w:val="0"/>
          <w:bCs w:val="0"/>
          <w:color w:val="auto"/>
          <w:kern w:val="2"/>
          <w:sz w:val="32"/>
          <w:szCs w:val="32"/>
          <w:highlight w:val="none"/>
          <w:lang w:val="en-US" w:eastAsia="zh-CN" w:bidi="ar-SA"/>
        </w:rPr>
        <w:t>积极落实主体责任，</w:t>
      </w:r>
      <w:r>
        <w:rPr>
          <w:rFonts w:hint="eastAsia" w:ascii="仿宋_GB2312" w:hAnsi="仿宋_GB2312" w:eastAsia="仿宋_GB2312" w:cs="仿宋_GB2312"/>
          <w:color w:val="auto"/>
          <w:kern w:val="2"/>
          <w:sz w:val="32"/>
          <w:szCs w:val="32"/>
          <w:highlight w:val="none"/>
          <w:lang w:val="en-US" w:eastAsia="zh-CN" w:bidi="ar-SA"/>
        </w:rPr>
        <w:t>聚焦基层党建各项重点任务。认真完成基层党组织整建提质专项行动，整顿大付软弱涣散党组织；党务工作有关问题清查整治专项行动；推荐出席党的二十大代表候选人工作；排查整顿农村发展党员违规违纪问题工作；党员档案室规范化建设等重点工作都亲自交办督导完成。</w:t>
      </w:r>
      <w:r>
        <w:rPr>
          <w:rFonts w:hint="eastAsia" w:ascii="仿宋_GB2312" w:hAnsi="楷体" w:eastAsia="仿宋_GB2312"/>
          <w:b w:val="0"/>
          <w:bCs/>
          <w:sz w:val="32"/>
          <w:szCs w:val="32"/>
          <w:highlight w:val="none"/>
        </w:rPr>
        <w:t>开展党群连心“五个到户”行动，村党组织每周召开1次民情碰头会，收集梳理“民情台账”，及时解决群众反映的具体问题。</w:t>
      </w:r>
      <w:r>
        <w:rPr>
          <w:rFonts w:hint="eastAsia" w:ascii="仿宋_GB2312" w:hAnsi="楷体" w:eastAsia="仿宋_GB2312"/>
          <w:b w:val="0"/>
          <w:bCs/>
          <w:sz w:val="32"/>
          <w:szCs w:val="32"/>
          <w:highlight w:val="none"/>
          <w:lang w:val="en-US" w:eastAsia="zh-CN"/>
        </w:rPr>
        <w:t>在一片一长三员”网格矩阵建设基础上开展村民代表常态化联系服务群众和乡村治理积分制试点工作。</w:t>
      </w:r>
      <w:r>
        <w:rPr>
          <w:rFonts w:hint="eastAsia" w:ascii="仿宋" w:hAnsi="仿宋" w:eastAsia="仿宋" w:cs="仿宋"/>
          <w:b/>
          <w:bCs/>
          <w:kern w:val="2"/>
          <w:sz w:val="32"/>
          <w:szCs w:val="32"/>
        </w:rPr>
        <w:t>三是</w:t>
      </w:r>
      <w:r>
        <w:rPr>
          <w:rFonts w:hint="eastAsia" w:ascii="仿宋" w:hAnsi="仿宋" w:eastAsia="仿宋" w:cs="仿宋"/>
          <w:kern w:val="2"/>
          <w:sz w:val="32"/>
          <w:szCs w:val="32"/>
          <w:lang w:eastAsia="zh-CN"/>
        </w:rPr>
        <w:t>乡</w:t>
      </w:r>
      <w:r>
        <w:rPr>
          <w:rFonts w:hint="eastAsia" w:ascii="仿宋" w:hAnsi="仿宋" w:eastAsia="仿宋" w:cs="仿宋"/>
          <w:kern w:val="2"/>
          <w:sz w:val="32"/>
          <w:szCs w:val="32"/>
        </w:rPr>
        <w:t>党委扛稳压实全面从严治党的主体责任，党委书记严格落实管党治党的政治责任，</w:t>
      </w:r>
      <w:r>
        <w:rPr>
          <w:rFonts w:hint="eastAsia" w:ascii="仿宋" w:hAnsi="仿宋" w:eastAsia="仿宋" w:cs="仿宋"/>
          <w:kern w:val="2"/>
          <w:sz w:val="32"/>
          <w:szCs w:val="32"/>
          <w:lang w:eastAsia="zh-CN"/>
        </w:rPr>
        <w:t>乡</w:t>
      </w:r>
      <w:r>
        <w:rPr>
          <w:rFonts w:hint="eastAsia" w:ascii="仿宋" w:hAnsi="仿宋" w:eastAsia="仿宋" w:cs="仿宋"/>
          <w:kern w:val="2"/>
          <w:sz w:val="32"/>
          <w:szCs w:val="32"/>
        </w:rPr>
        <w:t>纪检依法依纪履行职责。</w:t>
      </w:r>
      <w:r>
        <w:rPr>
          <w:rFonts w:hint="eastAsia" w:ascii="仿宋" w:hAnsi="仿宋" w:eastAsia="仿宋" w:cs="仿宋"/>
          <w:b/>
          <w:bCs/>
          <w:kern w:val="2"/>
          <w:sz w:val="32"/>
          <w:szCs w:val="32"/>
        </w:rPr>
        <w:t>四是</w:t>
      </w:r>
      <w:r>
        <w:rPr>
          <w:rFonts w:hint="eastAsia" w:ascii="仿宋" w:hAnsi="仿宋" w:eastAsia="仿宋" w:cs="仿宋"/>
          <w:kern w:val="2"/>
          <w:sz w:val="32"/>
          <w:szCs w:val="32"/>
        </w:rPr>
        <w:t>以绩效考核为抓手，对干部职工实行严管和厚爱。采取系列措施有效遏制了干部迟到早退和跑通学的现象。严治“庸、懒、散”，保持高压态势，坚决查处违法违纪案件。</w:t>
      </w:r>
      <w:r>
        <w:rPr>
          <w:rFonts w:hint="eastAsia" w:ascii="仿宋" w:hAnsi="仿宋" w:eastAsia="仿宋" w:cs="仿宋"/>
          <w:b/>
          <w:bCs/>
          <w:kern w:val="2"/>
          <w:sz w:val="32"/>
          <w:szCs w:val="32"/>
          <w:lang w:val="en-US" w:eastAsia="zh-CN"/>
        </w:rPr>
        <w:t>五</w:t>
      </w:r>
      <w:r>
        <w:rPr>
          <w:rFonts w:hint="eastAsia" w:ascii="仿宋" w:hAnsi="仿宋" w:eastAsia="仿宋" w:cs="仿宋"/>
          <w:b/>
          <w:bCs/>
          <w:kern w:val="2"/>
          <w:sz w:val="32"/>
          <w:szCs w:val="32"/>
        </w:rPr>
        <w:t>是</w:t>
      </w:r>
      <w:r>
        <w:rPr>
          <w:rFonts w:hint="eastAsia" w:ascii="仿宋" w:hAnsi="仿宋" w:eastAsia="仿宋" w:cs="仿宋"/>
          <w:kern w:val="2"/>
          <w:sz w:val="32"/>
          <w:szCs w:val="32"/>
        </w:rPr>
        <w:t>深入推进“廉洁单位”创建，教育</w:t>
      </w:r>
      <w:r>
        <w:rPr>
          <w:rFonts w:hint="eastAsia" w:ascii="仿宋" w:hAnsi="仿宋" w:eastAsia="仿宋" w:cs="仿宋"/>
          <w:kern w:val="2"/>
          <w:sz w:val="32"/>
          <w:szCs w:val="32"/>
          <w:lang w:eastAsia="zh-CN"/>
        </w:rPr>
        <w:t>乡</w:t>
      </w:r>
      <w:r>
        <w:rPr>
          <w:rFonts w:hint="eastAsia" w:ascii="仿宋" w:hAnsi="仿宋" w:eastAsia="仿宋" w:cs="仿宋"/>
          <w:kern w:val="2"/>
          <w:sz w:val="32"/>
          <w:szCs w:val="32"/>
        </w:rPr>
        <w:t>村党员干部遵规守纪。扎实开展“带着板凳进村”活动，解决群众实际问题，打通服务群众“最后一公里”。畅通信访渠道，化解信访矛盾，变群众“上访”为干部“下访”。组织全</w:t>
      </w:r>
      <w:r>
        <w:rPr>
          <w:rFonts w:hint="eastAsia" w:ascii="仿宋" w:hAnsi="仿宋" w:eastAsia="仿宋" w:cs="仿宋"/>
          <w:kern w:val="2"/>
          <w:sz w:val="32"/>
          <w:szCs w:val="32"/>
          <w:lang w:val="en-US" w:eastAsia="zh-CN"/>
        </w:rPr>
        <w:t>乡机关干部</w:t>
      </w:r>
      <w:r>
        <w:rPr>
          <w:rFonts w:hint="eastAsia" w:ascii="仿宋" w:hAnsi="仿宋" w:eastAsia="仿宋" w:cs="仿宋"/>
          <w:kern w:val="2"/>
          <w:sz w:val="32"/>
          <w:szCs w:val="32"/>
        </w:rPr>
        <w:t>到</w:t>
      </w:r>
      <w:r>
        <w:rPr>
          <w:rFonts w:hint="eastAsia" w:ascii="仿宋" w:hAnsi="仿宋" w:eastAsia="仿宋" w:cs="仿宋"/>
          <w:kern w:val="2"/>
          <w:sz w:val="32"/>
          <w:szCs w:val="32"/>
          <w:lang w:val="en-US" w:eastAsia="zh-CN"/>
        </w:rPr>
        <w:t>新一中禁毒基地</w:t>
      </w:r>
      <w:r>
        <w:rPr>
          <w:rFonts w:hint="eastAsia" w:ascii="仿宋" w:hAnsi="仿宋" w:eastAsia="仿宋" w:cs="仿宋"/>
          <w:kern w:val="2"/>
          <w:sz w:val="32"/>
          <w:szCs w:val="32"/>
        </w:rPr>
        <w:t>开展了</w:t>
      </w:r>
      <w:r>
        <w:rPr>
          <w:rFonts w:hint="eastAsia" w:ascii="仿宋" w:hAnsi="仿宋" w:eastAsia="仿宋" w:cs="仿宋"/>
          <w:kern w:val="2"/>
          <w:sz w:val="32"/>
          <w:szCs w:val="32"/>
          <w:lang w:val="en-US" w:eastAsia="zh-CN"/>
        </w:rPr>
        <w:t>禁毒教育</w:t>
      </w:r>
      <w:r>
        <w:rPr>
          <w:rFonts w:hint="eastAsia" w:ascii="仿宋" w:hAnsi="仿宋" w:eastAsia="仿宋" w:cs="仿宋"/>
          <w:kern w:val="2"/>
          <w:sz w:val="32"/>
          <w:szCs w:val="32"/>
        </w:rPr>
        <w:t>活动。</w:t>
      </w:r>
      <w:r>
        <w:rPr>
          <w:rFonts w:hint="eastAsia" w:ascii="仿宋" w:hAnsi="仿宋" w:eastAsia="仿宋" w:cs="仿宋"/>
          <w:b/>
          <w:bCs/>
          <w:kern w:val="2"/>
          <w:sz w:val="32"/>
          <w:szCs w:val="32"/>
        </w:rPr>
        <w:t>七是</w:t>
      </w:r>
      <w:r>
        <w:rPr>
          <w:rFonts w:hint="eastAsia" w:ascii="仿宋" w:hAnsi="仿宋" w:eastAsia="仿宋" w:cs="仿宋"/>
          <w:kern w:val="2"/>
          <w:sz w:val="32"/>
          <w:szCs w:val="32"/>
          <w:lang w:eastAsia="zh-CN"/>
        </w:rPr>
        <w:t>乡</w:t>
      </w:r>
      <w:r>
        <w:rPr>
          <w:rFonts w:hint="eastAsia" w:ascii="仿宋" w:hAnsi="仿宋" w:eastAsia="仿宋" w:cs="仿宋"/>
          <w:kern w:val="2"/>
          <w:sz w:val="32"/>
          <w:szCs w:val="32"/>
        </w:rPr>
        <w:t>党委政府领导班子矢志不渝担负起意识形态一岗双责，大力践行社会主义核心价值观，以党风引领民风向好转变。党政班子成员带队深入</w:t>
      </w:r>
      <w:r>
        <w:rPr>
          <w:rFonts w:hint="eastAsia" w:ascii="仿宋" w:hAnsi="仿宋" w:eastAsia="仿宋" w:cs="仿宋"/>
          <w:kern w:val="2"/>
          <w:sz w:val="32"/>
          <w:szCs w:val="32"/>
          <w:lang w:val="en-US" w:eastAsia="zh-CN"/>
        </w:rPr>
        <w:t>各村支部</w:t>
      </w:r>
      <w:r>
        <w:rPr>
          <w:rFonts w:hint="eastAsia" w:ascii="仿宋" w:hAnsi="仿宋" w:eastAsia="仿宋" w:cs="仿宋"/>
          <w:kern w:val="2"/>
          <w:sz w:val="32"/>
          <w:szCs w:val="32"/>
        </w:rPr>
        <w:t>开展“</w:t>
      </w:r>
      <w:r>
        <w:rPr>
          <w:rFonts w:hint="eastAsia" w:ascii="仿宋" w:hAnsi="仿宋" w:eastAsia="仿宋" w:cs="仿宋"/>
          <w:kern w:val="2"/>
          <w:sz w:val="32"/>
          <w:szCs w:val="32"/>
          <w:lang w:val="en-US" w:eastAsia="zh-CN"/>
        </w:rPr>
        <w:t>党课开讲啦</w:t>
      </w:r>
      <w:r>
        <w:rPr>
          <w:rFonts w:hint="eastAsia" w:ascii="仿宋" w:hAnsi="仿宋" w:eastAsia="仿宋" w:cs="仿宋"/>
          <w:kern w:val="2"/>
          <w:sz w:val="32"/>
          <w:szCs w:val="32"/>
        </w:rPr>
        <w:t>”，弘扬正能量。</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1"/>
        <w:rPr>
          <w:rFonts w:hint="eastAsia" w:ascii="仿宋" w:hAnsi="仿宋" w:eastAsia="仿宋" w:cs="仿宋"/>
          <w:kern w:val="2"/>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高质量发展</w:t>
      </w:r>
      <w:r>
        <w:rPr>
          <w:rFonts w:hint="eastAsia" w:ascii="仿宋" w:hAnsi="仿宋" w:eastAsia="仿宋" w:cs="仿宋"/>
          <w:b/>
          <w:bCs/>
          <w:sz w:val="32"/>
          <w:szCs w:val="32"/>
        </w:rPr>
        <w:t>方面</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lang w:val="en-US" w:eastAsia="zh-CN"/>
        </w:rPr>
        <w:t>1-10月</w:t>
      </w:r>
      <w:r>
        <w:rPr>
          <w:rFonts w:hint="eastAsia" w:ascii="仿宋" w:hAnsi="仿宋" w:eastAsia="仿宋" w:cs="仿宋"/>
          <w:sz w:val="32"/>
          <w:szCs w:val="32"/>
        </w:rPr>
        <w:t>完成固定资产投资</w:t>
      </w:r>
      <w:r>
        <w:rPr>
          <w:rFonts w:hint="eastAsia" w:ascii="仿宋" w:hAnsi="仿宋" w:eastAsia="仿宋" w:cs="仿宋"/>
          <w:sz w:val="32"/>
          <w:szCs w:val="32"/>
          <w:lang w:val="en-US" w:eastAsia="zh-CN"/>
        </w:rPr>
        <w:t>5927万</w:t>
      </w:r>
      <w:r>
        <w:rPr>
          <w:rFonts w:hint="eastAsia" w:ascii="仿宋" w:hAnsi="仿宋" w:eastAsia="仿宋" w:cs="仿宋"/>
          <w:sz w:val="32"/>
          <w:szCs w:val="32"/>
        </w:rPr>
        <w:t>元，</w:t>
      </w:r>
      <w:r>
        <w:rPr>
          <w:rFonts w:hint="eastAsia" w:ascii="仿宋" w:hAnsi="仿宋" w:eastAsia="仿宋" w:cs="仿宋"/>
          <w:sz w:val="32"/>
          <w:szCs w:val="32"/>
          <w:lang w:val="en-US" w:eastAsia="zh-CN"/>
        </w:rPr>
        <w:t>1-8月</w:t>
      </w:r>
      <w:r>
        <w:rPr>
          <w:rFonts w:hint="eastAsia" w:ascii="仿宋" w:hAnsi="仿宋" w:eastAsia="仿宋" w:cs="仿宋"/>
          <w:sz w:val="32"/>
          <w:szCs w:val="32"/>
        </w:rPr>
        <w:t>社会销售品零售总额</w:t>
      </w:r>
      <w:r>
        <w:rPr>
          <w:rFonts w:hint="eastAsia" w:ascii="仿宋" w:hAnsi="仿宋" w:eastAsia="仿宋" w:cs="仿宋"/>
          <w:sz w:val="32"/>
          <w:szCs w:val="32"/>
          <w:lang w:val="en-US" w:eastAsia="zh-CN"/>
        </w:rPr>
        <w:t>6649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同比增幅3.78%。</w:t>
      </w:r>
      <w:r>
        <w:rPr>
          <w:rFonts w:hint="eastAsia" w:ascii="仿宋" w:hAnsi="仿宋" w:eastAsia="仿宋" w:cs="仿宋"/>
          <w:sz w:val="32"/>
          <w:szCs w:val="32"/>
        </w:rPr>
        <w:t>全乡动员、全民发动、全员招商引资。到目前为止，完成湖南玲浓源农业有限公司建设项目3000万，邵阳白马中药材加销融合产业园项目3000万。腊树村新增一家帮扶车间奥金休闲有限公司</w:t>
      </w:r>
      <w:r>
        <w:rPr>
          <w:rFonts w:hint="eastAsia" w:ascii="仿宋" w:hAnsi="仿宋" w:eastAsia="仿宋" w:cs="仿宋"/>
          <w:sz w:val="32"/>
          <w:szCs w:val="32"/>
          <w:lang w:eastAsia="zh-CN"/>
        </w:rPr>
        <w:t>，带动当地27人就业。城镇新增80人已完成。。</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三）法制</w:t>
      </w:r>
      <w:r>
        <w:rPr>
          <w:rFonts w:hint="eastAsia" w:ascii="仿宋" w:hAnsi="仿宋" w:eastAsia="仿宋" w:cs="仿宋"/>
          <w:b/>
          <w:bCs/>
          <w:sz w:val="32"/>
          <w:szCs w:val="32"/>
        </w:rPr>
        <w:t>建设方面</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1、加强</w:t>
      </w:r>
      <w:r>
        <w:rPr>
          <w:rFonts w:hint="eastAsia" w:ascii="仿宋" w:hAnsi="仿宋" w:eastAsia="仿宋" w:cs="仿宋"/>
          <w:b/>
          <w:bCs/>
          <w:sz w:val="32"/>
          <w:szCs w:val="32"/>
          <w:lang w:val="en-US" w:eastAsia="zh-CN"/>
        </w:rPr>
        <w:t>普法</w:t>
      </w:r>
      <w:r>
        <w:rPr>
          <w:rFonts w:hint="eastAsia" w:ascii="仿宋" w:hAnsi="仿宋" w:eastAsia="仿宋" w:cs="仿宋"/>
          <w:b/>
          <w:bCs/>
          <w:sz w:val="32"/>
          <w:szCs w:val="32"/>
        </w:rPr>
        <w:t>宣传和执法力度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严格按照全县法治政府建设整改方案要求进行整改</w:t>
      </w:r>
      <w:r>
        <w:rPr>
          <w:rFonts w:hint="eastAsia" w:ascii="仿宋" w:hAnsi="仿宋" w:eastAsia="仿宋" w:cs="仿宋"/>
          <w:sz w:val="32"/>
          <w:szCs w:val="32"/>
          <w:lang w:eastAsia="zh-CN"/>
        </w:rPr>
        <w:t>，</w:t>
      </w:r>
      <w:r>
        <w:rPr>
          <w:rFonts w:hint="eastAsia" w:ascii="仿宋" w:hAnsi="仿宋" w:eastAsia="仿宋" w:cs="仿宋"/>
          <w:sz w:val="32"/>
          <w:szCs w:val="32"/>
        </w:rPr>
        <w:t>党政机关严格按照文件要求聘请了湖南嘉衡律师事务所刘星耀作为法律顾问；同时辖区内9个行政村均聘请了法律顾问。扎实落实国家工作人员学法考法制度，本年度单位学分达标率、参学率、报考率、通过率均实现了100%</w:t>
      </w:r>
      <w:r>
        <w:rPr>
          <w:rFonts w:hint="eastAsia" w:ascii="仿宋" w:hAnsi="仿宋" w:eastAsia="仿宋" w:cs="仿宋"/>
          <w:sz w:val="32"/>
          <w:szCs w:val="32"/>
          <w:lang w:eastAsia="zh-CN"/>
        </w:rPr>
        <w:t>。</w:t>
      </w:r>
      <w:r>
        <w:rPr>
          <w:rFonts w:hint="eastAsia" w:ascii="仿宋" w:hAnsi="仿宋" w:eastAsia="仿宋" w:cs="仿宋"/>
          <w:sz w:val="32"/>
          <w:szCs w:val="32"/>
        </w:rPr>
        <w:t>认真落实“谁执法、谁普法”责任制，辖区内开展了村民法治学校授课11次，法治进校园活动7次；同时积极开展了元旦、春节送法下乡活动、6.26国际禁毒日、12.4国家宪法宣传周等多种形式的普法宣传教育。党政主要负责人唐维同志、张琳滨同志均开展了法治政府建设述职报告。</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加强信访维稳工作</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严格落实上级关于社会治理六项重点工作内容，圆满完成党的二十大维稳安保工作，认真梳理年度重点专项工作，综治民调满意度比上年进步明显。信访办严格落实每日的领导接访制度，坚持首访负责制，坚持“零报告”制度。各村组织网格员、安全员进行入户走访摸排工作，及时掌握各村的维稳动态。坚持问题导向，在基层围绕问题、公共安全和社会治安风险持续开展隐患排查整治工作通过查漏洞、补短板、建机制，将各类苗头性、倾向性问题化解在早在小。坚持结果导向，通过关口前移、重心下沉、力量下倾，努力做到矛盾不上交、平安不出事、服务不缺位。扎实推进疑难信访案件化解。按照“三到位一处理”原则，想尽办理全力化解信访案件，</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3、加强</w:t>
      </w:r>
      <w:r>
        <w:rPr>
          <w:rFonts w:hint="eastAsia" w:ascii="仿宋" w:hAnsi="仿宋" w:eastAsia="仿宋" w:cs="仿宋"/>
          <w:b/>
          <w:bCs/>
          <w:sz w:val="32"/>
          <w:szCs w:val="32"/>
          <w:lang w:val="en-US" w:eastAsia="zh-CN"/>
        </w:rPr>
        <w:t>禁毒反电诈</w:t>
      </w:r>
      <w:r>
        <w:rPr>
          <w:rFonts w:hint="eastAsia" w:ascii="仿宋" w:hAnsi="仿宋" w:eastAsia="仿宋" w:cs="仿宋"/>
          <w:b/>
          <w:bCs/>
          <w:sz w:val="32"/>
          <w:szCs w:val="32"/>
        </w:rPr>
        <w:t>工作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黄荆乡涉诈三类人员10名一户一档资料全部建立，目前管控到位的有9人，国家反电诈APP 下载数量达到了3900多个，全乡创立了无毒无诈村3个，并且积极开展了无毒无诈工作，2022年我乡没有新增涉诈人员。两卡人员打击率和线索摸排工作均达到全县先进水平，我乡悬挂宣传横幅500余条，固定永久性宣传标语35条，每家每户张贴了反电诈通告5000多份，做到户户张贴到位</w:t>
      </w:r>
      <w:r>
        <w:rPr>
          <w:rFonts w:hint="eastAsia" w:ascii="仿宋" w:hAnsi="仿宋" w:eastAsia="仿宋" w:cs="仿宋"/>
          <w:sz w:val="32"/>
          <w:szCs w:val="32"/>
          <w:lang w:eastAsia="zh-CN"/>
        </w:rPr>
        <w:t>。黄荆乡涉毒人员92名，全部建立一户一档案，做到思想动态和行踪全部管控到位、毛发检测达到78名（其中14名涉毒人员在监狱）毛发检测率100%。社区戒毒（康复）人员5人100%管控到位，强戒率、抓捕率和涉毒刑事案件办理等打击全部完成县禁毒委任务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四）产业发展</w:t>
      </w:r>
      <w:r>
        <w:rPr>
          <w:rFonts w:hint="eastAsia" w:ascii="仿宋" w:hAnsi="仿宋" w:eastAsia="仿宋" w:cs="仿宋"/>
          <w:b/>
          <w:bCs/>
          <w:sz w:val="32"/>
          <w:szCs w:val="32"/>
        </w:rPr>
        <w:t>方面</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1、重点项目征地拆迁。</w:t>
      </w:r>
      <w:r>
        <w:rPr>
          <w:rFonts w:hint="eastAsia" w:ascii="仿宋" w:hAnsi="仿宋" w:eastAsia="仿宋" w:cs="仿宋"/>
          <w:b w:val="0"/>
          <w:bCs w:val="0"/>
          <w:sz w:val="32"/>
          <w:szCs w:val="32"/>
          <w:lang w:val="en-US" w:eastAsia="zh-CN"/>
        </w:rPr>
        <w:t>在规定的时间内完成签订莲花山建筑石料用灰岩矿项目集体土地房屋拆迁合同16座，签订拆迁面积共3344平方米，签订附属设施拆迁合同4座。</w:t>
      </w:r>
    </w:p>
    <w:p>
      <w:pPr>
        <w:pStyle w:val="2"/>
        <w:ind w:left="0" w:leftChars="0"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2、市场主体倍增工程。</w:t>
      </w:r>
      <w:r>
        <w:rPr>
          <w:rFonts w:hint="eastAsia" w:ascii="仿宋" w:hAnsi="仿宋" w:eastAsia="仿宋" w:cs="仿宋"/>
          <w:b w:val="0"/>
          <w:bCs w:val="0"/>
          <w:sz w:val="32"/>
          <w:szCs w:val="32"/>
          <w:lang w:val="en-US" w:eastAsia="zh-CN"/>
        </w:rPr>
        <w:t>2022年，全乡市场主体总数242户，目标任务为233户；企业数主体74户，目标任务为 63 户；个转企完成1户，任务为1户。全部完成或超额完成任务。</w:t>
      </w:r>
    </w:p>
    <w:p>
      <w:pPr>
        <w:pStyle w:val="2"/>
        <w:ind w:left="0" w:leftChars="0"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3、油茶生产。</w:t>
      </w:r>
      <w:r>
        <w:rPr>
          <w:rFonts w:hint="eastAsia" w:ascii="仿宋" w:hAnsi="仿宋" w:eastAsia="仿宋" w:cs="仿宋"/>
          <w:b w:val="0"/>
          <w:bCs w:val="0"/>
          <w:sz w:val="32"/>
          <w:szCs w:val="32"/>
          <w:lang w:val="en-US" w:eastAsia="zh-CN"/>
        </w:rPr>
        <w:t>2022年全乡共有油茶8800多亩，补助油茶6400亩，今年新造800余亩，其中油茶抚育7900多亩。下一步计划：加大对油茶工作的宣传力度，加强对抚育林的检查力度，力争达到验收标准。</w:t>
      </w:r>
    </w:p>
    <w:p>
      <w:pPr>
        <w:pStyle w:val="2"/>
        <w:ind w:left="0" w:leftChars="0"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4、强化产业培训。</w:t>
      </w:r>
      <w:r>
        <w:rPr>
          <w:rFonts w:hint="eastAsia" w:ascii="仿宋" w:hAnsi="仿宋" w:eastAsia="仿宋" w:cs="仿宋"/>
          <w:b w:val="0"/>
          <w:bCs w:val="0"/>
          <w:sz w:val="32"/>
          <w:szCs w:val="32"/>
          <w:lang w:val="en-US" w:eastAsia="zh-CN"/>
        </w:rPr>
        <w:t>2022年累计培训致富带头人8人，其中产业发展型3人，乡村治理型3人，乡村建设型2人。</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1"/>
        <w:rPr>
          <w:rFonts w:ascii="仿宋" w:hAnsi="仿宋" w:eastAsia="仿宋"/>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五</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乡村振兴</w:t>
      </w:r>
      <w:r>
        <w:rPr>
          <w:rFonts w:hint="eastAsia" w:ascii="仿宋" w:hAnsi="仿宋" w:eastAsia="仿宋" w:cs="仿宋"/>
          <w:b/>
          <w:bCs/>
          <w:sz w:val="32"/>
          <w:szCs w:val="32"/>
        </w:rPr>
        <w:t>方面</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粮食安全</w:t>
      </w:r>
      <w:r>
        <w:rPr>
          <w:rFonts w:hint="eastAsia" w:ascii="仿宋" w:hAnsi="仿宋" w:eastAsia="仿宋" w:cs="仿宋"/>
          <w:b/>
          <w:bCs/>
          <w:sz w:val="32"/>
          <w:szCs w:val="32"/>
        </w:rPr>
        <w:t>。</w:t>
      </w:r>
      <w:r>
        <w:rPr>
          <w:rFonts w:hint="eastAsia" w:ascii="仿宋" w:hAnsi="仿宋" w:eastAsia="仿宋" w:cs="仿宋"/>
          <w:b w:val="0"/>
          <w:bCs w:val="0"/>
          <w:sz w:val="32"/>
          <w:szCs w:val="32"/>
        </w:rPr>
        <w:t>成立粮食生产指挥部、落实党政同责，制订粮食生产实施方案，将任务分解到村，责任到人，面积落实到丘块，采取村村响、张贴宣传标语、悬挂横幅等多种方式广泛宣传粮食生产、耕地消荒等农业政策，乡里并投入专项资金发展粮食生产、办点示范、耕地消荒，落实奖补到户，同时做好做好耕地地力保护补贴、稻谷目标价格补贴、大豆玉米复合种植面积的登记、核实、公示工作，按实及时足额发放耕地地力保护补贴、稻谷目标价格补贴大豆玉米复合种植面积奖励资金。全年完成粮食作物播种面积2.47万亩，总产量1.09万吨以上；完成大豆玉米复合种植任务面积1739.25亩，大豆面积0.13万亩。</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防返贫监测和帮扶</w:t>
      </w:r>
      <w:r>
        <w:rPr>
          <w:rFonts w:hint="eastAsia" w:ascii="仿宋" w:hAnsi="仿宋" w:eastAsia="仿宋" w:cs="仿宋"/>
          <w:b/>
          <w:bCs/>
          <w:sz w:val="32"/>
          <w:szCs w:val="32"/>
        </w:rPr>
        <w:t>方面</w:t>
      </w:r>
      <w:r>
        <w:rPr>
          <w:rFonts w:hint="eastAsia" w:ascii="仿宋" w:hAnsi="仿宋" w:eastAsia="仿宋" w:cs="仿宋"/>
          <w:sz w:val="32"/>
          <w:szCs w:val="32"/>
        </w:rPr>
        <w:t>。</w:t>
      </w:r>
      <w:r>
        <w:rPr>
          <w:rFonts w:hint="eastAsia" w:ascii="仿宋" w:hAnsi="仿宋" w:eastAsia="仿宋" w:cs="仿宋"/>
          <w:b w:val="0"/>
          <w:bCs w:val="0"/>
          <w:sz w:val="32"/>
          <w:szCs w:val="32"/>
        </w:rPr>
        <w:t>根据省防止返贫动态监测和帮扶工作方案，2022年我乡制定了《2022年防止返贫监测帮扶集中排查工作方案》，按照应纳尽纳的原则，对符合监测条件的46户165人按照程序纳入监测户管理，共安排225名帮扶责任人（其中省工作队3人，县干部79人，乡干部56人，村干部组长109人）对全乡974户3865人脱贫户（包含29户75人脱贫不稳定户、19户66人突发严重困难户）以及12户37人边缘易致贫户、7户24人突发严重困难户（档外农户）进行结对帮扶，严格落实15天内完成监测对象识别认定，10天内完成帮扶计划制定和帮扶措施申报，针对监测对象“缺什么补什么”原则落实帮扶措施。全乡未消除风险监测对象共计67户201人，其中享受低保107人，特困供养8人，残疾人生活补贴37人，护理补贴32人，高龄补贴1人，事实无人抚养8人，就业帮扶44人，产业帮扶49户，监测户至少享受民政保障、就业帮扶、产业帮扶的一种或多种帮扶措施。全乡目前全国巩固脱贫攻坚成果和防返贫监测信息系统在档人员共计997户3934人，其中脱贫户926户3807人（其中已消除风险户4户15人），监测户67户201人（包含29户75人脱贫不稳定户、19户66人突发严重困难户（脱贫户），12户37人边缘易致贫户、7户23人突发严重困难户（档外农户）），4户8人已消除风险户（档外农户）。</w:t>
      </w:r>
    </w:p>
    <w:p>
      <w:pPr>
        <w:pStyle w:val="2"/>
        <w:ind w:left="0" w:leftChars="0" w:firstLine="643" w:firstLineChars="200"/>
        <w:rPr>
          <w:rFonts w:hint="default" w:eastAsia="仿宋"/>
          <w:lang w:val="en-US" w:eastAsia="zh-CN"/>
        </w:rPr>
      </w:pPr>
      <w:r>
        <w:rPr>
          <w:rFonts w:hint="eastAsia" w:ascii="仿宋" w:hAnsi="仿宋" w:eastAsia="仿宋" w:cs="仿宋"/>
          <w:b/>
          <w:bCs/>
          <w:sz w:val="32"/>
          <w:szCs w:val="32"/>
          <w:lang w:val="en-US" w:eastAsia="zh-CN"/>
        </w:rPr>
        <w:t>3、耕地保护方面。</w:t>
      </w:r>
      <w:r>
        <w:rPr>
          <w:rFonts w:hint="eastAsia" w:ascii="仿宋" w:hAnsi="仿宋" w:eastAsia="仿宋" w:cs="仿宋"/>
          <w:b w:val="0"/>
          <w:bCs w:val="0"/>
          <w:sz w:val="32"/>
          <w:szCs w:val="32"/>
          <w:lang w:val="en-US" w:eastAsia="zh-CN"/>
        </w:rPr>
        <w:t>我乡2022年耕地恢复任务854.14亩，目前已完成举证1031.84亩。我乡2021年度国土变更调查净减少耕地整改补足任务为29.46亩，已全部完成。成立耕地消荒指挥部，制订耕地消荒实施方案，及时摸排耕地非粮化面积和抛荒面积，全年完成耕地消荒治理面积3088.11亩。制定实施《黄荆乡田长制实施方案》、《黄荆乡关于加强耕地保护全面推行田长制的宣传工作方案》、《黄荆乡田长制工作巡查制度》，全面建立乡、村、网格三级田长制责任体系，健全田管员队伍，加强耕地保护政策的宣传和监管工作，达到实施全区域、全范围、全方位、全覆盖的动态巡查监管，做好巡田记录，建立台账，全年无违法占用耕地现象。农民建房成立联审联批办公室，明确专人负责，建立日常巡查、执法打击台账，联审联批各项制度完善并得到落实；辖区内不全年未发生乱占耕地和基本农田建房情况。</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4、乡村产业发展方面。</w:t>
      </w:r>
      <w:r>
        <w:rPr>
          <w:rFonts w:hint="eastAsia" w:ascii="仿宋" w:hAnsi="仿宋" w:eastAsia="仿宋" w:cs="仿宋"/>
          <w:b w:val="0"/>
          <w:bCs w:val="0"/>
          <w:sz w:val="32"/>
          <w:szCs w:val="32"/>
          <w:lang w:val="en-US" w:eastAsia="zh-CN"/>
        </w:rPr>
        <w:t>有产业发展能力和产业发展意愿的防返贫监测对象自精准识别起全乡55户180人全部纳入了产业帮扶，帮扶资金全部发放到位。完成油菜种植面积8900亩，其中乡办点示范面积650亩。2013年-2020年黄荆乡共计238个扶贫项目资产，按照《邵阳县扶贫资产管理制度（试行）》的要求，明确管护单位和责任人，4个光伏发电村建立了管理制度和分配方案；所有扶贫项目资产建立了扶贫项目资产后续管理台账，产权清晰。2022年全乡共完成36个项目申报，及时录入了全国防返贫监测系统并下达了资金计划文，所有实施项目均在项目库内。</w:t>
      </w:r>
    </w:p>
    <w:p>
      <w:pPr>
        <w:pStyle w:val="2"/>
        <w:ind w:left="0" w:leftChars="0"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5、农村人居环境整治提升方面。</w:t>
      </w:r>
      <w:r>
        <w:rPr>
          <w:rFonts w:hint="eastAsia" w:ascii="仿宋" w:hAnsi="仿宋" w:eastAsia="仿宋" w:cs="仿宋"/>
          <w:b w:val="0"/>
          <w:bCs w:val="0"/>
          <w:sz w:val="32"/>
          <w:szCs w:val="32"/>
          <w:lang w:val="en-US" w:eastAsia="zh-CN"/>
        </w:rPr>
        <w:t>年初市县下达黄荆乡拆除空心房任务数200栋，至2022年9月20日实际拆除538栋，我乡按要求、时间节点超额完成了空心房整治任务。积极开展村庄清洁行动、“周五大清扫活动”、爱国卫生运动，加大农村生活垃圾、村内塘沟、畜禽养殖粪污清扫、清运、保洁力度，全乡配备村、集镇保洁员共44人，每天坚持常态化保洁，严格实行保洁员考核考评制度，做到垃圾日产日清、区域卫生干净整洁。为深入贯彻落实省、市、县生态建设会议精神，持续推进农村人居环境整治，建设美丽生态家园，充分调动广大家庭参与“美丽庭院”建设的热情和积极性，2022年黄荆乡打造1个县级精品示范院落、1个乡级示范院落、6个村级示范院落，制定了《黄荆乡美丽庭院建设工作方案》，黄荆乡党委每月拿出1万元对各村美丽庭院进行评比，对成绩突出的前3名分别奖励5000元、3000元、2000元。；农村改厕分管领导由副乡长谭明伟负责，专干谢淑红具体落实；卫生厕所改(新)建200座，完成县定任务100%。改厕工作安排分管领导1名、专干1名，全年拆除旱厕388户393座，卫生厕所改(新)建县原分配任务数200座，已全部完工，后新增100座目前为止已完成85座。</w:t>
      </w:r>
    </w:p>
    <w:p>
      <w:pPr>
        <w:pStyle w:val="2"/>
        <w:ind w:left="0" w:leftChars="0"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6、异地扶贫搬迁和就业帮扶。</w:t>
      </w:r>
      <w:r>
        <w:rPr>
          <w:rFonts w:hint="eastAsia" w:ascii="仿宋" w:hAnsi="仿宋" w:eastAsia="仿宋" w:cs="仿宋"/>
          <w:b w:val="0"/>
          <w:bCs w:val="0"/>
          <w:sz w:val="32"/>
          <w:szCs w:val="32"/>
          <w:lang w:val="en-US" w:eastAsia="zh-CN"/>
        </w:rPr>
        <w:t>黄荆乡2016-2018年易地扶贫搬迁共完成97户344人，目前脱贫户在档96户340人（1户死亡），其中分散自建40户，小集中33户，大集中23户（塘渡口梅溪安置点），入住率100%；后续帮扶全覆盖，情况如下：就业人数166人，五保户3人，事实无人抚养孤儿3人，兜底保障57人。2022年年初制定了乡企业招工领导小组，全年共完成园区送工56人。2021年脱贫劳动力就业人数1547人，2022年脱贫劳动力就业人数1562人。</w:t>
      </w:r>
    </w:p>
    <w:p>
      <w:pPr>
        <w:pStyle w:val="2"/>
        <w:ind w:left="0" w:leftChars="0"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7、抓党建促乡村振兴。</w:t>
      </w:r>
      <w:r>
        <w:rPr>
          <w:rFonts w:hint="eastAsia" w:ascii="仿宋" w:hAnsi="仿宋" w:eastAsia="仿宋" w:cs="仿宋"/>
          <w:b w:val="0"/>
          <w:bCs w:val="0"/>
          <w:sz w:val="32"/>
          <w:szCs w:val="32"/>
          <w:lang w:val="en-US" w:eastAsia="zh-CN"/>
        </w:rPr>
        <w:t>认真履行管党治党主体责任，按要求认真开展民主生活会、基层党建述职评议考核，全面落实党支部“五化”建设，分领域制定实施细则，实现一个支部一个五化建设指导员，严格按照发展程序，完成党员年度发展计划；利用学习强国、红星云、主题党日活动认真开展党员教育管理，认真落实各项基层党建工作任务；充分发挥了党员的先锋模范带头作用，志愿参与新冠肺炎疫情防控，落实宣传、摸排和管控，制定集体经济发展规划，积极推动村级集体经济发展。成立黄荆乡驻村帮扶工作领导小组，继续向脱贫村、易地扶贫搬迁安置村、乡村振兴重点村党组织选派第一书记，选优配强基层党组织书记，发挥基层党组织的战斗堡垒作用。</w:t>
      </w:r>
    </w:p>
    <w:p>
      <w:pPr>
        <w:pStyle w:val="2"/>
        <w:ind w:left="0" w:leftChars="0" w:firstLine="643" w:firstLineChars="200"/>
        <w:rPr>
          <w:rFonts w:hint="default" w:ascii="仿宋" w:hAnsi="仿宋" w:eastAsia="仿宋" w:cs="仿宋"/>
          <w:b w:val="0"/>
          <w:bCs w:val="0"/>
          <w:color w:val="auto"/>
          <w:sz w:val="32"/>
          <w:szCs w:val="32"/>
          <w:lang w:val="en-US" w:eastAsia="zh-CN"/>
        </w:rPr>
      </w:pPr>
      <w:r>
        <w:rPr>
          <w:rFonts w:hint="eastAsia" w:ascii="仿宋" w:hAnsi="仿宋" w:eastAsia="仿宋" w:cs="仿宋"/>
          <w:b/>
          <w:bCs/>
          <w:sz w:val="32"/>
          <w:szCs w:val="32"/>
          <w:lang w:val="en-US" w:eastAsia="zh-CN"/>
        </w:rPr>
        <w:t>8、村集体经济方面。</w:t>
      </w:r>
      <w:r>
        <w:rPr>
          <w:rFonts w:hint="eastAsia" w:ascii="仿宋" w:hAnsi="仿宋" w:eastAsia="仿宋" w:cs="仿宋"/>
          <w:b w:val="0"/>
          <w:bCs w:val="0"/>
          <w:color w:val="auto"/>
          <w:sz w:val="32"/>
          <w:szCs w:val="32"/>
          <w:lang w:val="en-US" w:eastAsia="zh-CN"/>
        </w:rPr>
        <w:t>成立了黄荆乡集体经济发展领导小组，实行党委书记、乡长双组长制，全体党政班子成员联村包村，制定了集体经济发展工作责任分解台账，将集体经济发展纳入评先评优、提拔推荐、绩效考核重要指标，形成上下齐抓共管的工作局面。每季度专题研究村级集体经济发展工作，对各村集体经济发展措施按季度任务完成情况进行审议，建立“薄弱村”消除台账，明确责任人、责任时限，发展方案和目标。明确专人负责村集体经济收入情况录入湖南省互联网+监督管理平台，做到及时录入、应入尽入。2019年以来有1个重点扶持村：大坪村，拨付资金30万元，大坪村的重点扶持项目是30万元资金入股邵阳美丽来制发有限公司，已签订合同，实现集体经济稳步增收。2022年重点扶持村大付村，扶持资金50万元投入邵阳群民威旺种养专业合作社，合股固定分红。已签订合同。</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民生保障和</w:t>
      </w:r>
      <w:r>
        <w:rPr>
          <w:rFonts w:hint="eastAsia" w:ascii="仿宋" w:hAnsi="仿宋" w:eastAsia="仿宋" w:cs="仿宋"/>
          <w:b/>
          <w:bCs/>
          <w:sz w:val="32"/>
          <w:szCs w:val="32"/>
        </w:rPr>
        <w:t>环保工作方面</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1、医疗保障方面。</w:t>
      </w:r>
      <w:r>
        <w:rPr>
          <w:rFonts w:hint="eastAsia" w:ascii="仿宋" w:hAnsi="仿宋" w:eastAsia="仿宋" w:cs="仿宋"/>
          <w:b w:val="0"/>
          <w:bCs w:val="0"/>
          <w:sz w:val="32"/>
          <w:szCs w:val="32"/>
          <w:lang w:val="en-US" w:eastAsia="zh-CN"/>
        </w:rPr>
        <w:t>2022年我乡完成孕产妇免费产前筛查69人、新生儿先天性心脏病免费筛查53人以及农村适龄妇女和城镇低保适龄妇女“两癌”免费检查291人，城乡低保、残疾人“两项补贴”均按要求发放到位，全年项目基本完成。黄荆乡根据医保局工作要求完成2022年医保征缴15875人并超过完成上年度医保收缴人数和确保所有百分百参保人员收缴等工作。根据医保局建设村医保经办体系八有要求，全部落实到位并经过验收。</w:t>
      </w:r>
    </w:p>
    <w:p>
      <w:pPr>
        <w:pStyle w:val="2"/>
        <w:ind w:left="0" w:leftChars="0" w:firstLine="643" w:firstLineChars="200"/>
        <w:rPr>
          <w:rFonts w:hint="default"/>
          <w:lang w:val="en-US" w:eastAsia="zh-CN"/>
        </w:rPr>
      </w:pPr>
      <w:r>
        <w:rPr>
          <w:rFonts w:hint="eastAsia" w:ascii="仿宋" w:hAnsi="仿宋" w:eastAsia="仿宋" w:cs="仿宋"/>
          <w:b/>
          <w:bCs/>
          <w:sz w:val="32"/>
          <w:szCs w:val="32"/>
          <w:lang w:val="en-US" w:eastAsia="zh-CN"/>
        </w:rPr>
        <w:t>2、文明建设方面。一是</w:t>
      </w:r>
      <w:r>
        <w:rPr>
          <w:rFonts w:hint="eastAsia" w:ascii="仿宋" w:hAnsi="仿宋" w:eastAsia="仿宋" w:cs="仿宋"/>
          <w:b w:val="0"/>
          <w:bCs w:val="0"/>
          <w:sz w:val="32"/>
          <w:szCs w:val="32"/>
          <w:lang w:val="en-US" w:eastAsia="zh-CN"/>
        </w:rPr>
        <w:t>认真制定文明创建工作实施方案，健全党委统一领导、党政齐抓共管、新时代文明实践所组织协调、有关部门各负其责、全乡共同参与的领导体制和工作机制；</w:t>
      </w:r>
      <w:r>
        <w:rPr>
          <w:rFonts w:hint="eastAsia" w:ascii="仿宋" w:hAnsi="仿宋" w:eastAsia="仿宋" w:cs="仿宋"/>
          <w:b/>
          <w:bCs/>
          <w:sz w:val="32"/>
          <w:szCs w:val="32"/>
          <w:lang w:val="en-US" w:eastAsia="zh-CN"/>
        </w:rPr>
        <w:t>二是</w:t>
      </w:r>
      <w:r>
        <w:rPr>
          <w:rFonts w:hint="eastAsia" w:ascii="仿宋" w:hAnsi="仿宋" w:eastAsia="仿宋" w:cs="仿宋"/>
          <w:b w:val="0"/>
          <w:bCs w:val="0"/>
          <w:sz w:val="32"/>
          <w:szCs w:val="32"/>
          <w:lang w:val="en-US" w:eastAsia="zh-CN"/>
        </w:rPr>
        <w:t>发挥好新时代文明实践平台、共青团组织等阵地作用，做好志愿者队伍建设，深入开展面向群众的志愿服务、移风易俗、弘扬核心价值观等文明实践活动，打通教育群众、服务群众“最后一公里；</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积极组织理论宣讲活动，提高群众文明素质；深入开展人居环境整治工作、移风易俗、马路市场专项整治行动，抓好文明新村建设，提高乡风文明程度，树立良好社会风尚。</w:t>
      </w:r>
    </w:p>
    <w:p>
      <w:pPr>
        <w:keepNext w:val="0"/>
        <w:keepLines w:val="0"/>
        <w:pageBreakBefore w:val="0"/>
        <w:kinsoku/>
        <w:wordWrap/>
        <w:overflowPunct/>
        <w:topLinePunct w:val="0"/>
        <w:autoSpaceDE/>
        <w:autoSpaceDN/>
        <w:bidi w:val="0"/>
        <w:adjustRightInd/>
        <w:snapToGrid/>
        <w:spacing w:line="520" w:lineRule="exact"/>
        <w:ind w:firstLine="42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3、环保工作方面。</w:t>
      </w:r>
      <w:r>
        <w:rPr>
          <w:rFonts w:hint="eastAsia" w:ascii="仿宋" w:hAnsi="仿宋" w:eastAsia="仿宋" w:cs="仿宋"/>
          <w:b w:val="0"/>
          <w:bCs w:val="0"/>
          <w:sz w:val="32"/>
          <w:szCs w:val="32"/>
          <w:lang w:val="en-US" w:eastAsia="zh-CN"/>
        </w:rPr>
        <w:t>一是严格落实林长制、河长制。建立乡、村二级林长体系，制定配套工作制度，构建乡级统筹协调、乡村分级负责、乡村具体落实的林长制责任机制和“一长四员”（林长+护林员+监管员+科技员+执法人员）分区负责的网格化管护体系。成立了河长制工作领导组，建立健全河长网格，继续实行乡、村两级河（段）长责任体系，实行党政同责，构建组织体系，明确工作责任，加强各村联动。同时认真开展库塘巡查，乡党委班子成员牵头组织村河长对所辖河库进行了全面巡查，重点排查各类污染源和河库垃圾，并进行分类登记。根据排查到的污染源和其它问题，针对性地制定“一河一策”治理方案，明确治理目标，敲定治理项目，分解治理任务，落实治理责任和时间节点。今年以来共排查出各类问题5个，已经全部完成了整改落实。</w:t>
      </w:r>
      <w:r>
        <w:rPr>
          <w:rFonts w:hint="eastAsia" w:ascii="仿宋" w:hAnsi="仿宋" w:eastAsia="仿宋" w:cs="仿宋"/>
          <w:b/>
          <w:bCs/>
          <w:sz w:val="32"/>
          <w:szCs w:val="32"/>
          <w:lang w:val="en-US" w:eastAsia="zh-CN"/>
        </w:rPr>
        <w:t>二是抓好生态环境宣传和保护工作。</w:t>
      </w:r>
      <w:r>
        <w:rPr>
          <w:rFonts w:hint="eastAsia" w:ascii="仿宋" w:hAnsi="仿宋" w:eastAsia="仿宋" w:cs="仿宋"/>
          <w:b w:val="0"/>
          <w:bCs w:val="0"/>
          <w:sz w:val="32"/>
          <w:szCs w:val="32"/>
          <w:lang w:val="en-US" w:eastAsia="zh-CN"/>
        </w:rPr>
        <w:t>成立乡生态环境工作领导小组，严格落实“党政同责”和“一岗双责”，坚持每季度专项研究部署污染防治工作，全年未发生一起重大环境问题。落实《2022年邵阳县蓝天保卫战工作考核办法》要求，开展垃圾、秸秆焚烧专项整治，对所辖行政区域内垃圾、秸秆焚烧及烧山行为采用网格化管理,将每个村的责任落实到人，全年未发生垃圾、秸秆焚烧及烧山重大行为。通过各种会议、墙报、标语、发放资料等多种手段广泛宣传环保知识，由乡自然资源办牵头开展了全乡宣传3次，印发宣传资料400多份，同时全乡9个村部张贴环境保护的宣传栏，在全乡形成了重视环境保护的良好氛围。</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420" w:firstLineChars="0"/>
        <w:textAlignment w:val="auto"/>
        <w:outlineLvl w:val="1"/>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风险防控</w:t>
      </w:r>
      <w:r>
        <w:rPr>
          <w:rFonts w:hint="eastAsia" w:ascii="仿宋" w:hAnsi="仿宋" w:eastAsia="仿宋" w:cs="仿宋"/>
          <w:b/>
          <w:bCs/>
          <w:sz w:val="32"/>
          <w:szCs w:val="32"/>
        </w:rPr>
        <w:t>方面</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安全生产方面。</w:t>
      </w:r>
      <w:r>
        <w:rPr>
          <w:rFonts w:hint="eastAsia" w:ascii="仿宋" w:hAnsi="仿宋" w:eastAsia="仿宋" w:cs="仿宋"/>
          <w:b w:val="0"/>
          <w:bCs w:val="0"/>
          <w:sz w:val="32"/>
          <w:szCs w:val="32"/>
          <w:lang w:val="en-US" w:eastAsia="zh-CN"/>
        </w:rPr>
        <w:t>一是强化组织领导，严格落实安全生产责任制度。及时调整和充实了乡安委会组成人员，明确了乡安委会成员单位的安全生产职责，责任落实到部门、到村、到人，形成了党政领导亲自抓，分管领导具体抓，安监人员日常抓，各村和相关部门配合抓的安全工作“一岗双责”长效机制。在元旦、春节、两会、五一、夏季高温、汛期、七一、中秋、国庆、冰冻雨雪天气等时期加强安全生产监管，做好值班值守，及时上报安全生产相关信息。辖区内全年未发生较大及以上安全生产事故或者较大及以上消防火灾、未发生一般生产安全事故、未发生死亡或失踪人口的山洪、地质灾害。二是突出整治重点，全面深化安全生产监管执法。落实安全生产专项整治三年行动、安全大检查行动、安全生产“大培训、大排查、大整治、大攻坚”专项行动、“幸福敲门、安全到家”行动等重点任务，对饮水安全、建筑施工、自建房、学校、烟花爆竹、危险化学品、燃气、道路交通、森林防火、消防等行业开展了专项行动，共计开展开展安全生产大检查50余次，排查一般安全隐患80条，下达限期整改通知书21份，隐患整改率达到100%。三是加强学习培训，大力开展安全生产宣传教育。组织党员干部再街头宣传、进村入户宣传等形式，广泛开展安全生产知识宣传活动；狠抓各类生产经营单位人员的安全教育培训；扎实开展“安全生产宣传月”活动，在全乡营造人人参与安全生产、人人关注安全生产的浓厚氛围。</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交通安全方面。</w:t>
      </w:r>
      <w:r>
        <w:rPr>
          <w:rFonts w:hint="eastAsia" w:ascii="仿宋" w:hAnsi="仿宋" w:eastAsia="仿宋" w:cs="仿宋"/>
          <w:sz w:val="32"/>
          <w:szCs w:val="32"/>
        </w:rPr>
        <w:t>扎实开展交通顽瘴痼疾专项整治，每月持续开展“戴帽工程”劝导工作，严格落实路长制实施方案，全年共完成农村道路养护乡道4.096公里（水泥路面1.445公里，砂石路面2.651公里），村道29.888公里（水泥路面19.883公里，砂石路面10.005公里），养护里程33.984公里。落实两站两员建设，全乡共3名交通管理员、1名系统管理员和27名交通劝导员按月完成任务，加大一盔一戴，一老一小，进农村等宣传力度，每月开展1次以上联合执法行动。。</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、其他安全工作。</w:t>
      </w:r>
      <w:r>
        <w:rPr>
          <w:rFonts w:hint="eastAsia" w:ascii="仿宋" w:hAnsi="仿宋" w:eastAsia="仿宋" w:cs="仿宋"/>
          <w:b w:val="0"/>
          <w:bCs w:val="0"/>
          <w:sz w:val="32"/>
          <w:szCs w:val="32"/>
        </w:rPr>
        <w:t>在规定的时间内共完成经营性自建房排查鉴定75座，非经营性房屋排查4493座，拆除空心房危房483座，完成危房改造4户。</w:t>
      </w:r>
      <w:r>
        <w:rPr>
          <w:rFonts w:hint="eastAsia" w:ascii="仿宋" w:hAnsi="仿宋" w:eastAsia="仿宋" w:cs="仿宋"/>
          <w:sz w:val="32"/>
          <w:szCs w:val="32"/>
        </w:rPr>
        <w:t>在对全乡75处重点水域全部建立“联村领导、驻村干部、辅警、村支部书记、村包组责任人”网格化管理体系，开展“一日三巡查”的基础上。一是开好院落会，将工作重心下沉。班子成员、驻村干部、村支两委，分院落召开网格长、群众、学生家长会，将“防溺水的一封信”亲手递到群众手中，亲口讲给群众听。同时，通过座谈会，切实加强网格长的身份意识，充分发挥“网格长”的宣传联络作用，确保儿童暑期安全。二是开展结对走访，重点关注留守儿童。全乡54名干部、村支两委、志愿者（亲属邻居）以及学校等各部门全部参加结对化帮扶，形成了“多帮一”的帮扶机制，对全乡508名留守儿童建立了结对帮扶台账。以“家访”的形式，与孩子近距离沟通，将宣传教育浸入人心。三是开展专题宣讲，充分发挥基层组织作用。在党建引领上，充分发挥党组织的示范引领作用，发挥妇联、民政、团委、党员志愿者作用，在各村开展防溺水专题宣讲活动。通过宣讲活动切实提高儿童“谨防溺水，远离危险”的安全意识，充分认识到溺水的危害性，起到良好的宣传教育效果。</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eastAsia="zh-CN"/>
        </w:rPr>
        <w:t>八</w:t>
      </w:r>
      <w:r>
        <w:rPr>
          <w:rFonts w:hint="eastAsia" w:ascii="仿宋" w:hAnsi="仿宋" w:eastAsia="仿宋" w:cs="仿宋"/>
          <w:b/>
          <w:bCs/>
          <w:sz w:val="32"/>
          <w:szCs w:val="32"/>
        </w:rPr>
        <w:t>）个性化指标方面</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outlineLvl w:val="1"/>
        <w:rPr>
          <w:rFonts w:hint="default" w:eastAsia="宋体"/>
          <w:sz w:val="32"/>
          <w:szCs w:val="32"/>
          <w:lang w:val="en-US" w:eastAsia="zh-CN"/>
        </w:rPr>
      </w:pPr>
      <w:r>
        <w:rPr>
          <w:rFonts w:hint="eastAsia" w:ascii="仿宋" w:hAnsi="仿宋" w:eastAsia="仿宋" w:cs="仿宋"/>
          <w:sz w:val="32"/>
          <w:szCs w:val="32"/>
        </w:rPr>
        <w:t>我</w:t>
      </w:r>
      <w:r>
        <w:rPr>
          <w:rFonts w:hint="eastAsia" w:ascii="仿宋" w:hAnsi="仿宋" w:eastAsia="仿宋" w:cs="仿宋"/>
          <w:sz w:val="32"/>
          <w:szCs w:val="32"/>
          <w:lang w:eastAsia="zh-CN"/>
        </w:rPr>
        <w:t>乡</w:t>
      </w:r>
      <w:r>
        <w:rPr>
          <w:rFonts w:hint="eastAsia" w:ascii="仿宋" w:hAnsi="仿宋" w:eastAsia="仿宋" w:cs="仿宋"/>
          <w:sz w:val="32"/>
          <w:szCs w:val="32"/>
        </w:rPr>
        <w:t>个性化指标</w:t>
      </w:r>
      <w:r>
        <w:rPr>
          <w:rFonts w:hint="eastAsia" w:ascii="仿宋" w:hAnsi="仿宋" w:eastAsia="仿宋" w:cs="仿宋"/>
          <w:sz w:val="32"/>
          <w:szCs w:val="32"/>
          <w:lang w:val="en-US" w:eastAsia="zh-CN"/>
        </w:rPr>
        <w:t>4</w:t>
      </w:r>
      <w:r>
        <w:rPr>
          <w:rFonts w:hint="eastAsia" w:ascii="仿宋" w:hAnsi="仿宋" w:eastAsia="仿宋" w:cs="仿宋"/>
          <w:sz w:val="32"/>
          <w:szCs w:val="32"/>
        </w:rPr>
        <w:t>个，党委政府高度重视，成立项目指挥组，加强对指标的全程跟踪服务管理。其中征地拆迁、</w:t>
      </w:r>
      <w:r>
        <w:rPr>
          <w:rFonts w:hint="eastAsia" w:ascii="仿宋" w:hAnsi="仿宋" w:eastAsia="仿宋" w:cs="仿宋"/>
          <w:sz w:val="32"/>
          <w:szCs w:val="32"/>
          <w:lang w:val="en-US" w:eastAsia="zh-CN"/>
        </w:rPr>
        <w:t>烟叶生产、自来水厂管护、</w:t>
      </w:r>
      <w:r>
        <w:rPr>
          <w:rFonts w:hint="eastAsia" w:ascii="仿宋" w:hAnsi="仿宋" w:eastAsia="仿宋" w:cs="仿宋"/>
          <w:sz w:val="32"/>
          <w:szCs w:val="32"/>
        </w:rPr>
        <w:t>其他工作</w:t>
      </w:r>
      <w:r>
        <w:rPr>
          <w:rFonts w:hint="eastAsia" w:ascii="仿宋" w:hAnsi="仿宋" w:eastAsia="仿宋" w:cs="仿宋"/>
          <w:sz w:val="32"/>
          <w:szCs w:val="32"/>
          <w:lang w:val="en-US" w:eastAsia="zh-CN"/>
        </w:rPr>
        <w:t>共四</w:t>
      </w:r>
      <w:r>
        <w:rPr>
          <w:rFonts w:hint="eastAsia" w:ascii="仿宋" w:hAnsi="仿宋" w:eastAsia="仿宋" w:cs="仿宋"/>
          <w:sz w:val="32"/>
          <w:szCs w:val="32"/>
        </w:rPr>
        <w:t>项工作都按县定要求处理好矛盾纠纷，工作有序完成。</w:t>
      </w:r>
    </w:p>
    <w:p>
      <w:pPr>
        <w:pStyle w:val="2"/>
        <w:numPr>
          <w:ilvl w:val="0"/>
          <w:numId w:val="0"/>
        </w:numPr>
      </w:pPr>
    </w:p>
    <w:p>
      <w:pPr>
        <w:pStyle w:val="8"/>
        <w:spacing w:line="560" w:lineRule="exact"/>
        <w:ind w:left="640" w:firstLine="0" w:firstLineChars="0"/>
        <w:rPr>
          <w:rFonts w:eastAsia="黑体"/>
          <w:sz w:val="32"/>
          <w:szCs w:val="32"/>
        </w:rPr>
      </w:pPr>
      <w:r>
        <w:rPr>
          <w:rFonts w:hint="eastAsia" w:eastAsia="黑体"/>
          <w:sz w:val="32"/>
          <w:szCs w:val="32"/>
        </w:rPr>
        <w:t>七、存在的问题及原因分析</w:t>
      </w:r>
    </w:p>
    <w:p>
      <w:pPr>
        <w:pStyle w:val="4"/>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bookmarkStart w:id="0" w:name="_Toc390113229"/>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固定资产管理有待加强</w:t>
      </w:r>
      <w:bookmarkEnd w:id="0"/>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因固定资产种类繁多，规格不一，虽然配备了专人管理，但还是存在已处理与新增的资产未及时登录入台账的现象，也未建立卡片进行管理，年终前未</w:t>
      </w:r>
      <w:r>
        <w:rPr>
          <w:rFonts w:hint="eastAsia" w:ascii="仿宋_GB2312" w:hAnsi="仿宋_GB2312" w:eastAsia="仿宋_GB2312" w:cs="仿宋_GB2312"/>
          <w:sz w:val="32"/>
          <w:szCs w:val="32"/>
          <w:lang w:eastAsia="zh-CN"/>
        </w:rPr>
        <w:t>按时</w:t>
      </w:r>
      <w:r>
        <w:rPr>
          <w:rFonts w:hint="eastAsia" w:ascii="仿宋_GB2312" w:hAnsi="仿宋_GB2312" w:eastAsia="仿宋_GB2312" w:cs="仿宋_GB2312"/>
          <w:sz w:val="32"/>
          <w:szCs w:val="32"/>
        </w:rPr>
        <w:t>对固定资产进行全面清点。</w:t>
      </w:r>
    </w:p>
    <w:p>
      <w:pPr>
        <w:pStyle w:val="4"/>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bookmarkStart w:id="1" w:name="_Toc390113230"/>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）管理制度欠完善</w:t>
      </w:r>
      <w:bookmarkEnd w:id="1"/>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虽然制定了《</w:t>
      </w:r>
      <w:r>
        <w:rPr>
          <w:rFonts w:hint="eastAsia" w:ascii="仿宋_GB2312" w:hAnsi="仿宋_GB2312" w:eastAsia="仿宋_GB2312" w:cs="仿宋_GB2312"/>
          <w:sz w:val="32"/>
          <w:szCs w:val="32"/>
          <w:lang w:eastAsia="zh-CN"/>
        </w:rPr>
        <w:t>黄荆乡财务管理制度</w:t>
      </w:r>
      <w:r>
        <w:rPr>
          <w:rFonts w:hint="eastAsia" w:ascii="仿宋_GB2312" w:hAnsi="仿宋_GB2312" w:eastAsia="仿宋_GB2312" w:cs="仿宋_GB2312"/>
          <w:sz w:val="32"/>
          <w:szCs w:val="32"/>
        </w:rPr>
        <w:t>》，针对“三公”经费的管理</w:t>
      </w:r>
      <w:r>
        <w:rPr>
          <w:rFonts w:hint="eastAsia" w:ascii="仿宋_GB2312" w:hAnsi="仿宋_GB2312" w:eastAsia="仿宋_GB2312" w:cs="仿宋_GB2312"/>
          <w:sz w:val="32"/>
          <w:szCs w:val="32"/>
          <w:lang w:eastAsia="zh-CN"/>
        </w:rPr>
        <w:t>按照县委办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关于进一步规范和加强机关事务接待工作的通知</w:t>
      </w:r>
      <w:r>
        <w:rPr>
          <w:rFonts w:hint="eastAsia" w:ascii="仿宋_GB2312" w:hAnsi="仿宋_GB2312" w:eastAsia="仿宋_GB2312" w:cs="仿宋_GB2312"/>
          <w:sz w:val="32"/>
          <w:szCs w:val="32"/>
        </w:rPr>
        <w:t>》，但未制定专门的会议管理制度，不便于对会议费支出规范管理。</w:t>
      </w:r>
    </w:p>
    <w:p>
      <w:pPr>
        <w:widowControl/>
        <w:numPr>
          <w:ilvl w:val="0"/>
          <w:numId w:val="2"/>
        </w:numPr>
        <w:spacing w:line="560" w:lineRule="exact"/>
        <w:ind w:firstLine="640" w:firstLineChars="200"/>
        <w:jc w:val="left"/>
        <w:rPr>
          <w:rFonts w:hint="eastAsia" w:eastAsia="黑体"/>
          <w:sz w:val="32"/>
          <w:szCs w:val="32"/>
        </w:rPr>
      </w:pPr>
      <w:r>
        <w:rPr>
          <w:rFonts w:hint="eastAsia" w:eastAsia="黑体"/>
          <w:sz w:val="32"/>
          <w:szCs w:val="32"/>
        </w:rPr>
        <w:t>下一步改进措施</w:t>
      </w:r>
    </w:p>
    <w:p>
      <w:pPr>
        <w:numPr>
          <w:ilvl w:val="0"/>
          <w:numId w:val="3"/>
        </w:numPr>
        <w:adjustRightInd w:val="0"/>
        <w:snapToGrid w:val="0"/>
        <w:spacing w:line="600" w:lineRule="exact"/>
        <w:ind w:left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加强资产管理</w:t>
      </w:r>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严格按照《固定资产管理办法》的规定管理固定资产，及时登记台账，并建立卡片管理，年终前对各类实物资产进行全面盘点，确保账账、账实相符。</w:t>
      </w:r>
      <w:bookmarkStart w:id="2" w:name="_Toc390113236"/>
    </w:p>
    <w:p>
      <w:pPr>
        <w:pStyle w:val="4"/>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）完善管理制度</w:t>
      </w:r>
      <w:bookmarkEnd w:id="2"/>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进一步贯彻落实中央“八项规定”和湖南省委“九条规定”，建立会议费管理制度，加强会议审批和控制，规范支出标准与范围，并严格执行。</w:t>
      </w:r>
    </w:p>
    <w:p>
      <w:pPr>
        <w:pStyle w:val="2"/>
        <w:numPr>
          <w:ilvl w:val="0"/>
          <w:numId w:val="0"/>
        </w:numPr>
        <w:ind w:leftChars="400"/>
      </w:pPr>
    </w:p>
    <w:p>
      <w:pPr>
        <w:widowControl/>
        <w:spacing w:line="560" w:lineRule="exact"/>
        <w:ind w:firstLine="645"/>
        <w:jc w:val="left"/>
        <w:rPr>
          <w:rFonts w:eastAsia="黑体"/>
          <w:sz w:val="32"/>
          <w:szCs w:val="32"/>
        </w:rPr>
      </w:pPr>
      <w:r>
        <w:rPr>
          <w:rFonts w:hint="eastAsia" w:eastAsia="黑体"/>
          <w:sz w:val="32"/>
          <w:szCs w:val="32"/>
        </w:rPr>
        <w:t>九、其他需要说明的情况</w:t>
      </w:r>
    </w:p>
    <w:p>
      <w:pPr>
        <w:widowControl/>
        <w:spacing w:line="560" w:lineRule="exact"/>
        <w:ind w:firstLine="645"/>
        <w:jc w:val="left"/>
        <w:rPr>
          <w:rFonts w:hint="eastAsia" w:eastAsia="仿宋_GB2312"/>
          <w:sz w:val="32"/>
          <w:szCs w:val="32"/>
          <w:lang w:val="en-US" w:eastAsia="zh-CN"/>
        </w:rPr>
      </w:pPr>
      <w:r>
        <w:rPr>
          <w:rFonts w:hint="eastAsia" w:eastAsia="仿宋_GB2312"/>
          <w:sz w:val="32"/>
          <w:szCs w:val="32"/>
          <w:lang w:val="en-US" w:eastAsia="zh-CN"/>
        </w:rPr>
        <w:t>无</w:t>
      </w:r>
    </w:p>
    <w:p/>
    <w:p>
      <w:pPr>
        <w:pStyle w:val="2"/>
      </w:pPr>
    </w:p>
    <w:p>
      <w:pPr>
        <w:pStyle w:val="2"/>
      </w:pPr>
    </w:p>
    <w:p>
      <w:pPr>
        <w:pStyle w:val="2"/>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邵阳县黄荆乡人民政府</w:t>
      </w:r>
    </w:p>
    <w:p>
      <w:pPr>
        <w:pStyle w:val="2"/>
      </w:pPr>
      <w:r>
        <w:rPr>
          <w:rFonts w:hint="eastAsia" w:ascii="仿宋_GB2312" w:hAnsi="仿宋_GB2312" w:eastAsia="仿宋_GB2312" w:cs="仿宋_GB2312"/>
          <w:kern w:val="2"/>
          <w:sz w:val="32"/>
          <w:szCs w:val="32"/>
          <w:lang w:val="en-US" w:eastAsia="zh-CN" w:bidi="ar-SA"/>
        </w:rPr>
        <w:t xml:space="preserve">                           2023年2月18日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A40008"/>
    <w:multiLevelType w:val="singleLevel"/>
    <w:tmpl w:val="87A40008"/>
    <w:lvl w:ilvl="0" w:tentative="0">
      <w:start w:val="1"/>
      <w:numFmt w:val="chineseCounting"/>
      <w:suff w:val="nothing"/>
      <w:lvlText w:val="%1、"/>
      <w:lvlJc w:val="left"/>
      <w:rPr>
        <w:rFonts w:hint="eastAsia"/>
      </w:rPr>
    </w:lvl>
  </w:abstractNum>
  <w:abstractNum w:abstractNumId="1">
    <w:nsid w:val="04C207ED"/>
    <w:multiLevelType w:val="singleLevel"/>
    <w:tmpl w:val="04C207ED"/>
    <w:lvl w:ilvl="0" w:tentative="0">
      <w:start w:val="1"/>
      <w:numFmt w:val="chineseCounting"/>
      <w:suff w:val="nothing"/>
      <w:lvlText w:val="（%1）"/>
      <w:lvlJc w:val="left"/>
      <w:rPr>
        <w:rFonts w:hint="eastAsia"/>
      </w:rPr>
    </w:lvl>
  </w:abstractNum>
  <w:abstractNum w:abstractNumId="2">
    <w:nsid w:val="17E8CCB5"/>
    <w:multiLevelType w:val="singleLevel"/>
    <w:tmpl w:val="17E8CCB5"/>
    <w:lvl w:ilvl="0" w:tentative="0">
      <w:start w:val="8"/>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NmJiNmFiNTA3ZjA0YmRkZTcxMjk5MmM0MTM1ZjgifQ=="/>
  </w:docVars>
  <w:rsids>
    <w:rsidRoot w:val="6DB60048"/>
    <w:rsid w:val="161C7476"/>
    <w:rsid w:val="46AE2BF5"/>
    <w:rsid w:val="6DB60048"/>
    <w:rsid w:val="73710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Normal (Web)"/>
    <w:basedOn w:val="1"/>
    <w:qFormat/>
    <w:uiPriority w:val="0"/>
    <w:pPr>
      <w:spacing w:before="100" w:beforeAutospacing="1" w:after="100" w:afterAutospacing="1"/>
      <w:jc w:val="left"/>
    </w:pPr>
    <w:rPr>
      <w:rFonts w:cs="Times New Roman"/>
      <w:kern w:val="0"/>
      <w:sz w:val="24"/>
    </w:rPr>
  </w:style>
  <w:style w:type="paragraph" w:styleId="8">
    <w:name w:val="List Paragraph"/>
    <w:basedOn w:val="1"/>
    <w:qFormat/>
    <w:uiPriority w:val="34"/>
    <w:pPr>
      <w:widowControl/>
      <w:ind w:firstLine="420" w:firstLineChars="200"/>
      <w:jc w:val="left"/>
    </w:pPr>
    <w:rPr>
      <w:rFonts w:ascii="Times New Roman" w:hAnsi="Times New Roman" w:eastAsiaTheme="minorEastAsi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1755</Words>
  <Characters>1844</Characters>
  <Lines>0</Lines>
  <Paragraphs>0</Paragraphs>
  <TotalTime>3</TotalTime>
  <ScaleCrop>false</ScaleCrop>
  <LinksUpToDate>false</LinksUpToDate>
  <CharactersWithSpaces>1891</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2023-03-31T04:58:00Z</dcterms:created>
  <dc:creator>刘敏奇</dc:creator>
  <cp:lastModifiedBy>-mmmmmmy°</cp:lastModifiedBy>
  <dcterms:modified xsi:type="dcterms:W3CDTF">2023-11-14T03:45:09Z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B8223459869843CAB4C0DF2FA980A448</vt:lpwstr>
  </property>
</Properties>
</file>