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lang w:val="en-US" w:eastAsia="zh-CN"/>
        </w:rPr>
        <w:t>九公桥镇人民政府</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13</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eastAsia" w:ascii="黑体" w:eastAsia="黑体"/>
          <w:sz w:val="32"/>
          <w:szCs w:val="32"/>
          <w:lang w:val="en-US" w:eastAsia="zh-CN"/>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spacing w:before="639" w:beforeLines="100" w:after="639" w:afterLines="100" w:line="600" w:lineRule="exact"/>
        <w:ind w:left="315" w:leftChars="150" w:right="624"/>
        <w:jc w:val="center"/>
        <w:textAlignment w:val="auto"/>
        <w:rPr>
          <w:rFonts w:eastAsia="楷体_GB2312"/>
          <w:sz w:val="32"/>
          <w:szCs w:val="32"/>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为加强财政资金管理，切实提高资金使用效益，进一步提高财务科学生精细化管理水平。根据《邵阳县财政局关于做好202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年度部门整体支出绩效自评工作的通知》的要求，现将我单位整体支出绩效自评报告如下：</w:t>
      </w: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default" w:ascii="楷体" w:hAnsi="楷体" w:eastAsia="楷体" w:cs="楷体"/>
          <w:b/>
          <w:bCs/>
          <w:sz w:val="32"/>
          <w:szCs w:val="32"/>
          <w:lang w:val="en-US" w:eastAsia="zh-CN"/>
        </w:rPr>
      </w:pPr>
      <w:r>
        <w:rPr>
          <w:rFonts w:hint="eastAsia" w:ascii="仿宋_GB2312" w:hAnsi="仿宋" w:eastAsia="仿宋_GB2312" w:cs="仿宋"/>
          <w:sz w:val="32"/>
          <w:szCs w:val="32"/>
          <w:lang w:val="en-US" w:eastAsia="zh-CN"/>
        </w:rPr>
        <w:t>我单位是行政单位，所属部门有党政办、党建办、综治办、经发办、民政办、财政所、农业综合中心、退役军人事务站、政务和社会服务中心、自然资源中心、生态环境中心、执法大队等。</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widowControl/>
        <w:numPr>
          <w:ilvl w:val="0"/>
          <w:numId w:val="0"/>
        </w:numPr>
        <w:spacing w:line="600" w:lineRule="exact"/>
        <w:jc w:val="left"/>
        <w:rPr>
          <w:rFonts w:hint="default" w:ascii="仿宋_GB2312" w:hAnsi="仿宋" w:eastAsia="仿宋_GB2312" w:cs="仿宋"/>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_GB2312" w:hAnsi="仿宋" w:eastAsia="仿宋_GB2312" w:cs="仿宋"/>
          <w:sz w:val="32"/>
          <w:szCs w:val="32"/>
          <w:lang w:val="en-US" w:eastAsia="zh-CN"/>
        </w:rPr>
        <w:t>我单位行政编制为45人，2023年年底，行政编在职人数为43人，空编2人。原因为人员异动未及时补编，2024年1月调进2人。我单位事业编制83人，2023年年底，事业编制在职人数103人，超编20人。另我单位现有</w:t>
      </w:r>
      <w:r>
        <w:rPr>
          <w:rFonts w:hint="eastAsia" w:ascii="仿宋_GB2312" w:hAnsi="Times New Roman" w:eastAsia="仿宋_GB2312" w:cs="Times New Roman"/>
          <w:sz w:val="32"/>
          <w:szCs w:val="32"/>
        </w:rPr>
        <w:t>无编制人员（原劳服站人员）6人。</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（三）主要职能职责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rPr>
      </w:pPr>
      <w:r>
        <w:rPr>
          <w:rFonts w:hint="eastAsia" w:ascii="仿宋_GB2312" w:hAnsi="仿宋" w:eastAsia="仿宋_GB2312" w:cs="仿宋"/>
          <w:sz w:val="32"/>
          <w:szCs w:val="32"/>
        </w:rPr>
        <w:t>主要职能在于贯彻落实党和国家在农村的各项方针、政策和法律法规，做好农业、农村、农民工作。主要围绕促进经济发展、增加农民收入，强化公共服务、着力改善民生，加强社会管理、维护社会稳定，推进基层民主、促进农村和谐四个方面全面履行职能，着力增强社会管理和公共服务职能。拓宽服务渠道，改进服务方式，综合发挥人民调解、行政调解和司法调解的作用，及时化解农村社会矛盾，确保社会稳定。指导村民自治，推动农村社区建设，促进社会组织健康发展，增强社会自治功能。</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绩效目标设定情况</w:t>
      </w:r>
    </w:p>
    <w:p>
      <w:pPr>
        <w:widowControl/>
        <w:numPr>
          <w:ilvl w:val="0"/>
          <w:numId w:val="0"/>
        </w:numPr>
        <w:spacing w:line="600" w:lineRule="exact"/>
        <w:ind w:left="645" w:leftChars="0"/>
        <w:jc w:val="left"/>
        <w:rPr>
          <w:rFonts w:hint="default" w:ascii="楷体" w:hAnsi="楷体" w:eastAsia="楷体" w:cs="楷体"/>
          <w:b/>
          <w:bCs/>
          <w:sz w:val="32"/>
          <w:szCs w:val="32"/>
          <w:lang w:val="en-US" w:eastAsia="zh-CN"/>
        </w:rPr>
      </w:pPr>
      <w:r>
        <w:rPr>
          <w:rFonts w:hint="eastAsia" w:ascii="仿宋_GB2312" w:hAnsi="仿宋" w:eastAsia="仿宋_GB2312" w:cs="仿宋"/>
          <w:sz w:val="32"/>
          <w:szCs w:val="32"/>
          <w:lang w:val="en-US" w:eastAsia="zh-CN"/>
        </w:rPr>
        <w:t>我单位2023年绩效目标设定良好。</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600" w:lineRule="exact"/>
        <w:ind w:firstLine="645"/>
        <w:jc w:val="left"/>
        <w:rPr>
          <w:rFonts w:hint="default" w:ascii="楷体" w:hAnsi="楷体" w:eastAsia="仿宋_GB2312" w:cs="楷体"/>
          <w:b/>
          <w:bCs/>
          <w:sz w:val="32"/>
          <w:szCs w:val="32"/>
          <w:lang w:val="en-US" w:eastAsia="zh-CN"/>
        </w:rPr>
      </w:pPr>
      <w:r>
        <w:rPr>
          <w:rFonts w:hint="eastAsia" w:ascii="仿宋_GB2312" w:hAnsi="仿宋" w:eastAsia="仿宋_GB2312" w:cs="仿宋"/>
          <w:sz w:val="32"/>
          <w:szCs w:val="32"/>
        </w:rPr>
        <w:t>2023年本部门基本支出预算2,349.35万元，主要是为保障部门正常运转、完成日常工作任务而发生的各项支出，包括用于基本工资、津贴补贴等人员经费以及办公费、印刷费、水电费、办公设备购置等公用经费。</w:t>
      </w:r>
      <w:r>
        <w:rPr>
          <w:rFonts w:hint="eastAsia" w:ascii="仿宋_GB2312" w:hAnsi="仿宋" w:eastAsia="仿宋_GB2312" w:cs="仿宋"/>
          <w:sz w:val="32"/>
          <w:szCs w:val="32"/>
          <w:lang w:val="en-US" w:eastAsia="zh-CN"/>
        </w:rPr>
        <w:t>2023年决算基本支出2691.04万元，与预算差异数为341.69万元，主要原因为补发调级工资、抚恤金等。</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hint="eastAsia" w:eastAsia="仿宋_GB2312"/>
          <w:sz w:val="32"/>
          <w:szCs w:val="32"/>
        </w:rPr>
      </w:pPr>
      <w:r>
        <w:rPr>
          <w:rFonts w:hint="eastAsia" w:eastAsia="仿宋_GB2312"/>
          <w:sz w:val="32"/>
          <w:szCs w:val="32"/>
        </w:rPr>
        <w:t>1.基本支出情况</w:t>
      </w:r>
    </w:p>
    <w:p>
      <w:pPr>
        <w:widowControl/>
        <w:spacing w:line="600" w:lineRule="exact"/>
        <w:ind w:firstLine="645"/>
        <w:jc w:val="left"/>
        <w:rPr>
          <w:rFonts w:hint="eastAsia" w:eastAsia="仿宋_GB2312"/>
          <w:sz w:val="32"/>
          <w:szCs w:val="32"/>
        </w:rPr>
      </w:pPr>
      <w:r>
        <w:rPr>
          <w:rFonts w:hint="eastAsia" w:ascii="仿宋_GB2312" w:hAnsi="仿宋" w:eastAsia="仿宋_GB2312" w:cs="仿宋"/>
          <w:sz w:val="32"/>
          <w:szCs w:val="32"/>
        </w:rPr>
        <w:t>2023年本部门基本支出预算2,349.35万元，主要是为保障部门正常运转、完成日常工作任务而发生的各项支出，包括用于基本工资、津贴补贴等人员经费以及办公费、印刷费、水电费、办公设备购置等公用经费。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45"/>
        <w:jc w:val="left"/>
        <w:rPr>
          <w:rFonts w:hint="eastAsia" w:eastAsia="仿宋_GB2312"/>
          <w:sz w:val="32"/>
          <w:szCs w:val="32"/>
        </w:rPr>
      </w:pPr>
      <w:r>
        <w:rPr>
          <w:rFonts w:hint="eastAsia" w:eastAsia="仿宋_GB2312"/>
          <w:sz w:val="32"/>
          <w:szCs w:val="32"/>
        </w:rPr>
        <w:t>2.项目支出情况</w:t>
      </w:r>
    </w:p>
    <w:p>
      <w:pPr>
        <w:widowControl/>
        <w:spacing w:line="60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2023年本部门项目支出预算73.5万元，主要是部门为完成特定行政工作任务或事业发展目标而发生的支出，包括有关事业发展专项、专项业务费、基本建设支出等，其中：行政运行支出73.5万元，主要用于劳服站人员工资及非税收入征收成本等方面。</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2023年</w:t>
      </w:r>
      <w:r>
        <w:rPr>
          <w:rFonts w:hint="eastAsia" w:ascii="仿宋_GB2312" w:hAnsi="仿宋" w:eastAsia="仿宋_GB2312" w:cs="仿宋"/>
          <w:sz w:val="32"/>
          <w:szCs w:val="32"/>
          <w:lang w:val="en-US" w:eastAsia="zh-CN"/>
        </w:rPr>
        <w:t>我单位</w:t>
      </w:r>
      <w:r>
        <w:rPr>
          <w:rFonts w:hint="eastAsia" w:ascii="仿宋_GB2312" w:hAnsi="仿宋" w:eastAsia="仿宋_GB2312" w:cs="仿宋"/>
          <w:sz w:val="32"/>
          <w:szCs w:val="32"/>
        </w:rPr>
        <w:t>“三公”经费预算数为15万元，其中，公务接待费15万元，公务用车购置及运行费0万元（其中，公务用车购置费0万元，公务用车运行费0万元），因公出国（境）费0万元。2023年“三公”经费预算较2022年减少9万元，主要是接待费用减少。</w:t>
      </w:r>
      <w:r>
        <w:rPr>
          <w:rFonts w:hint="eastAsia" w:ascii="仿宋_GB2312" w:hAnsi="仿宋" w:eastAsia="仿宋_GB2312" w:cs="仿宋"/>
          <w:sz w:val="32"/>
          <w:szCs w:val="32"/>
          <w:lang w:val="en-US" w:eastAsia="zh-CN"/>
        </w:rPr>
        <w:t>2023年去年我单位公务接待费决算数为14.99万元，与预算一致。</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2023年我单位预算资金无结转与结余。</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（五）部门整体支出管理与制度建设情况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1、加强了对政府集中采购和固定资产的管理工作。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各部门单位办公用品由镇政府统一采购，安排专人每个季度到镇党政办报计划，并签字领取所需物品。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各部门单位大型维修须由各单位申请，报镇党委、政府领导研究后，再安排后勤人员现场察看后并提出实施意见后，由镇党委、政府统一安排施工。各部门单位所有的办公桌椅、电脑、打印机、空调电器等，实行固定资产登记卡管理，未经党政办同意，不得擅自搬运、拆换或损毁。否则按原价扣除各单位相应的工作经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2、加强了对招待开餐、用车、学习培训的管理工作。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干部因公出差、住宿，工作用车、招待用餐等接待严格按照上级有关差旅费及招待费的规定和标准办理。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3、加强了对资金及银行帐户管理工作。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镇财政资金通过县国库集中支付帐户统一支付，并按时与县财政局相关股室对接工作，报送各种财务报表，年初预算、年终决算都通过政务网公示公开。村帐镇代管资金、征地拆迁资金、民政优抚资金、退役军人退伍补助、慰问及伤残补助资金通过开设专户核算支付。其他银行帐户未经批准一律不得使用。执法大队征收的罚款等非税收入，及时开具非税收入票据并上解县财政非税收入专户，任何人不得截留与挪用。税务机关委托征收耕地占用税款，按照税务相关规定办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4、坚持按季度会审，严把财务会审关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成立财务会审工作小组，坚持按季度会审。所有开支严格审批，超过5000元以上支出要通过党委、政府集体研究决定，按纪检要求由相关责任领导签字方可报账付款。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5、严格财经制度，严把执行关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镇内所有开支须经主要领导同意后方可开支，否则不予报账，期间产生的费用由经手人自行负责。严禁财务开支越位、错位。镇内一切开支按照工作岗位责任制的职责及镇相关财务制度执行，否则不予报账。财务开支会审前，镇内开支按财务会审程序进行审批，不得逆向审批。特定工作经费按完成情况分阶段发放，由分管领导提供相关数据并审核把关，奖罚到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bCs/>
          <w:sz w:val="32"/>
          <w:szCs w:val="32"/>
        </w:rPr>
      </w:pPr>
      <w:r>
        <w:rPr>
          <w:rFonts w:hint="eastAsia" w:ascii="仿宋_GB2312" w:hAnsi="仿宋" w:eastAsia="仿宋_GB2312" w:cs="仿宋"/>
          <w:sz w:val="32"/>
          <w:szCs w:val="32"/>
          <w:lang w:val="en-US" w:eastAsia="zh-CN"/>
        </w:rPr>
        <w:t>6、全面落实惠农政策，准确惠农补贴发放到位。全面落实各项惠农政策，做好惠农政策的宣传工作，确保惠农补贴发放系统中各项补贴资金发放要及时准确。</w:t>
      </w:r>
    </w:p>
    <w:p>
      <w:pPr>
        <w:widowControl/>
        <w:spacing w:line="600" w:lineRule="exact"/>
        <w:ind w:firstLine="645"/>
        <w:jc w:val="left"/>
        <w:rPr>
          <w:rFonts w:hint="eastAsia" w:ascii="楷体" w:hAnsi="楷体" w:eastAsia="楷体" w:cs="楷体"/>
          <w:b/>
          <w:bCs/>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三、政府性基金预算支出情况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2023年本部门无政府性基金安排的支出。</w:t>
      </w:r>
    </w:p>
    <w:p>
      <w:pPr>
        <w:widowControl/>
        <w:numPr>
          <w:ilvl w:val="0"/>
          <w:numId w:val="2"/>
        </w:numPr>
        <w:spacing w:line="600" w:lineRule="exact"/>
        <w:ind w:firstLine="645"/>
        <w:jc w:val="left"/>
        <w:rPr>
          <w:rFonts w:hint="eastAsia" w:eastAsia="黑体"/>
          <w:sz w:val="32"/>
          <w:szCs w:val="32"/>
        </w:rPr>
      </w:pPr>
      <w:r>
        <w:rPr>
          <w:rFonts w:hint="eastAsia" w:eastAsia="黑体"/>
          <w:sz w:val="32"/>
          <w:szCs w:val="32"/>
        </w:rPr>
        <w:t>国有资本经营预算支出情况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sz w:val="32"/>
          <w:szCs w:val="32"/>
        </w:rPr>
      </w:pPr>
      <w:r>
        <w:rPr>
          <w:rFonts w:hint="eastAsia" w:ascii="仿宋_GB2312" w:hAnsi="仿宋" w:eastAsia="仿宋_GB2312" w:cs="仿宋"/>
          <w:sz w:val="32"/>
          <w:szCs w:val="32"/>
        </w:rPr>
        <w:t>2023年本部门无</w:t>
      </w:r>
      <w:r>
        <w:rPr>
          <w:rFonts w:hint="eastAsia" w:ascii="仿宋_GB2312" w:hAnsi="仿宋" w:eastAsia="仿宋_GB2312" w:cs="仿宋"/>
          <w:sz w:val="32"/>
          <w:szCs w:val="32"/>
          <w:lang w:val="en-US" w:eastAsia="zh-CN"/>
        </w:rPr>
        <w:t>国有资本经营预算</w:t>
      </w:r>
      <w:r>
        <w:rPr>
          <w:rFonts w:hint="eastAsia" w:ascii="仿宋_GB2312" w:hAnsi="仿宋" w:eastAsia="仿宋_GB2312" w:cs="仿宋"/>
          <w:sz w:val="32"/>
          <w:szCs w:val="32"/>
        </w:rPr>
        <w:t>安排的支出。</w:t>
      </w:r>
    </w:p>
    <w:p>
      <w:pPr>
        <w:widowControl/>
        <w:numPr>
          <w:ilvl w:val="0"/>
          <w:numId w:val="2"/>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sz w:val="32"/>
          <w:szCs w:val="32"/>
        </w:rPr>
      </w:pPr>
      <w:r>
        <w:rPr>
          <w:rFonts w:hint="eastAsia" w:ascii="仿宋_GB2312" w:hAnsi="仿宋" w:eastAsia="仿宋_GB2312" w:cs="仿宋"/>
          <w:sz w:val="32"/>
          <w:szCs w:val="32"/>
        </w:rPr>
        <w:t>2023年本部门无</w:t>
      </w:r>
      <w:r>
        <w:rPr>
          <w:rFonts w:hint="eastAsia" w:ascii="仿宋_GB2312" w:hAnsi="仿宋" w:eastAsia="仿宋_GB2312" w:cs="仿宋"/>
          <w:sz w:val="32"/>
          <w:szCs w:val="32"/>
          <w:lang w:val="en-US" w:eastAsia="zh-CN"/>
        </w:rPr>
        <w:t>社会保险</w:t>
      </w:r>
      <w:r>
        <w:rPr>
          <w:rFonts w:hint="eastAsia" w:ascii="仿宋_GB2312" w:hAnsi="仿宋" w:eastAsia="仿宋_GB2312" w:cs="仿宋"/>
          <w:sz w:val="32"/>
          <w:szCs w:val="32"/>
        </w:rPr>
        <w:t>基金安排的支出。</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r>
        <w:rPr>
          <w:rFonts w:hint="eastAsia" w:eastAsia="仿宋_GB2312"/>
          <w:sz w:val="32"/>
          <w:szCs w:val="32"/>
        </w:rPr>
        <w:t>反映自评得分及评价等级。</w:t>
      </w:r>
    </w:p>
    <w:p>
      <w:pPr>
        <w:widowControl/>
        <w:spacing w:line="600" w:lineRule="exact"/>
        <w:ind w:firstLine="645"/>
        <w:jc w:val="left"/>
        <w:rPr>
          <w:rFonts w:hint="eastAsia" w:eastAsia="黑体"/>
          <w:sz w:val="32"/>
          <w:szCs w:val="32"/>
        </w:rPr>
      </w:pPr>
      <w:r>
        <w:rPr>
          <w:rFonts w:hint="eastAsia" w:ascii="楷体" w:hAnsi="楷体" w:eastAsia="楷体" w:cs="楷体"/>
          <w:b/>
          <w:bCs/>
          <w:sz w:val="32"/>
          <w:szCs w:val="32"/>
        </w:rPr>
        <w:t>（二）评价指标分析（或综合评价情况）。</w:t>
      </w:r>
      <w:r>
        <w:rPr>
          <w:rFonts w:hint="eastAsia" w:eastAsia="仿宋_GB2312"/>
          <w:sz w:val="32"/>
          <w:szCs w:val="32"/>
        </w:rPr>
        <w:t>围绕部门职责、行业发展规划，以预算资金管理为主线，从整体绩效目标设定、预算配置、预算执行、预算管理、资产管理、职责履行、履职效益等方面综合分析。总结归纳本部门</w:t>
      </w:r>
      <w:r>
        <w:rPr>
          <w:rFonts w:hint="eastAsia" w:eastAsia="仿宋_GB2312"/>
          <w:sz w:val="32"/>
          <w:szCs w:val="32"/>
          <w:lang w:eastAsia="zh-CN"/>
        </w:rPr>
        <w:t>“</w:t>
      </w:r>
      <w:r>
        <w:rPr>
          <w:rFonts w:hint="eastAsia" w:eastAsia="仿宋_GB2312"/>
          <w:sz w:val="32"/>
          <w:szCs w:val="32"/>
        </w:rPr>
        <w:t>四本预算</w:t>
      </w:r>
      <w:r>
        <w:rPr>
          <w:rFonts w:hint="eastAsia" w:eastAsia="仿宋_GB2312"/>
          <w:sz w:val="32"/>
          <w:szCs w:val="32"/>
          <w:lang w:eastAsia="zh-CN"/>
        </w:rPr>
        <w:t>”</w:t>
      </w:r>
      <w:r>
        <w:rPr>
          <w:rFonts w:hint="eastAsia" w:eastAsia="仿宋_GB2312"/>
          <w:sz w:val="32"/>
          <w:szCs w:val="32"/>
        </w:rPr>
        <w:t>支出的绩效目标完成情况，实现产出和取得效益的情况。</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一是政府机构改革后，人员混岗情况严重，各项专业人员特别是财务人员紧缺，岗位职责不明确，职能弱化，上下工作对接不顺畅，造成工作被动；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二是乡镇干部年龄结构偏大，知识老化，乡镇经济和管理发展难度增大；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三是乡镇干部职工待遇普遍较低，职工岗位津贴较少，对职工的工作主动性和积极性有一定影响。</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eastAsia="黑体"/>
          <w:sz w:val="32"/>
          <w:szCs w:val="32"/>
        </w:rPr>
      </w:pPr>
      <w:r>
        <w:rPr>
          <w:rFonts w:hint="eastAsia" w:eastAsia="黑体"/>
          <w:sz w:val="32"/>
          <w:szCs w:val="32"/>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一是加强人员管理培训，细化岗位职责，明确合理化分工，促进工作联动；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二是进一步完善、明确和细化各项管理制度，严格控制政府各项经费收支管理；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sz w:val="32"/>
          <w:szCs w:val="32"/>
        </w:rPr>
      </w:pPr>
      <w:r>
        <w:rPr>
          <w:rFonts w:hint="eastAsia" w:ascii="仿宋_GB2312" w:hAnsi="仿宋" w:eastAsia="仿宋_GB2312" w:cs="仿宋"/>
          <w:sz w:val="32"/>
          <w:szCs w:val="32"/>
        </w:rPr>
        <w:t>三是根据干部职工的工作绩效情况进行优奖赏罚等，着力提高干部职工待遇。</w:t>
      </w:r>
    </w:p>
    <w:p>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没有其他需要说明的情况。</w:t>
      </w:r>
    </w:p>
    <w:p>
      <w:pPr>
        <w:widowControl/>
        <w:spacing w:line="560" w:lineRule="exact"/>
        <w:ind w:firstLine="645"/>
        <w:jc w:val="left"/>
        <w:rPr>
          <w:rFonts w:eastAsia="仿宋_GB2312"/>
          <w:sz w:val="32"/>
          <w:szCs w:val="32"/>
        </w:rPr>
      </w:pPr>
      <w:r>
        <w:rPr>
          <w:rFonts w:hint="eastAsia" w:eastAsia="仿宋_GB2312"/>
          <w:sz w:val="32"/>
          <w:szCs w:val="32"/>
        </w:rPr>
        <w:t>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6"/>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1"/>
        <w:gridCol w:w="869"/>
        <w:gridCol w:w="1048"/>
        <w:gridCol w:w="495"/>
        <w:gridCol w:w="2562"/>
        <w:gridCol w:w="5096"/>
        <w:gridCol w:w="2109"/>
        <w:gridCol w:w="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投入</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14</w:t>
            </w:r>
            <w:r>
              <w:rPr>
                <w:rStyle w:val="12"/>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目标</w:t>
            </w:r>
            <w:r>
              <w:rPr>
                <w:rStyle w:val="13"/>
                <w:rFonts w:eastAsia="宋体"/>
                <w:lang w:val="en-US" w:eastAsia="zh-CN" w:bidi="ar"/>
              </w:rPr>
              <w:br w:type="textWrapping"/>
            </w:r>
            <w:r>
              <w:rPr>
                <w:rStyle w:val="12"/>
                <w:lang w:val="en-US" w:eastAsia="zh-CN" w:bidi="ar"/>
              </w:rPr>
              <w:t>设定</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7</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绩效目标</w:t>
            </w:r>
            <w:r>
              <w:rPr>
                <w:rStyle w:val="13"/>
                <w:rFonts w:eastAsia="宋体"/>
                <w:lang w:val="en-US" w:eastAsia="zh-CN" w:bidi="ar"/>
              </w:rPr>
              <w:br w:type="textWrapping"/>
            </w:r>
            <w:r>
              <w:rPr>
                <w:rStyle w:val="12"/>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①是否符合国家法律法规、国民经济和社会发展总体规划；</w:t>
            </w:r>
            <w:r>
              <w:rPr>
                <w:rStyle w:val="13"/>
                <w:rFonts w:eastAsia="宋体"/>
                <w:lang w:val="en-US" w:eastAsia="zh-CN" w:bidi="ar"/>
              </w:rPr>
              <w:br w:type="textWrapping"/>
            </w:r>
            <w:r>
              <w:rPr>
                <w:rStyle w:val="12"/>
                <w:lang w:val="en-US" w:eastAsia="zh-CN" w:bidi="ar"/>
              </w:rPr>
              <w:t>②是否符合部门</w:t>
            </w:r>
            <w:r>
              <w:rPr>
                <w:rStyle w:val="13"/>
                <w:rFonts w:eastAsia="宋体"/>
                <w:lang w:val="en-US" w:eastAsia="zh-CN" w:bidi="ar"/>
              </w:rPr>
              <w:t>“</w:t>
            </w:r>
            <w:r>
              <w:rPr>
                <w:rStyle w:val="12"/>
                <w:lang w:val="en-US" w:eastAsia="zh-CN" w:bidi="ar"/>
              </w:rPr>
              <w:t>三定</w:t>
            </w:r>
            <w:r>
              <w:rPr>
                <w:rStyle w:val="13"/>
                <w:rFonts w:eastAsia="宋体"/>
                <w:lang w:val="en-US" w:eastAsia="zh-CN" w:bidi="ar"/>
              </w:rPr>
              <w:t>”</w:t>
            </w:r>
            <w:r>
              <w:rPr>
                <w:rStyle w:val="12"/>
                <w:lang w:val="en-US" w:eastAsia="zh-CN" w:bidi="ar"/>
              </w:rPr>
              <w:t>方案确定的职责；</w:t>
            </w:r>
            <w:r>
              <w:rPr>
                <w:rStyle w:val="13"/>
                <w:rFonts w:eastAsia="宋体"/>
                <w:lang w:val="en-US" w:eastAsia="zh-CN" w:bidi="ar"/>
              </w:rPr>
              <w:br w:type="textWrapping"/>
            </w:r>
            <w:r>
              <w:rPr>
                <w:rStyle w:val="12"/>
                <w:lang w:val="en-US" w:eastAsia="zh-CN" w:bidi="ar"/>
              </w:rPr>
              <w:t>③是否符合部门制定的中长期实施规划。</w:t>
            </w:r>
            <w:r>
              <w:rPr>
                <w:rStyle w:val="13"/>
                <w:rFonts w:eastAsia="宋体"/>
                <w:lang w:val="en-US" w:eastAsia="zh-CN" w:bidi="ar"/>
              </w:rPr>
              <w:br w:type="textWrapping"/>
            </w:r>
            <w:r>
              <w:rPr>
                <w:rStyle w:val="12"/>
                <w:lang w:val="en-US" w:eastAsia="zh-CN" w:bidi="ar"/>
              </w:rPr>
              <w:t>以上各项每发现一起不符合要求扣</w:t>
            </w:r>
            <w:r>
              <w:rPr>
                <w:rStyle w:val="13"/>
                <w:rFonts w:eastAsia="宋体"/>
                <w:lang w:val="en-US" w:eastAsia="zh-CN" w:bidi="ar"/>
              </w:rPr>
              <w:t>1</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3"/>
                <w:rFonts w:eastAsia="宋体"/>
                <w:lang w:val="en-US" w:eastAsia="zh-CN" w:bidi="ar"/>
              </w:rPr>
              <w:t>“</w:t>
            </w:r>
            <w:r>
              <w:rPr>
                <w:rStyle w:val="12"/>
                <w:lang w:val="en-US" w:eastAsia="zh-CN" w:bidi="ar"/>
              </w:rPr>
              <w:t>三定</w:t>
            </w:r>
            <w:r>
              <w:rPr>
                <w:rStyle w:val="13"/>
                <w:rFonts w:eastAsia="宋体"/>
                <w:lang w:val="en-US" w:eastAsia="zh-CN" w:bidi="ar"/>
              </w:rPr>
              <w:t>”</w:t>
            </w:r>
            <w:r>
              <w:rPr>
                <w:rStyle w:val="12"/>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绩效指标</w:t>
            </w:r>
            <w:r>
              <w:rPr>
                <w:rStyle w:val="13"/>
                <w:rFonts w:eastAsia="宋体"/>
                <w:lang w:val="en-US" w:eastAsia="zh-CN" w:bidi="ar"/>
              </w:rPr>
              <w:br w:type="textWrapping"/>
            </w:r>
            <w:r>
              <w:rPr>
                <w:rStyle w:val="12"/>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①有目标，计</w:t>
            </w:r>
            <w:r>
              <w:rPr>
                <w:rStyle w:val="13"/>
                <w:rFonts w:eastAsia="宋体"/>
                <w:lang w:val="en-US" w:eastAsia="zh-CN" w:bidi="ar"/>
              </w:rPr>
              <w:t>1</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②目标明确，细化量化良好，个性指标中量化指标超过</w:t>
            </w:r>
            <w:r>
              <w:rPr>
                <w:rStyle w:val="13"/>
                <w:rFonts w:eastAsia="宋体"/>
                <w:lang w:val="en-US" w:eastAsia="zh-CN" w:bidi="ar"/>
              </w:rPr>
              <w:t>3</w:t>
            </w:r>
            <w:r>
              <w:rPr>
                <w:rStyle w:val="12"/>
                <w:lang w:val="en-US" w:eastAsia="zh-CN" w:bidi="ar"/>
              </w:rPr>
              <w:t>个，计</w:t>
            </w:r>
            <w:r>
              <w:rPr>
                <w:rStyle w:val="13"/>
                <w:rFonts w:eastAsia="宋体"/>
                <w:lang w:val="en-US" w:eastAsia="zh-CN" w:bidi="ar"/>
              </w:rPr>
              <w:t>1</w:t>
            </w:r>
            <w:r>
              <w:rPr>
                <w:rStyle w:val="12"/>
                <w:lang w:val="en-US" w:eastAsia="zh-CN" w:bidi="ar"/>
              </w:rPr>
              <w:t>分，量化指标为</w:t>
            </w:r>
            <w:r>
              <w:rPr>
                <w:rStyle w:val="13"/>
                <w:rFonts w:eastAsia="宋体"/>
                <w:lang w:val="en-US" w:eastAsia="zh-CN" w:bidi="ar"/>
              </w:rPr>
              <w:t>2</w:t>
            </w:r>
            <w:r>
              <w:rPr>
                <w:rStyle w:val="12"/>
                <w:lang w:val="en-US" w:eastAsia="zh-CN" w:bidi="ar"/>
              </w:rPr>
              <w:t>个，计</w:t>
            </w:r>
            <w:r>
              <w:rPr>
                <w:rStyle w:val="13"/>
                <w:rFonts w:eastAsia="宋体"/>
                <w:lang w:val="en-US" w:eastAsia="zh-CN" w:bidi="ar"/>
              </w:rPr>
              <w:t>0.5</w:t>
            </w:r>
            <w:r>
              <w:rPr>
                <w:rStyle w:val="12"/>
                <w:lang w:val="en-US" w:eastAsia="zh-CN" w:bidi="ar"/>
              </w:rPr>
              <w:t>分，</w:t>
            </w:r>
            <w:r>
              <w:rPr>
                <w:rStyle w:val="13"/>
                <w:rFonts w:eastAsia="宋体"/>
                <w:lang w:val="en-US" w:eastAsia="zh-CN" w:bidi="ar"/>
              </w:rPr>
              <w:t>2</w:t>
            </w:r>
            <w:r>
              <w:rPr>
                <w:rStyle w:val="12"/>
                <w:lang w:val="en-US" w:eastAsia="zh-CN" w:bidi="ar"/>
              </w:rPr>
              <w:t>个以下不得分；</w:t>
            </w:r>
            <w:r>
              <w:rPr>
                <w:rStyle w:val="13"/>
                <w:rFonts w:eastAsia="宋体"/>
                <w:lang w:val="en-US" w:eastAsia="zh-CN" w:bidi="ar"/>
              </w:rPr>
              <w:br w:type="textWrapping"/>
            </w:r>
            <w:r>
              <w:rPr>
                <w:rStyle w:val="12"/>
                <w:lang w:val="en-US" w:eastAsia="zh-CN" w:bidi="ar"/>
              </w:rPr>
              <w:t>③与年度任务数或计划数相对应，计</w:t>
            </w:r>
            <w:r>
              <w:rPr>
                <w:rStyle w:val="13"/>
                <w:rFonts w:eastAsia="宋体"/>
                <w:lang w:val="en-US" w:eastAsia="zh-CN" w:bidi="ar"/>
              </w:rPr>
              <w:t>1</w:t>
            </w:r>
            <w:r>
              <w:rPr>
                <w:rStyle w:val="12"/>
                <w:lang w:val="en-US" w:eastAsia="zh-CN" w:bidi="ar"/>
              </w:rPr>
              <w:t>分，大于</w:t>
            </w:r>
            <w:r>
              <w:rPr>
                <w:rStyle w:val="13"/>
                <w:rFonts w:eastAsia="宋体"/>
                <w:lang w:val="en-US" w:eastAsia="zh-CN" w:bidi="ar"/>
              </w:rPr>
              <w:t>50%</w:t>
            </w:r>
            <w:r>
              <w:rPr>
                <w:rStyle w:val="12"/>
                <w:lang w:val="en-US" w:eastAsia="zh-CN" w:bidi="ar"/>
              </w:rPr>
              <w:t>计</w:t>
            </w:r>
            <w:r>
              <w:rPr>
                <w:rStyle w:val="13"/>
                <w:rFonts w:eastAsia="宋体"/>
                <w:lang w:val="en-US" w:eastAsia="zh-CN" w:bidi="ar"/>
              </w:rPr>
              <w:t>0.5</w:t>
            </w:r>
            <w:r>
              <w:rPr>
                <w:rStyle w:val="12"/>
                <w:lang w:val="en-US" w:eastAsia="zh-CN" w:bidi="ar"/>
              </w:rPr>
              <w:t>分，对应低于</w:t>
            </w:r>
            <w:r>
              <w:rPr>
                <w:rStyle w:val="13"/>
                <w:rFonts w:eastAsia="宋体"/>
                <w:lang w:val="en-US" w:eastAsia="zh-CN" w:bidi="ar"/>
              </w:rPr>
              <w:t>50%</w:t>
            </w:r>
            <w:r>
              <w:rPr>
                <w:rStyle w:val="12"/>
                <w:lang w:val="en-US" w:eastAsia="zh-CN" w:bidi="ar"/>
              </w:rPr>
              <w:t>不计分；</w:t>
            </w:r>
            <w:r>
              <w:rPr>
                <w:rStyle w:val="13"/>
                <w:rFonts w:eastAsia="宋体"/>
                <w:lang w:val="en-US" w:eastAsia="zh-CN" w:bidi="ar"/>
              </w:rPr>
              <w:br w:type="textWrapping"/>
            </w:r>
            <w:r>
              <w:rPr>
                <w:rStyle w:val="12"/>
                <w:lang w:val="en-US" w:eastAsia="zh-CN" w:bidi="ar"/>
              </w:rPr>
              <w:t>④目标与资金匹配良好，逻辑关系明确，计</w:t>
            </w:r>
            <w:r>
              <w:rPr>
                <w:rStyle w:val="13"/>
                <w:rFonts w:eastAsia="宋体"/>
                <w:lang w:val="en-US" w:eastAsia="zh-CN" w:bidi="ar"/>
              </w:rPr>
              <w:t>1</w:t>
            </w:r>
            <w:r>
              <w:rPr>
                <w:rStyle w:val="12"/>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配置</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7</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人员</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在职人员控制率</w:t>
            </w:r>
            <w:r>
              <w:rPr>
                <w:rStyle w:val="13"/>
                <w:rFonts w:eastAsia="宋体"/>
                <w:lang w:val="en-US" w:eastAsia="zh-CN" w:bidi="ar"/>
              </w:rPr>
              <w:t>=</w:t>
            </w:r>
            <w:r>
              <w:rPr>
                <w:rStyle w:val="12"/>
                <w:lang w:val="en-US" w:eastAsia="zh-CN" w:bidi="ar"/>
              </w:rPr>
              <w:t>（在职人员数</w:t>
            </w:r>
            <w:r>
              <w:rPr>
                <w:rStyle w:val="13"/>
                <w:rFonts w:eastAsia="宋体"/>
                <w:lang w:val="en-US" w:eastAsia="zh-CN" w:bidi="ar"/>
              </w:rPr>
              <w:t>/</w:t>
            </w:r>
            <w:r>
              <w:rPr>
                <w:rStyle w:val="12"/>
                <w:lang w:val="en-US" w:eastAsia="zh-CN" w:bidi="ar"/>
              </w:rPr>
              <w:t>编制数）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在职人员数：部门（单位）实际在职人数</w:t>
            </w:r>
            <w:r>
              <w:rPr>
                <w:rStyle w:val="13"/>
                <w:rFonts w:eastAsia="宋体"/>
                <w:lang w:val="en-US" w:eastAsia="zh-CN" w:bidi="ar"/>
              </w:rPr>
              <w:t>,</w:t>
            </w:r>
            <w:r>
              <w:rPr>
                <w:rStyle w:val="12"/>
                <w:lang w:val="en-US" w:eastAsia="zh-CN" w:bidi="ar"/>
              </w:rPr>
              <w:t>以财政部门确定的部门决算编制口径为准。</w:t>
            </w:r>
            <w:r>
              <w:rPr>
                <w:rStyle w:val="13"/>
                <w:rFonts w:eastAsia="宋体"/>
                <w:lang w:val="en-US" w:eastAsia="zh-CN" w:bidi="ar"/>
              </w:rPr>
              <w:br w:type="textWrapping"/>
            </w:r>
            <w:r>
              <w:rPr>
                <w:rStyle w:val="12"/>
                <w:lang w:val="en-US" w:eastAsia="zh-CN" w:bidi="ar"/>
              </w:rPr>
              <w:t>编制数：机构编制部门核定批复的部门（单位）人员编制数。</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在职人员控制率≦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分，每超出</w:t>
            </w:r>
            <w:r>
              <w:rPr>
                <w:rStyle w:val="13"/>
                <w:rFonts w:eastAsia="宋体"/>
                <w:lang w:val="en-US" w:eastAsia="zh-CN" w:bidi="ar"/>
              </w:rPr>
              <w:t>1%</w:t>
            </w:r>
            <w:r>
              <w:rPr>
                <w:rStyle w:val="12"/>
                <w:lang w:val="en-US" w:eastAsia="zh-CN" w:bidi="ar"/>
              </w:rPr>
              <w:t>扣</w:t>
            </w:r>
            <w:r>
              <w:rPr>
                <w:rStyle w:val="13"/>
                <w:rFonts w:eastAsia="宋体"/>
                <w:lang w:val="en-US" w:eastAsia="zh-CN" w:bidi="ar"/>
              </w:rPr>
              <w:t>0.2</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3"/>
                <w:rFonts w:eastAsia="宋体"/>
                <w:lang w:val="en-US" w:eastAsia="zh-CN" w:bidi="ar"/>
              </w:rPr>
              <w:br w:type="textWrapping"/>
            </w:r>
            <w:r>
              <w:rPr>
                <w:rStyle w:val="12"/>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预算数与上年度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变动率</w:t>
            </w:r>
            <w:r>
              <w:rPr>
                <w:rStyle w:val="13"/>
                <w:rFonts w:eastAsia="宋体"/>
                <w:lang w:val="en-US" w:eastAsia="zh-CN" w:bidi="ar"/>
              </w:rPr>
              <w:t>=[</w:t>
            </w:r>
            <w:r>
              <w:rPr>
                <w:rStyle w:val="12"/>
                <w:lang w:val="en-US" w:eastAsia="zh-CN" w:bidi="ar"/>
              </w:rPr>
              <w:t>（本年度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w:t>
            </w:r>
            <w:r>
              <w:rPr>
                <w:rStyle w:val="12"/>
                <w:lang w:val="en-US" w:eastAsia="zh-CN" w:bidi="ar"/>
              </w:rPr>
              <w:t>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w:t>
            </w:r>
            <w:r>
              <w:rPr>
                <w:rStyle w:val="12"/>
                <w:lang w:val="en-US" w:eastAsia="zh-CN" w:bidi="ar"/>
              </w:rPr>
              <w:t>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]×100%</w:t>
            </w:r>
            <w:r>
              <w:rPr>
                <w:rStyle w:val="12"/>
                <w:lang w:val="en-US" w:eastAsia="zh-CN" w:bidi="ar"/>
              </w:rPr>
              <w:t>。</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：年度预算安排的因公出国（境）费、公务车辆购置及运行费和公务招待费。</w:t>
            </w:r>
            <w:r>
              <w:rPr>
                <w:rStyle w:val="13"/>
                <w:rFonts w:eastAsia="宋体"/>
                <w:lang w:val="en-US" w:eastAsia="zh-CN" w:bidi="ar"/>
              </w:rPr>
              <w:br w:type="textWrapping"/>
            </w:r>
            <w:r>
              <w:rPr>
                <w:rStyle w:val="12"/>
                <w:lang w:val="en-US" w:eastAsia="zh-CN" w:bidi="ar"/>
              </w:rPr>
              <w:t>该项得分，变动率为负数，计</w:t>
            </w:r>
            <w:r>
              <w:rPr>
                <w:rStyle w:val="13"/>
                <w:rFonts w:eastAsia="宋体"/>
                <w:lang w:val="en-US" w:eastAsia="zh-CN" w:bidi="ar"/>
              </w:rPr>
              <w:t>2</w:t>
            </w:r>
            <w:r>
              <w:rPr>
                <w:rStyle w:val="12"/>
                <w:lang w:val="en-US" w:eastAsia="zh-CN" w:bidi="ar"/>
              </w:rPr>
              <w:t>分，变动率为正数，计</w:t>
            </w:r>
            <w:r>
              <w:rPr>
                <w:rStyle w:val="13"/>
                <w:rFonts w:eastAsia="宋体"/>
                <w:lang w:val="en-US" w:eastAsia="zh-CN" w:bidi="ar"/>
              </w:rPr>
              <w:t>0</w:t>
            </w:r>
            <w:r>
              <w:rPr>
                <w:rStyle w:val="12"/>
                <w:lang w:val="en-US" w:eastAsia="zh-CN" w:bidi="ar"/>
              </w:rPr>
              <w:t>分。年度内</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完成数超过预算数，则该项计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本年度和上年度部门（单位）预算</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w:t>
            </w:r>
            <w:r>
              <w:rPr>
                <w:rStyle w:val="13"/>
                <w:rFonts w:eastAsia="宋体"/>
                <w:lang w:val="en-US" w:eastAsia="zh-CN" w:bidi="ar"/>
              </w:rPr>
              <w:br w:type="textWrapping"/>
            </w:r>
            <w:r>
              <w:rPr>
                <w:rStyle w:val="12"/>
                <w:lang w:val="en-US" w:eastAsia="zh-CN" w:bidi="ar"/>
              </w:rPr>
              <w:t>支出</w:t>
            </w:r>
            <w:r>
              <w:rPr>
                <w:rStyle w:val="13"/>
                <w:rFonts w:eastAsia="宋体"/>
                <w:lang w:val="en-US" w:eastAsia="zh-CN" w:bidi="ar"/>
              </w:rPr>
              <w:br w:type="textWrapping"/>
            </w:r>
            <w:r>
              <w:rPr>
                <w:rStyle w:val="12"/>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重点支出安排率</w:t>
            </w:r>
            <w:r>
              <w:rPr>
                <w:rStyle w:val="13"/>
                <w:rFonts w:eastAsia="宋体"/>
                <w:lang w:val="en-US" w:eastAsia="zh-CN" w:bidi="ar"/>
              </w:rPr>
              <w:t>=</w:t>
            </w:r>
            <w:r>
              <w:rPr>
                <w:rStyle w:val="12"/>
                <w:lang w:val="en-US" w:eastAsia="zh-CN" w:bidi="ar"/>
              </w:rPr>
              <w:t>（重点实际支出</w:t>
            </w:r>
            <w:r>
              <w:rPr>
                <w:rStyle w:val="13"/>
                <w:rFonts w:eastAsia="宋体"/>
                <w:lang w:val="en-US" w:eastAsia="zh-CN" w:bidi="ar"/>
              </w:rPr>
              <w:t>/</w:t>
            </w:r>
            <w:r>
              <w:rPr>
                <w:rStyle w:val="12"/>
                <w:lang w:val="en-US" w:eastAsia="zh-CN" w:bidi="ar"/>
              </w:rPr>
              <w:t>重点预算支出）</w:t>
            </w:r>
            <w:r>
              <w:rPr>
                <w:rStyle w:val="13"/>
                <w:rFonts w:eastAsia="宋体"/>
                <w:lang w:val="en-US" w:eastAsia="zh-CN" w:bidi="ar"/>
              </w:rPr>
              <w:t>×100%</w:t>
            </w:r>
            <w:r>
              <w:rPr>
                <w:rStyle w:val="12"/>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安排率</w:t>
            </w:r>
            <w:r>
              <w:rPr>
                <w:rStyle w:val="13"/>
                <w:rFonts w:eastAsia="宋体"/>
                <w:lang w:val="en-US" w:eastAsia="zh-CN" w:bidi="ar"/>
              </w:rPr>
              <w:t>×2</w:t>
            </w:r>
            <w:r>
              <w:rPr>
                <w:rStyle w:val="12"/>
                <w:lang w:val="en-US" w:eastAsia="zh-CN" w:bidi="ar"/>
              </w:rPr>
              <w:t>分。每超出</w:t>
            </w:r>
            <w:r>
              <w:rPr>
                <w:rStyle w:val="13"/>
                <w:rFonts w:eastAsia="宋体"/>
                <w:lang w:val="en-US" w:eastAsia="zh-CN" w:bidi="ar"/>
              </w:rPr>
              <w:t>5</w:t>
            </w:r>
            <w:r>
              <w:rPr>
                <w:rStyle w:val="12"/>
                <w:lang w:val="en-US" w:eastAsia="zh-CN" w:bidi="ar"/>
              </w:rPr>
              <w:t>%扣</w:t>
            </w:r>
            <w:r>
              <w:rPr>
                <w:rStyle w:val="13"/>
                <w:rFonts w:eastAsia="宋体"/>
                <w:lang w:val="en-US" w:eastAsia="zh-CN" w:bidi="ar"/>
              </w:rPr>
              <w:t>0.5</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非税</w:t>
            </w:r>
            <w:r>
              <w:rPr>
                <w:rStyle w:val="13"/>
                <w:rFonts w:eastAsia="宋体"/>
                <w:lang w:val="en-US" w:eastAsia="zh-CN" w:bidi="ar"/>
              </w:rPr>
              <w:br w:type="textWrapping"/>
            </w:r>
            <w:r>
              <w:rPr>
                <w:rStyle w:val="12"/>
                <w:lang w:val="en-US" w:eastAsia="zh-CN" w:bidi="ar"/>
              </w:rPr>
              <w:t>收入</w:t>
            </w:r>
            <w:r>
              <w:rPr>
                <w:rStyle w:val="13"/>
                <w:rFonts w:eastAsia="宋体"/>
                <w:lang w:val="en-US" w:eastAsia="zh-CN" w:bidi="ar"/>
              </w:rPr>
              <w:br w:type="textWrapping"/>
            </w:r>
            <w:r>
              <w:rPr>
                <w:rStyle w:val="12"/>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非税收入完成率</w:t>
            </w:r>
            <w:r>
              <w:rPr>
                <w:rStyle w:val="13"/>
                <w:rFonts w:eastAsia="宋体"/>
                <w:lang w:val="en-US" w:eastAsia="zh-CN" w:bidi="ar"/>
              </w:rPr>
              <w:t>=</w:t>
            </w:r>
            <w:r>
              <w:rPr>
                <w:rStyle w:val="12"/>
                <w:lang w:val="en-US" w:eastAsia="zh-CN" w:bidi="ar"/>
              </w:rPr>
              <w:t>（非税实际收入完成数</w:t>
            </w:r>
            <w:r>
              <w:rPr>
                <w:rStyle w:val="13"/>
                <w:rFonts w:eastAsia="宋体"/>
                <w:lang w:val="en-US" w:eastAsia="zh-CN" w:bidi="ar"/>
              </w:rPr>
              <w:t>/</w:t>
            </w:r>
            <w:r>
              <w:rPr>
                <w:rStyle w:val="12"/>
                <w:lang w:val="en-US" w:eastAsia="zh-CN" w:bidi="ar"/>
              </w:rPr>
              <w:t>非税收入预算数）</w:t>
            </w:r>
            <w:r>
              <w:rPr>
                <w:rStyle w:val="13"/>
                <w:rFonts w:eastAsia="宋体"/>
                <w:lang w:val="en-US" w:eastAsia="zh-CN" w:bidi="ar"/>
              </w:rPr>
              <w:t>×100%</w:t>
            </w:r>
            <w:r>
              <w:rPr>
                <w:rStyle w:val="12"/>
                <w:lang w:val="en-US" w:eastAsia="zh-CN" w:bidi="ar"/>
              </w:rPr>
              <w:t>，有减免因素的，以财政事务中心确定的为准。</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完成率</w:t>
            </w:r>
            <w:r>
              <w:rPr>
                <w:rStyle w:val="13"/>
                <w:rFonts w:eastAsia="宋体"/>
                <w:lang w:val="en-US" w:eastAsia="zh-CN" w:bidi="ar"/>
              </w:rPr>
              <w:t>×1</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过程</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47</w:t>
            </w:r>
            <w:r>
              <w:rPr>
                <w:rStyle w:val="12"/>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执行</w:t>
            </w:r>
            <w:r>
              <w:rPr>
                <w:rStyle w:val="13"/>
                <w:rFonts w:eastAsia="宋体"/>
                <w:lang w:val="en-US" w:eastAsia="zh-CN" w:bidi="ar"/>
              </w:rPr>
              <w:br w:type="textWrapping"/>
            </w:r>
            <w:r>
              <w:rPr>
                <w:rStyle w:val="13"/>
                <w:rFonts w:eastAsia="宋体"/>
                <w:lang w:val="en-US" w:eastAsia="zh-CN" w:bidi="ar"/>
              </w:rPr>
              <w:t>(13</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①预算执行率</w:t>
            </w:r>
            <w:r>
              <w:rPr>
                <w:rStyle w:val="13"/>
                <w:rFonts w:eastAsia="宋体"/>
                <w:lang w:val="en-US" w:eastAsia="zh-CN" w:bidi="ar"/>
              </w:rPr>
              <w:t>=</w:t>
            </w:r>
            <w:r>
              <w:rPr>
                <w:rStyle w:val="12"/>
                <w:lang w:val="en-US" w:eastAsia="zh-CN" w:bidi="ar"/>
              </w:rPr>
              <w:t>（预算完成数</w:t>
            </w:r>
            <w:r>
              <w:rPr>
                <w:rStyle w:val="13"/>
                <w:rFonts w:eastAsia="宋体"/>
                <w:lang w:val="en-US" w:eastAsia="zh-CN" w:bidi="ar"/>
              </w:rPr>
              <w:t>/</w:t>
            </w:r>
            <w:r>
              <w:rPr>
                <w:rStyle w:val="12"/>
                <w:lang w:val="en-US" w:eastAsia="zh-CN" w:bidi="ar"/>
              </w:rPr>
              <w:t>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预算执行数：部门（单位）本年度实际完成的预算数。</w:t>
            </w:r>
            <w:r>
              <w:rPr>
                <w:rStyle w:val="13"/>
                <w:rFonts w:eastAsia="宋体"/>
                <w:lang w:val="en-US" w:eastAsia="zh-CN" w:bidi="ar"/>
              </w:rPr>
              <w:br w:type="textWrapping"/>
            </w:r>
            <w:r>
              <w:rPr>
                <w:rStyle w:val="12"/>
                <w:lang w:val="en-US" w:eastAsia="zh-CN" w:bidi="ar"/>
              </w:rPr>
              <w:t>预算数：财政部门批复的本年度部门（单位）预算数及追加的预算数。</w:t>
            </w:r>
            <w:r>
              <w:rPr>
                <w:rStyle w:val="13"/>
                <w:rFonts w:eastAsia="宋体"/>
                <w:lang w:val="en-US" w:eastAsia="zh-CN" w:bidi="ar"/>
              </w:rPr>
              <w:br w:type="textWrapping"/>
            </w:r>
            <w:r>
              <w:rPr>
                <w:rStyle w:val="12"/>
                <w:lang w:val="en-US" w:eastAsia="zh-CN" w:bidi="ar"/>
              </w:rPr>
              <w:t>该项得分，全年预算执行率</w:t>
            </w:r>
            <w:r>
              <w:rPr>
                <w:rStyle w:val="13"/>
                <w:rFonts w:eastAsia="宋体"/>
                <w:lang w:val="en-US" w:eastAsia="zh-CN" w:bidi="ar"/>
              </w:rPr>
              <w:t>95%</w:t>
            </w:r>
            <w:r>
              <w:rPr>
                <w:rStyle w:val="12"/>
                <w:lang w:val="en-US" w:eastAsia="zh-CN" w:bidi="ar"/>
              </w:rPr>
              <w:t>以上计</w:t>
            </w:r>
            <w:r>
              <w:rPr>
                <w:rStyle w:val="13"/>
                <w:rFonts w:eastAsia="宋体"/>
                <w:lang w:val="en-US" w:eastAsia="zh-CN" w:bidi="ar"/>
              </w:rPr>
              <w:t>2</w:t>
            </w:r>
            <w:r>
              <w:rPr>
                <w:rStyle w:val="12"/>
                <w:lang w:val="en-US" w:eastAsia="zh-CN" w:bidi="ar"/>
              </w:rPr>
              <w:t>分，</w:t>
            </w:r>
            <w:r>
              <w:rPr>
                <w:rStyle w:val="13"/>
                <w:rFonts w:eastAsia="宋体"/>
                <w:lang w:val="en-US" w:eastAsia="zh-CN" w:bidi="ar"/>
              </w:rPr>
              <w:t>95-90%</w:t>
            </w:r>
            <w:r>
              <w:rPr>
                <w:rStyle w:val="12"/>
                <w:lang w:val="en-US" w:eastAsia="zh-CN" w:bidi="ar"/>
              </w:rPr>
              <w:t>（含），计</w:t>
            </w:r>
            <w:r>
              <w:rPr>
                <w:rStyle w:val="13"/>
                <w:rFonts w:eastAsia="宋体"/>
                <w:lang w:val="en-US" w:eastAsia="zh-CN" w:bidi="ar"/>
              </w:rPr>
              <w:t>1</w:t>
            </w:r>
            <w:r>
              <w:rPr>
                <w:rStyle w:val="12"/>
                <w:lang w:val="en-US" w:eastAsia="zh-CN" w:bidi="ar"/>
              </w:rPr>
              <w:t>分，</w:t>
            </w:r>
            <w:r>
              <w:rPr>
                <w:rStyle w:val="13"/>
                <w:rFonts w:eastAsia="宋体"/>
                <w:lang w:val="en-US" w:eastAsia="zh-CN" w:bidi="ar"/>
              </w:rPr>
              <w:t>90-80%</w:t>
            </w:r>
            <w:r>
              <w:rPr>
                <w:rStyle w:val="12"/>
                <w:lang w:val="en-US" w:eastAsia="zh-CN" w:bidi="ar"/>
              </w:rPr>
              <w:t>（含），计</w:t>
            </w:r>
            <w:r>
              <w:rPr>
                <w:rStyle w:val="13"/>
                <w:rFonts w:eastAsia="宋体"/>
                <w:lang w:val="en-US" w:eastAsia="zh-CN" w:bidi="ar"/>
              </w:rPr>
              <w:t>0.5</w:t>
            </w:r>
            <w:r>
              <w:rPr>
                <w:rStyle w:val="12"/>
                <w:lang w:val="en-US" w:eastAsia="zh-CN" w:bidi="ar"/>
              </w:rPr>
              <w:t>分，小于</w:t>
            </w:r>
            <w:r>
              <w:rPr>
                <w:rStyle w:val="13"/>
                <w:rFonts w:eastAsia="宋体"/>
                <w:lang w:val="en-US" w:eastAsia="zh-CN" w:bidi="ar"/>
              </w:rPr>
              <w:t>80%</w:t>
            </w:r>
            <w:r>
              <w:rPr>
                <w:rStyle w:val="12"/>
                <w:lang w:val="en-US" w:eastAsia="zh-CN" w:bidi="ar"/>
              </w:rPr>
              <w:t>不得分；</w:t>
            </w:r>
            <w:r>
              <w:rPr>
                <w:rStyle w:val="13"/>
                <w:rFonts w:eastAsia="宋体"/>
                <w:lang w:val="en-US" w:eastAsia="zh-CN" w:bidi="ar"/>
              </w:rPr>
              <w:br w:type="textWrapping"/>
            </w:r>
            <w:r>
              <w:rPr>
                <w:rStyle w:val="12"/>
                <w:lang w:val="en-US" w:eastAsia="zh-CN" w:bidi="ar"/>
              </w:rPr>
              <w:t>②绩效目标执行监控是否按要求完成。</w:t>
            </w:r>
            <w:r>
              <w:rPr>
                <w:rStyle w:val="13"/>
                <w:rFonts w:eastAsia="宋体"/>
                <w:lang w:val="en-US" w:eastAsia="zh-CN" w:bidi="ar"/>
              </w:rPr>
              <w:br w:type="textWrapping"/>
            </w:r>
            <w:r>
              <w:rPr>
                <w:rStyle w:val="12"/>
                <w:lang w:val="en-US" w:eastAsia="zh-CN" w:bidi="ar"/>
              </w:rPr>
              <w:t>该项得分，实施项目资金运行监控的得</w:t>
            </w:r>
            <w:r>
              <w:rPr>
                <w:rStyle w:val="13"/>
                <w:rFonts w:eastAsia="宋体"/>
                <w:lang w:val="en-US" w:eastAsia="zh-CN" w:bidi="ar"/>
              </w:rPr>
              <w:t>2</w:t>
            </w:r>
            <w:r>
              <w:rPr>
                <w:rStyle w:val="12"/>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预算调整率</w:t>
            </w:r>
            <w:r>
              <w:rPr>
                <w:rStyle w:val="13"/>
                <w:rFonts w:eastAsia="宋体"/>
                <w:lang w:val="en-US" w:eastAsia="zh-CN" w:bidi="ar"/>
              </w:rPr>
              <w:t>=</w:t>
            </w:r>
            <w:r>
              <w:rPr>
                <w:rStyle w:val="12"/>
                <w:lang w:val="en-US" w:eastAsia="zh-CN" w:bidi="ar"/>
              </w:rPr>
              <w:t>（预算调整数</w:t>
            </w:r>
            <w:r>
              <w:rPr>
                <w:rStyle w:val="13"/>
                <w:rFonts w:eastAsia="宋体"/>
                <w:lang w:val="en-US" w:eastAsia="zh-CN" w:bidi="ar"/>
              </w:rPr>
              <w:t>/</w:t>
            </w:r>
            <w:r>
              <w:rPr>
                <w:rStyle w:val="12"/>
                <w:lang w:val="en-US" w:eastAsia="zh-CN" w:bidi="ar"/>
              </w:rPr>
              <w:t>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3"/>
                <w:rFonts w:eastAsia="宋体"/>
                <w:lang w:val="en-US" w:eastAsia="zh-CN" w:bidi="ar"/>
              </w:rPr>
              <w:br w:type="textWrapping"/>
            </w:r>
            <w:r>
              <w:rPr>
                <w:rStyle w:val="12"/>
                <w:lang w:val="en-US" w:eastAsia="zh-CN" w:bidi="ar"/>
              </w:rPr>
              <w:t>该项得分，预算调整率</w:t>
            </w:r>
            <w:r>
              <w:rPr>
                <w:rStyle w:val="13"/>
                <w:rFonts w:eastAsia="宋体"/>
                <w:lang w:val="en-US" w:eastAsia="zh-CN" w:bidi="ar"/>
              </w:rPr>
              <w:t>&lt;5%</w:t>
            </w:r>
            <w:r>
              <w:rPr>
                <w:rStyle w:val="12"/>
                <w:lang w:val="en-US" w:eastAsia="zh-CN" w:bidi="ar"/>
              </w:rPr>
              <w:t>，计</w:t>
            </w:r>
            <w:r>
              <w:rPr>
                <w:rStyle w:val="13"/>
                <w:rFonts w:eastAsia="宋体"/>
                <w:lang w:val="en-US" w:eastAsia="zh-CN" w:bidi="ar"/>
              </w:rPr>
              <w:t>2</w:t>
            </w:r>
            <w:r>
              <w:rPr>
                <w:rStyle w:val="12"/>
                <w:lang w:val="en-US" w:eastAsia="zh-CN" w:bidi="ar"/>
              </w:rPr>
              <w:t>分；</w:t>
            </w:r>
            <w:r>
              <w:rPr>
                <w:rStyle w:val="13"/>
                <w:rFonts w:eastAsia="宋体"/>
                <w:lang w:val="en-US" w:eastAsia="zh-CN" w:bidi="ar"/>
              </w:rPr>
              <w:t>5-10%</w:t>
            </w:r>
            <w:r>
              <w:rPr>
                <w:rStyle w:val="12"/>
                <w:lang w:val="en-US" w:eastAsia="zh-CN" w:bidi="ar"/>
              </w:rPr>
              <w:t>（含），计</w:t>
            </w:r>
            <w:r>
              <w:rPr>
                <w:rStyle w:val="13"/>
                <w:rFonts w:eastAsia="宋体"/>
                <w:lang w:val="en-US" w:eastAsia="zh-CN" w:bidi="ar"/>
              </w:rPr>
              <w:t>1</w:t>
            </w:r>
            <w:r>
              <w:rPr>
                <w:rStyle w:val="12"/>
                <w:lang w:val="en-US" w:eastAsia="zh-CN" w:bidi="ar"/>
              </w:rPr>
              <w:t>分；大于</w:t>
            </w:r>
            <w:r>
              <w:rPr>
                <w:rStyle w:val="13"/>
                <w:rFonts w:eastAsia="宋体"/>
                <w:lang w:val="en-US" w:eastAsia="zh-CN" w:bidi="ar"/>
              </w:rPr>
              <w:t>10%</w:t>
            </w:r>
            <w:r>
              <w:rPr>
                <w:rStyle w:val="12"/>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结转</w:t>
            </w:r>
            <w:r>
              <w:rPr>
                <w:rStyle w:val="13"/>
                <w:rFonts w:eastAsia="宋体"/>
                <w:lang w:val="en-US" w:eastAsia="zh-CN" w:bidi="ar"/>
              </w:rPr>
              <w:br w:type="textWrapping"/>
            </w:r>
            <w:r>
              <w:rPr>
                <w:rStyle w:val="12"/>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结转结余率</w:t>
            </w:r>
            <w:r>
              <w:rPr>
                <w:rStyle w:val="13"/>
                <w:rFonts w:eastAsia="宋体"/>
                <w:lang w:val="en-US" w:eastAsia="zh-CN" w:bidi="ar"/>
              </w:rPr>
              <w:t>=</w:t>
            </w:r>
            <w:r>
              <w:rPr>
                <w:rStyle w:val="12"/>
                <w:lang w:val="en-US" w:eastAsia="zh-CN" w:bidi="ar"/>
              </w:rPr>
              <w:t>结转结余总额</w:t>
            </w:r>
            <w:r>
              <w:rPr>
                <w:rStyle w:val="13"/>
                <w:rFonts w:eastAsia="宋体"/>
                <w:lang w:val="en-US" w:eastAsia="zh-CN" w:bidi="ar"/>
              </w:rPr>
              <w:t>/</w:t>
            </w:r>
            <w:r>
              <w:rPr>
                <w:rStyle w:val="12"/>
                <w:lang w:val="en-US" w:eastAsia="zh-CN" w:bidi="ar"/>
              </w:rPr>
              <w:t>支出预算数</w:t>
            </w:r>
            <w:r>
              <w:rPr>
                <w:rStyle w:val="13"/>
                <w:rFonts w:eastAsia="宋体"/>
                <w:lang w:val="en-US" w:eastAsia="zh-CN" w:bidi="ar"/>
              </w:rPr>
              <w:t>×100%</w:t>
            </w:r>
            <w:r>
              <w:rPr>
                <w:rStyle w:val="12"/>
                <w:lang w:val="en-US" w:eastAsia="zh-CN" w:bidi="ar"/>
              </w:rPr>
              <w:t>。结转结余总额：部门本年度的结转资金与结余资金之和（以决算数为准）。</w:t>
            </w:r>
            <w:r>
              <w:rPr>
                <w:rStyle w:val="13"/>
                <w:rFonts w:eastAsia="宋体"/>
                <w:lang w:val="en-US" w:eastAsia="zh-CN" w:bidi="ar"/>
              </w:rPr>
              <w:br w:type="textWrapping"/>
            </w:r>
            <w:r>
              <w:rPr>
                <w:rStyle w:val="12"/>
                <w:lang w:val="en-US" w:eastAsia="zh-CN" w:bidi="ar"/>
              </w:rPr>
              <w:t>该项得分，结余率</w:t>
            </w:r>
            <w:r>
              <w:rPr>
                <w:rStyle w:val="13"/>
                <w:rFonts w:eastAsia="宋体"/>
                <w:lang w:val="en-US" w:eastAsia="zh-CN" w:bidi="ar"/>
              </w:rPr>
              <w:t>≤10%</w:t>
            </w:r>
            <w:r>
              <w:rPr>
                <w:rStyle w:val="12"/>
                <w:lang w:val="en-US" w:eastAsia="zh-CN" w:bidi="ar"/>
              </w:rPr>
              <w:t>的，计</w:t>
            </w:r>
            <w:r>
              <w:rPr>
                <w:rStyle w:val="13"/>
                <w:rFonts w:eastAsia="宋体"/>
                <w:lang w:val="en-US" w:eastAsia="zh-CN" w:bidi="ar"/>
              </w:rPr>
              <w:t>1</w:t>
            </w:r>
            <w:r>
              <w:rPr>
                <w:rStyle w:val="12"/>
                <w:lang w:val="en-US" w:eastAsia="zh-CN" w:bidi="ar"/>
              </w:rPr>
              <w:t>分；结余率</w:t>
            </w:r>
            <w:r>
              <w:rPr>
                <w:rStyle w:val="13"/>
                <w:rFonts w:eastAsia="宋体"/>
                <w:lang w:val="en-US" w:eastAsia="zh-CN" w:bidi="ar"/>
              </w:rPr>
              <w:t>&gt;10%</w:t>
            </w:r>
            <w:r>
              <w:rPr>
                <w:rStyle w:val="12"/>
                <w:lang w:val="en-US" w:eastAsia="zh-CN" w:bidi="ar"/>
              </w:rPr>
              <w:t>（不含），</w:t>
            </w:r>
            <w:r>
              <w:rPr>
                <w:rStyle w:val="13"/>
                <w:rFonts w:eastAsia="宋体"/>
                <w:lang w:val="en-US" w:eastAsia="zh-CN" w:bidi="ar"/>
              </w:rPr>
              <w:t>0.5</w:t>
            </w:r>
            <w:r>
              <w:rPr>
                <w:rStyle w:val="12"/>
                <w:lang w:val="en-US" w:eastAsia="zh-CN" w:bidi="ar"/>
              </w:rPr>
              <w:t>分；本年超支的，计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公用经费</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公用经费控制率</w:t>
            </w:r>
            <w:r>
              <w:rPr>
                <w:rStyle w:val="13"/>
                <w:rFonts w:eastAsia="宋体"/>
                <w:lang w:val="en-US" w:eastAsia="zh-CN" w:bidi="ar"/>
              </w:rPr>
              <w:t>=</w:t>
            </w:r>
            <w:r>
              <w:rPr>
                <w:rStyle w:val="12"/>
                <w:lang w:val="en-US" w:eastAsia="zh-CN" w:bidi="ar"/>
              </w:rPr>
              <w:t>（实际支出公用经费总额</w:t>
            </w:r>
            <w:r>
              <w:rPr>
                <w:rStyle w:val="13"/>
                <w:rFonts w:eastAsia="宋体"/>
                <w:lang w:val="en-US" w:eastAsia="zh-CN" w:bidi="ar"/>
              </w:rPr>
              <w:t>/</w:t>
            </w:r>
            <w:r>
              <w:rPr>
                <w:rStyle w:val="12"/>
                <w:lang w:val="en-US" w:eastAsia="zh-CN" w:bidi="ar"/>
              </w:rPr>
              <w:t>预算安排公用经费总额）</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该项得分，控制率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分，控制率</w:t>
            </w:r>
            <w:r>
              <w:rPr>
                <w:rStyle w:val="13"/>
                <w:rFonts w:eastAsia="宋体"/>
                <w:lang w:val="en-US" w:eastAsia="zh-CN" w:bidi="ar"/>
              </w:rPr>
              <w:t>&gt;100%</w:t>
            </w:r>
            <w:r>
              <w:rPr>
                <w:rStyle w:val="12"/>
                <w:lang w:val="en-US" w:eastAsia="zh-CN" w:bidi="ar"/>
              </w:rPr>
              <w:t>，计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实际支出数与预算安排数的比率，用以反映和考核部门（单位）对</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控制率</w:t>
            </w:r>
            <w:r>
              <w:rPr>
                <w:rStyle w:val="13"/>
                <w:rFonts w:eastAsia="宋体"/>
                <w:lang w:val="en-US" w:eastAsia="zh-CN" w:bidi="ar"/>
              </w:rPr>
              <w:t>=</w:t>
            </w:r>
            <w:r>
              <w:rPr>
                <w:rStyle w:val="12"/>
                <w:lang w:val="en-US" w:eastAsia="zh-CN" w:bidi="ar"/>
              </w:rPr>
              <w:t>（</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实际支出数</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预算安排数）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该项得分，控制率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分，控制率</w:t>
            </w:r>
            <w:r>
              <w:rPr>
                <w:rStyle w:val="13"/>
                <w:rFonts w:eastAsia="宋体"/>
                <w:lang w:val="en-US" w:eastAsia="zh-CN" w:bidi="ar"/>
              </w:rPr>
              <w:t>&gt;100%</w:t>
            </w:r>
            <w:r>
              <w:rPr>
                <w:rStyle w:val="12"/>
                <w:lang w:val="en-US" w:eastAsia="zh-CN" w:bidi="ar"/>
              </w:rPr>
              <w:t>，计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政府采购</w:t>
            </w:r>
            <w:r>
              <w:rPr>
                <w:rStyle w:val="13"/>
                <w:rFonts w:eastAsia="宋体"/>
                <w:lang w:val="en-US" w:eastAsia="zh-CN" w:bidi="ar"/>
              </w:rPr>
              <w:br w:type="textWrapping"/>
            </w:r>
            <w:r>
              <w:rPr>
                <w:rStyle w:val="12"/>
                <w:lang w:val="en-US" w:eastAsia="zh-CN" w:bidi="ar"/>
              </w:rPr>
              <w:t>执行率和</w:t>
            </w:r>
            <w:r>
              <w:rPr>
                <w:rStyle w:val="13"/>
                <w:rFonts w:eastAsia="宋体"/>
                <w:lang w:val="en-US" w:eastAsia="zh-CN" w:bidi="ar"/>
              </w:rPr>
              <w:br w:type="textWrapping"/>
            </w:r>
            <w:r>
              <w:rPr>
                <w:rStyle w:val="12"/>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①政府采购预算执行率</w:t>
            </w:r>
            <w:r>
              <w:rPr>
                <w:rStyle w:val="13"/>
                <w:rFonts w:eastAsia="宋体"/>
                <w:lang w:val="en-US" w:eastAsia="zh-CN" w:bidi="ar"/>
              </w:rPr>
              <w:t>=</w:t>
            </w:r>
            <w:r>
              <w:rPr>
                <w:rStyle w:val="12"/>
                <w:lang w:val="en-US" w:eastAsia="zh-CN" w:bidi="ar"/>
              </w:rPr>
              <w:t>（实际政府采购金额</w:t>
            </w:r>
            <w:r>
              <w:rPr>
                <w:rStyle w:val="13"/>
                <w:rFonts w:eastAsia="宋体"/>
                <w:lang w:val="en-US" w:eastAsia="zh-CN" w:bidi="ar"/>
              </w:rPr>
              <w:t>/</w:t>
            </w:r>
            <w:r>
              <w:rPr>
                <w:rStyle w:val="12"/>
                <w:lang w:val="en-US" w:eastAsia="zh-CN" w:bidi="ar"/>
              </w:rPr>
              <w:t>政府采购预算数）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政府采购预算：采购机关根据事业发展计划和行政任务编制的、并经过规定程序批准的年度政府采购计划。</w:t>
            </w:r>
            <w:r>
              <w:rPr>
                <w:rStyle w:val="13"/>
                <w:rFonts w:eastAsia="宋体"/>
                <w:lang w:val="en-US" w:eastAsia="zh-CN" w:bidi="ar"/>
              </w:rPr>
              <w:br w:type="textWrapping"/>
            </w:r>
            <w:r>
              <w:rPr>
                <w:rStyle w:val="12"/>
                <w:lang w:val="en-US" w:eastAsia="zh-CN" w:bidi="ar"/>
              </w:rPr>
              <w:t>该项得分，完成本年度采购计划的，政府采购执行率≤</w:t>
            </w:r>
            <w:r>
              <w:rPr>
                <w:rStyle w:val="13"/>
                <w:rFonts w:eastAsia="宋体"/>
                <w:lang w:val="en-US" w:eastAsia="zh-CN" w:bidi="ar"/>
              </w:rPr>
              <w:t>100%</w:t>
            </w:r>
            <w:r>
              <w:rPr>
                <w:rStyle w:val="12"/>
                <w:lang w:val="en-US" w:eastAsia="zh-CN" w:bidi="ar"/>
              </w:rPr>
              <w:t>，计</w:t>
            </w:r>
            <w:r>
              <w:rPr>
                <w:rStyle w:val="13"/>
                <w:rFonts w:eastAsia="宋体"/>
                <w:lang w:val="en-US" w:eastAsia="zh-CN" w:bidi="ar"/>
              </w:rPr>
              <w:t>1</w:t>
            </w:r>
            <w:r>
              <w:rPr>
                <w:rStyle w:val="12"/>
                <w:lang w:val="en-US" w:eastAsia="zh-CN" w:bidi="ar"/>
              </w:rPr>
              <w:t>分，每超过</w:t>
            </w:r>
            <w:r>
              <w:rPr>
                <w:rStyle w:val="13"/>
                <w:rFonts w:eastAsia="宋体"/>
                <w:lang w:val="en-US" w:eastAsia="zh-CN" w:bidi="ar"/>
              </w:rPr>
              <w:t>1%</w:t>
            </w:r>
            <w:r>
              <w:rPr>
                <w:rStyle w:val="12"/>
                <w:lang w:val="en-US" w:eastAsia="zh-CN" w:bidi="ar"/>
              </w:rPr>
              <w:t>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②所有项目依法采购，无规避政府采购或化整为零进行政府采购的行为，并履行验收手续，计0.5分，否则不得分；</w:t>
            </w:r>
            <w:r>
              <w:rPr>
                <w:rStyle w:val="13"/>
                <w:rFonts w:eastAsia="宋体"/>
                <w:lang w:val="en-US" w:eastAsia="zh-CN" w:bidi="ar"/>
              </w:rPr>
              <w:br w:type="textWrapping"/>
            </w:r>
            <w:r>
              <w:rPr>
                <w:rStyle w:val="12"/>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管理</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29</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管理制度</w:t>
            </w:r>
            <w:r>
              <w:rPr>
                <w:rStyle w:val="13"/>
                <w:rFonts w:eastAsia="宋体"/>
                <w:lang w:val="en-US" w:eastAsia="zh-CN" w:bidi="ar"/>
              </w:rPr>
              <w:br w:type="textWrapping"/>
            </w:r>
            <w:r>
              <w:rPr>
                <w:rStyle w:val="12"/>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①是否已制定或具有预算资金管理办法、内部财务管理制度、会计核算制度等管理制度；</w:t>
            </w:r>
            <w:r>
              <w:rPr>
                <w:rStyle w:val="13"/>
                <w:rFonts w:eastAsia="宋体"/>
                <w:lang w:val="en-US" w:eastAsia="zh-CN" w:bidi="ar"/>
              </w:rPr>
              <w:br w:type="textWrapping"/>
            </w:r>
            <w:r>
              <w:rPr>
                <w:rStyle w:val="12"/>
                <w:lang w:val="en-US" w:eastAsia="zh-CN" w:bidi="ar"/>
              </w:rPr>
              <w:t>②相关管理制度是否合法、合规、完整；</w:t>
            </w:r>
            <w:r>
              <w:rPr>
                <w:rStyle w:val="13"/>
                <w:rFonts w:eastAsia="宋体"/>
                <w:lang w:val="en-US" w:eastAsia="zh-CN" w:bidi="ar"/>
              </w:rPr>
              <w:br w:type="textWrapping"/>
            </w:r>
            <w:r>
              <w:rPr>
                <w:rStyle w:val="12"/>
                <w:lang w:val="en-US" w:eastAsia="zh-CN" w:bidi="ar"/>
              </w:rPr>
              <w:t>③相关管理制度是否得到有效执行。</w:t>
            </w:r>
            <w:r>
              <w:rPr>
                <w:rStyle w:val="13"/>
                <w:rFonts w:eastAsia="宋体"/>
                <w:lang w:val="en-US" w:eastAsia="zh-CN" w:bidi="ar"/>
              </w:rPr>
              <w:br w:type="textWrapping"/>
            </w:r>
            <w:r>
              <w:rPr>
                <w:rStyle w:val="12"/>
                <w:lang w:val="en-US" w:eastAsia="zh-CN" w:bidi="ar"/>
              </w:rPr>
              <w:t>④会计人员、机构是否按规定设置；</w:t>
            </w:r>
            <w:r>
              <w:rPr>
                <w:rStyle w:val="13"/>
                <w:rFonts w:eastAsia="宋体"/>
                <w:lang w:val="en-US" w:eastAsia="zh-CN" w:bidi="ar"/>
              </w:rPr>
              <w:br w:type="textWrapping"/>
            </w:r>
            <w:r>
              <w:rPr>
                <w:rStyle w:val="12"/>
                <w:lang w:val="en-US" w:eastAsia="zh-CN" w:bidi="ar"/>
              </w:rPr>
              <w:t>⑤会计基础工作是否健全；</w:t>
            </w:r>
            <w:r>
              <w:rPr>
                <w:rStyle w:val="13"/>
                <w:rFonts w:eastAsia="宋体"/>
                <w:lang w:val="en-US" w:eastAsia="zh-CN" w:bidi="ar"/>
              </w:rPr>
              <w:br w:type="textWrapping"/>
            </w:r>
            <w:r>
              <w:rPr>
                <w:rStyle w:val="12"/>
                <w:lang w:val="en-US" w:eastAsia="zh-CN" w:bidi="ar"/>
              </w:rPr>
              <w:t>⑥会计档案是否符合规定要求；</w:t>
            </w:r>
            <w:r>
              <w:rPr>
                <w:rStyle w:val="13"/>
                <w:rFonts w:eastAsia="宋体"/>
                <w:lang w:val="en-US" w:eastAsia="zh-CN" w:bidi="ar"/>
              </w:rPr>
              <w:br w:type="textWrapping"/>
            </w:r>
            <w:r>
              <w:rPr>
                <w:rStyle w:val="12"/>
                <w:lang w:val="en-US" w:eastAsia="zh-CN" w:bidi="ar"/>
              </w:rPr>
              <w:t>⑦项目管理是否规范（包括项目立项、申报、招投标、合同或协议要素、制度建立、按时完工等）。</w:t>
            </w:r>
            <w:r>
              <w:rPr>
                <w:rStyle w:val="13"/>
                <w:rFonts w:eastAsia="宋体"/>
                <w:lang w:val="en-US" w:eastAsia="zh-CN" w:bidi="ar"/>
              </w:rPr>
              <w:br w:type="textWrapping"/>
            </w:r>
            <w:r>
              <w:rPr>
                <w:rStyle w:val="12"/>
                <w:lang w:val="en-US" w:eastAsia="zh-CN" w:bidi="ar"/>
              </w:rPr>
              <w:t>以上情况每发现一例不符合要求的扣</w:t>
            </w:r>
            <w:r>
              <w:rPr>
                <w:rStyle w:val="13"/>
                <w:rFonts w:eastAsia="宋体"/>
                <w:lang w:val="en-US" w:eastAsia="zh-CN" w:bidi="ar"/>
              </w:rPr>
              <w:t>1</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部门（单位）管理制度。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资金使用</w:t>
            </w:r>
            <w:r>
              <w:rPr>
                <w:rStyle w:val="13"/>
                <w:rFonts w:eastAsia="宋体"/>
                <w:lang w:val="en-US" w:eastAsia="zh-CN" w:bidi="ar"/>
              </w:rPr>
              <w:br w:type="textWrapping"/>
            </w:r>
            <w:r>
              <w:rPr>
                <w:rStyle w:val="12"/>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①符合国家财经法规和财务管理制度以及有关专项资金管理办法的规定，计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②资金的支付有完整的审批程序和手续，计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③重大项目开支和大额资金使用经过单位党组集体研究决策，计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④符合项目预算批复或合同规定的用途，计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⑤没有截留、挤占、挪用、虚列支出等情况，计</w:t>
            </w:r>
            <w:r>
              <w:rPr>
                <w:rStyle w:val="13"/>
                <w:rFonts w:eastAsia="宋体"/>
                <w:lang w:val="en-US" w:eastAsia="zh-CN" w:bidi="ar"/>
              </w:rPr>
              <w:t>1</w:t>
            </w:r>
            <w:r>
              <w:rPr>
                <w:rStyle w:val="12"/>
                <w:lang w:val="en-US" w:eastAsia="zh-CN" w:bidi="ar"/>
              </w:rPr>
              <w:t>分，发生</w:t>
            </w:r>
            <w:r>
              <w:rPr>
                <w:rStyle w:val="13"/>
                <w:rFonts w:eastAsia="宋体"/>
                <w:lang w:val="en-US" w:eastAsia="zh-CN" w:bidi="ar"/>
              </w:rPr>
              <w:t>1</w:t>
            </w:r>
            <w:r>
              <w:rPr>
                <w:rStyle w:val="12"/>
                <w:lang w:val="en-US" w:eastAsia="zh-CN" w:bidi="ar"/>
              </w:rPr>
              <w:t>例不符合本指标的现象</w:t>
            </w:r>
            <w:r>
              <w:rPr>
                <w:rStyle w:val="13"/>
                <w:rFonts w:eastAsia="宋体"/>
                <w:lang w:val="en-US" w:eastAsia="zh-CN" w:bidi="ar"/>
              </w:rPr>
              <w:t>7</w:t>
            </w:r>
            <w:r>
              <w:rPr>
                <w:rStyle w:val="12"/>
                <w:lang w:val="en-US" w:eastAsia="zh-CN" w:bidi="ar"/>
              </w:rPr>
              <w:t>分全扣；</w:t>
            </w:r>
            <w:r>
              <w:rPr>
                <w:rStyle w:val="13"/>
                <w:rFonts w:eastAsia="宋体"/>
                <w:lang w:val="en-US" w:eastAsia="zh-CN" w:bidi="ar"/>
              </w:rPr>
              <w:br w:type="textWrapping"/>
            </w:r>
            <w:r>
              <w:rPr>
                <w:rStyle w:val="12"/>
                <w:lang w:val="en-US" w:eastAsia="zh-CN" w:bidi="ar"/>
              </w:rPr>
              <w:t>⑥原始凭证的取得真实有效，计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⑦无超标准发放津补贴、奖金、无用公款支付应个人支付的款项，计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2"/>
                <w:lang w:val="en-US" w:eastAsia="zh-CN" w:bidi="ar"/>
              </w:rPr>
              <w:br w:type="textWrapping"/>
            </w:r>
            <w:r>
              <w:rPr>
                <w:rStyle w:val="12"/>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信息</w:t>
            </w:r>
            <w:r>
              <w:rPr>
                <w:rStyle w:val="13"/>
                <w:rFonts w:eastAsia="宋体"/>
                <w:lang w:val="en-US" w:eastAsia="zh-CN" w:bidi="ar"/>
              </w:rPr>
              <w:br w:type="textWrapping"/>
            </w:r>
            <w:r>
              <w:rPr>
                <w:rStyle w:val="12"/>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①无涉密情况的预算单位按规定及时、准确、完整的公开预决算和绩效管理信息，计</w:t>
            </w:r>
            <w:r>
              <w:rPr>
                <w:rStyle w:val="13"/>
                <w:rFonts w:eastAsia="宋体"/>
                <w:lang w:val="en-US" w:eastAsia="zh-CN" w:bidi="ar"/>
              </w:rPr>
              <w:t>1</w:t>
            </w:r>
            <w:r>
              <w:rPr>
                <w:rStyle w:val="12"/>
                <w:lang w:val="en-US" w:eastAsia="zh-CN" w:bidi="ar"/>
              </w:rPr>
              <w:t>分，否则，酌情扣分；</w:t>
            </w:r>
            <w:r>
              <w:rPr>
                <w:rStyle w:val="13"/>
                <w:rFonts w:eastAsia="宋体"/>
                <w:lang w:val="en-US" w:eastAsia="zh-CN" w:bidi="ar"/>
              </w:rPr>
              <w:br w:type="textWrapping"/>
            </w:r>
            <w:r>
              <w:rPr>
                <w:rStyle w:val="12"/>
                <w:lang w:val="en-US" w:eastAsia="zh-CN" w:bidi="ar"/>
              </w:rPr>
              <w:t>②基础数据信息和会计信息资料真实、准确、完整，计</w:t>
            </w:r>
            <w:r>
              <w:rPr>
                <w:rStyle w:val="13"/>
                <w:rFonts w:eastAsia="宋体"/>
                <w:lang w:val="en-US" w:eastAsia="zh-CN" w:bidi="ar"/>
              </w:rPr>
              <w:t>1</w:t>
            </w:r>
            <w:r>
              <w:rPr>
                <w:rStyle w:val="12"/>
                <w:lang w:val="en-US" w:eastAsia="zh-CN" w:bidi="ar"/>
              </w:rPr>
              <w:t>分，否则，酌情扣分。</w:t>
            </w:r>
            <w:r>
              <w:rPr>
                <w:rStyle w:val="12"/>
                <w:lang w:val="en-US" w:eastAsia="zh-CN" w:bidi="ar"/>
              </w:rPr>
              <w:br w:type="textWrapping"/>
            </w:r>
            <w:r>
              <w:rPr>
                <w:rStyle w:val="12"/>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非税收入</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①实行收支两条线，计</w:t>
            </w:r>
            <w:r>
              <w:rPr>
                <w:rStyle w:val="13"/>
                <w:rFonts w:eastAsia="宋体"/>
                <w:lang w:val="en-US" w:eastAsia="zh-CN" w:bidi="ar"/>
              </w:rPr>
              <w:t>0.5</w:t>
            </w:r>
            <w:r>
              <w:rPr>
                <w:rStyle w:val="12"/>
                <w:lang w:val="en-US" w:eastAsia="zh-CN" w:bidi="ar"/>
              </w:rPr>
              <w:t>分，否则，计</w:t>
            </w:r>
            <w:r>
              <w:rPr>
                <w:rStyle w:val="13"/>
                <w:rFonts w:eastAsia="宋体"/>
                <w:lang w:val="en-US" w:eastAsia="zh-CN" w:bidi="ar"/>
              </w:rPr>
              <w:t>0</w:t>
            </w:r>
            <w:r>
              <w:rPr>
                <w:rStyle w:val="12"/>
                <w:lang w:val="en-US" w:eastAsia="zh-CN" w:bidi="ar"/>
              </w:rPr>
              <w:t>分；</w:t>
            </w:r>
            <w:r>
              <w:rPr>
                <w:rStyle w:val="13"/>
                <w:rFonts w:eastAsia="宋体"/>
                <w:lang w:val="en-US" w:eastAsia="zh-CN" w:bidi="ar"/>
              </w:rPr>
              <w:br w:type="textWrapping"/>
            </w:r>
            <w:r>
              <w:rPr>
                <w:rStyle w:val="12"/>
                <w:lang w:val="en-US" w:eastAsia="zh-CN" w:bidi="ar"/>
              </w:rPr>
              <w:t>②未发生截留、坐支或转移，计</w:t>
            </w:r>
            <w:r>
              <w:rPr>
                <w:rStyle w:val="13"/>
                <w:rFonts w:eastAsia="宋体"/>
                <w:lang w:val="en-US" w:eastAsia="zh-CN" w:bidi="ar"/>
              </w:rPr>
              <w:t>0.5</w:t>
            </w:r>
            <w:r>
              <w:rPr>
                <w:rStyle w:val="12"/>
                <w:lang w:val="en-US" w:eastAsia="zh-CN" w:bidi="ar"/>
              </w:rPr>
              <w:t>分，否则，计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绩效自评</w:t>
            </w:r>
            <w:r>
              <w:rPr>
                <w:rStyle w:val="13"/>
                <w:rFonts w:eastAsia="宋体"/>
                <w:lang w:val="en-US" w:eastAsia="zh-CN" w:bidi="ar"/>
              </w:rPr>
              <w:br w:type="textWrapping"/>
            </w:r>
            <w:r>
              <w:rPr>
                <w:rStyle w:val="12"/>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①是否按要求开展部门（单位）整体支出绩效自评和专项资金支出自评工作。</w:t>
            </w:r>
            <w:r>
              <w:rPr>
                <w:rStyle w:val="13"/>
                <w:rFonts w:eastAsia="宋体"/>
                <w:lang w:val="en-US" w:eastAsia="zh-CN" w:bidi="ar"/>
              </w:rPr>
              <w:br w:type="textWrapping"/>
            </w:r>
            <w:r>
              <w:rPr>
                <w:rStyle w:val="12"/>
                <w:lang w:val="en-US" w:eastAsia="zh-CN" w:bidi="ar"/>
              </w:rPr>
              <w:t>②是否及时报送绩效自评报告；</w:t>
            </w:r>
            <w:r>
              <w:rPr>
                <w:rStyle w:val="13"/>
                <w:rFonts w:eastAsia="宋体"/>
                <w:lang w:val="en-US" w:eastAsia="zh-CN" w:bidi="ar"/>
              </w:rPr>
              <w:br w:type="textWrapping"/>
            </w:r>
            <w:r>
              <w:rPr>
                <w:rStyle w:val="12"/>
                <w:lang w:val="en-US" w:eastAsia="zh-CN" w:bidi="ar"/>
              </w:rPr>
              <w:t>③绩效自评报告是否完整，数据是否全面、真实、准确，绩效指标是否细化量化和科学合理；</w:t>
            </w:r>
            <w:r>
              <w:rPr>
                <w:rStyle w:val="13"/>
                <w:rFonts w:eastAsia="宋体"/>
                <w:lang w:val="en-US" w:eastAsia="zh-CN" w:bidi="ar"/>
              </w:rPr>
              <w:br w:type="textWrapping"/>
            </w:r>
            <w:r>
              <w:rPr>
                <w:rStyle w:val="12"/>
                <w:lang w:val="en-US" w:eastAsia="zh-CN" w:bidi="ar"/>
              </w:rPr>
              <w:t>④绩效自评反映的问题是否具体，意见是否可行，自评发现的问题是否整改；</w:t>
            </w:r>
            <w:r>
              <w:rPr>
                <w:rStyle w:val="13"/>
                <w:rFonts w:eastAsia="宋体"/>
                <w:lang w:val="en-US" w:eastAsia="zh-CN" w:bidi="ar"/>
              </w:rPr>
              <w:br w:type="textWrapping"/>
            </w:r>
            <w:r>
              <w:rPr>
                <w:rStyle w:val="12"/>
                <w:lang w:val="en-US" w:eastAsia="zh-CN" w:bidi="ar"/>
              </w:rPr>
              <w:t>该项得分，①、②、③、④各计</w:t>
            </w:r>
            <w:r>
              <w:rPr>
                <w:rStyle w:val="13"/>
                <w:rFonts w:eastAsia="宋体"/>
                <w:lang w:val="en-US" w:eastAsia="zh-CN" w:bidi="ar"/>
              </w:rPr>
              <w:t>1</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重点绩效</w:t>
            </w:r>
            <w:r>
              <w:rPr>
                <w:rStyle w:val="13"/>
                <w:rFonts w:eastAsia="宋体"/>
                <w:lang w:val="en-US" w:eastAsia="zh-CN" w:bidi="ar"/>
              </w:rPr>
              <w:br w:type="textWrapping"/>
            </w:r>
            <w:r>
              <w:rPr>
                <w:rStyle w:val="12"/>
                <w:lang w:val="en-US" w:eastAsia="zh-CN" w:bidi="ar"/>
              </w:rPr>
              <w:t>评价整改</w:t>
            </w:r>
            <w:r>
              <w:rPr>
                <w:rStyle w:val="13"/>
                <w:rFonts w:eastAsia="宋体"/>
                <w:lang w:val="en-US" w:eastAsia="zh-CN" w:bidi="ar"/>
              </w:rPr>
              <w:br w:type="textWrapping"/>
            </w:r>
            <w:r>
              <w:rPr>
                <w:rStyle w:val="12"/>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上轮重点评价问题全部整改，计3分；上轮重点评价问题部分整改，计</w:t>
            </w:r>
            <w:r>
              <w:rPr>
                <w:rStyle w:val="13"/>
                <w:rFonts w:eastAsia="宋体"/>
                <w:lang w:val="en-US" w:eastAsia="zh-CN" w:bidi="ar"/>
              </w:rPr>
              <w:t>1</w:t>
            </w:r>
            <w:r>
              <w:rPr>
                <w:rStyle w:val="12"/>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资产</w:t>
            </w:r>
            <w:r>
              <w:rPr>
                <w:rStyle w:val="13"/>
                <w:rFonts w:eastAsia="宋体"/>
                <w:lang w:val="en-US" w:eastAsia="zh-CN" w:bidi="ar"/>
              </w:rPr>
              <w:br w:type="textWrapping"/>
            </w:r>
            <w:r>
              <w:rPr>
                <w:rStyle w:val="12"/>
                <w:lang w:val="en-US" w:eastAsia="zh-CN" w:bidi="ar"/>
              </w:rPr>
              <w:t>管理</w:t>
            </w:r>
            <w:r>
              <w:rPr>
                <w:rStyle w:val="13"/>
                <w:rFonts w:eastAsia="宋体"/>
                <w:lang w:val="en-US" w:eastAsia="zh-CN" w:bidi="ar"/>
              </w:rPr>
              <w:br w:type="textWrapping"/>
            </w:r>
            <w:r>
              <w:rPr>
                <w:rStyle w:val="12"/>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资产管理</w:t>
            </w:r>
            <w:r>
              <w:rPr>
                <w:rStyle w:val="13"/>
                <w:rFonts w:eastAsia="宋体"/>
                <w:lang w:val="en-US" w:eastAsia="zh-CN" w:bidi="ar"/>
              </w:rPr>
              <w:br w:type="textWrapping"/>
            </w:r>
            <w:r>
              <w:rPr>
                <w:rStyle w:val="12"/>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①已制定合法、合规、完整的资产管理制度，计</w:t>
            </w:r>
            <w:r>
              <w:rPr>
                <w:rStyle w:val="13"/>
                <w:rFonts w:eastAsia="宋体"/>
                <w:lang w:val="en-US" w:eastAsia="zh-CN" w:bidi="ar"/>
              </w:rPr>
              <w:t>0.5</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②相关资产管理制度得到有效执行，计</w:t>
            </w:r>
            <w:r>
              <w:rPr>
                <w:rStyle w:val="13"/>
                <w:rFonts w:eastAsia="宋体"/>
                <w:lang w:val="en-US" w:eastAsia="zh-CN" w:bidi="ar"/>
              </w:rPr>
              <w:t>0.5</w:t>
            </w:r>
            <w:r>
              <w:rPr>
                <w:rStyle w:val="12"/>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部门（单位）资产管理制度；采购资产相关资料。</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资产管理</w:t>
            </w:r>
            <w:r>
              <w:rPr>
                <w:rStyle w:val="13"/>
                <w:rFonts w:eastAsia="宋体"/>
                <w:lang w:val="en-US" w:eastAsia="zh-CN" w:bidi="ar"/>
              </w:rPr>
              <w:br w:type="textWrapping"/>
            </w:r>
            <w:r>
              <w:rPr>
                <w:rStyle w:val="12"/>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①资产配置合理符合标准、保管完整，账务管理规范，定期盘点并有台账，账实相符的，计</w:t>
            </w:r>
            <w:r>
              <w:rPr>
                <w:rStyle w:val="13"/>
                <w:rFonts w:eastAsia="宋体"/>
                <w:lang w:val="en-US" w:eastAsia="zh-CN" w:bidi="ar"/>
              </w:rPr>
              <w:t>0.5</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②资产处置规范，计</w:t>
            </w:r>
            <w:r>
              <w:rPr>
                <w:rStyle w:val="13"/>
                <w:rFonts w:eastAsia="宋体"/>
                <w:lang w:val="en-US" w:eastAsia="zh-CN" w:bidi="ar"/>
              </w:rPr>
              <w:t>0.5</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③资产有偿使用或处置收入及时足额上缴，计</w:t>
            </w:r>
            <w:r>
              <w:rPr>
                <w:rStyle w:val="13"/>
                <w:rFonts w:eastAsia="宋体"/>
                <w:lang w:val="en-US" w:eastAsia="zh-CN" w:bidi="ar"/>
              </w:rPr>
              <w:t>0.5</w:t>
            </w:r>
            <w:r>
              <w:rPr>
                <w:rStyle w:val="12"/>
                <w:lang w:val="en-US" w:eastAsia="zh-CN" w:bidi="ar"/>
              </w:rPr>
              <w:t>分，发现未上缴，本项不得分；</w:t>
            </w:r>
            <w:r>
              <w:rPr>
                <w:rStyle w:val="13"/>
                <w:rFonts w:eastAsia="宋体"/>
                <w:lang w:val="en-US" w:eastAsia="zh-CN" w:bidi="ar"/>
              </w:rPr>
              <w:br w:type="textWrapping"/>
            </w:r>
            <w:r>
              <w:rPr>
                <w:rStyle w:val="12"/>
                <w:lang w:val="en-US" w:eastAsia="zh-CN" w:bidi="ar"/>
              </w:rPr>
              <w:t>④资产购置履行政府采购手续，计</w:t>
            </w:r>
            <w:r>
              <w:rPr>
                <w:rStyle w:val="13"/>
                <w:rFonts w:eastAsia="宋体"/>
                <w:lang w:val="en-US" w:eastAsia="zh-CN" w:bidi="ar"/>
              </w:rPr>
              <w:t>0.3</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分，扣完为止；外租资产全部走合规程序，计</w:t>
            </w:r>
            <w:r>
              <w:rPr>
                <w:rStyle w:val="13"/>
                <w:rFonts w:eastAsia="宋体"/>
                <w:lang w:val="en-US" w:eastAsia="zh-CN" w:bidi="ar"/>
              </w:rPr>
              <w:t>0.2</w:t>
            </w:r>
            <w:r>
              <w:rPr>
                <w:rStyle w:val="12"/>
                <w:lang w:val="en-US" w:eastAsia="zh-CN" w:bidi="ar"/>
              </w:rPr>
              <w:t>分，发现一例不合规，扣</w:t>
            </w:r>
            <w:r>
              <w:rPr>
                <w:rStyle w:val="13"/>
                <w:rFonts w:eastAsia="宋体"/>
                <w:lang w:val="en-US" w:eastAsia="zh-CN" w:bidi="ar"/>
              </w:rPr>
              <w:t>0.1</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固定资产</w:t>
            </w:r>
            <w:r>
              <w:rPr>
                <w:rStyle w:val="13"/>
                <w:rFonts w:eastAsia="宋体"/>
                <w:lang w:val="en-US" w:eastAsia="zh-CN" w:bidi="ar"/>
              </w:rPr>
              <w:br w:type="textWrapping"/>
            </w:r>
            <w:r>
              <w:rPr>
                <w:rStyle w:val="12"/>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①建了固定资产台账实行编码管理，且编码与实物完全匹配计</w:t>
            </w:r>
            <w:r>
              <w:rPr>
                <w:rStyle w:val="13"/>
                <w:rFonts w:eastAsia="宋体"/>
                <w:lang w:val="en-US" w:eastAsia="zh-CN" w:bidi="ar"/>
              </w:rPr>
              <w:t>1</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②建立了固定资产增减变化审批程序的计0.5分，否则不得分；</w:t>
            </w:r>
            <w:r>
              <w:rPr>
                <w:rStyle w:val="13"/>
                <w:rFonts w:eastAsia="宋体"/>
                <w:lang w:val="en-US" w:eastAsia="zh-CN" w:bidi="ar"/>
              </w:rPr>
              <w:br w:type="textWrapping"/>
            </w:r>
            <w:r>
              <w:rPr>
                <w:rStyle w:val="12"/>
                <w:lang w:val="en-US" w:eastAsia="zh-CN" w:bidi="ar"/>
              </w:rPr>
              <w:t>③固定资产无闲置浪费现象计0.5分，发现一处扣</w:t>
            </w:r>
            <w:r>
              <w:rPr>
                <w:rStyle w:val="13"/>
                <w:rFonts w:eastAsia="宋体"/>
                <w:lang w:val="en-US" w:eastAsia="zh-CN" w:bidi="ar"/>
              </w:rPr>
              <w:t>0.1</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产出</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22</w:t>
            </w:r>
            <w:r>
              <w:rPr>
                <w:rStyle w:val="12"/>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职责履行（</w:t>
            </w:r>
            <w:r>
              <w:rPr>
                <w:rStyle w:val="13"/>
                <w:rFonts w:eastAsia="宋体"/>
                <w:lang w:val="en-US" w:eastAsia="zh-CN" w:bidi="ar"/>
              </w:rPr>
              <w:t>22</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部门整体</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以市委、市政府绩效效考核评估结果为依据：优秀，计</w:t>
            </w:r>
            <w:r>
              <w:rPr>
                <w:rStyle w:val="13"/>
                <w:rFonts w:eastAsia="宋体"/>
                <w:lang w:val="en-US" w:eastAsia="zh-CN" w:bidi="ar"/>
              </w:rPr>
              <w:t>6</w:t>
            </w:r>
            <w:r>
              <w:rPr>
                <w:rStyle w:val="12"/>
                <w:lang w:val="en-US" w:eastAsia="zh-CN" w:bidi="ar"/>
              </w:rPr>
              <w:t>分；良好，</w:t>
            </w:r>
            <w:r>
              <w:rPr>
                <w:rStyle w:val="13"/>
                <w:rFonts w:eastAsia="宋体"/>
                <w:lang w:val="en-US" w:eastAsia="zh-CN" w:bidi="ar"/>
              </w:rPr>
              <w:t>4</w:t>
            </w:r>
            <w:r>
              <w:rPr>
                <w:rStyle w:val="12"/>
                <w:lang w:val="en-US" w:eastAsia="zh-CN" w:bidi="ar"/>
              </w:rPr>
              <w:t>分；合格，</w:t>
            </w:r>
            <w:r>
              <w:rPr>
                <w:rStyle w:val="13"/>
                <w:rFonts w:eastAsia="宋体"/>
                <w:lang w:val="en-US" w:eastAsia="zh-CN" w:bidi="ar"/>
              </w:rPr>
              <w:t>2</w:t>
            </w:r>
            <w:r>
              <w:rPr>
                <w:rStyle w:val="12"/>
                <w:lang w:val="en-US" w:eastAsia="zh-CN" w:bidi="ar"/>
              </w:rPr>
              <w:t>分；不合格，</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实际</w:t>
            </w:r>
            <w:r>
              <w:rPr>
                <w:rStyle w:val="15"/>
                <w:rFonts w:eastAsia="宋体"/>
                <w:lang w:val="en-US" w:eastAsia="zh-CN" w:bidi="ar"/>
              </w:rPr>
              <w:br w:type="textWrapping"/>
            </w:r>
            <w:r>
              <w:rPr>
                <w:rStyle w:val="14"/>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实际完成率</w:t>
            </w:r>
            <w:r>
              <w:rPr>
                <w:rStyle w:val="15"/>
                <w:rFonts w:eastAsia="宋体"/>
                <w:lang w:val="en-US" w:eastAsia="zh-CN" w:bidi="ar"/>
              </w:rPr>
              <w:t>=</w:t>
            </w:r>
            <w:r>
              <w:rPr>
                <w:rStyle w:val="14"/>
                <w:lang w:val="en-US" w:eastAsia="zh-CN" w:bidi="ar"/>
              </w:rPr>
              <w:t>（实际完成工作数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。实际完成工作数：一定时期（年度或规划期）内部门实际完成工作任务的数量。计划工作数：部门整体绩效目标确定的一定时期（年度或规划期）内预计完成工作任务的数量。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完成率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完成</w:t>
            </w:r>
            <w:r>
              <w:rPr>
                <w:rStyle w:val="15"/>
                <w:rFonts w:eastAsia="宋体"/>
                <w:lang w:val="en-US" w:eastAsia="zh-CN" w:bidi="ar"/>
              </w:rPr>
              <w:br w:type="textWrapping"/>
            </w:r>
            <w:r>
              <w:rPr>
                <w:rStyle w:val="14"/>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完成及时率</w:t>
            </w:r>
            <w:r>
              <w:rPr>
                <w:rStyle w:val="15"/>
                <w:rFonts w:eastAsia="宋体"/>
                <w:lang w:val="en-US" w:eastAsia="zh-CN" w:bidi="ar"/>
              </w:rPr>
              <w:t>=</w:t>
            </w:r>
            <w:r>
              <w:rPr>
                <w:rStyle w:val="14"/>
                <w:lang w:val="en-US" w:eastAsia="zh-CN" w:bidi="ar"/>
              </w:rPr>
              <w:t>（及时完成实际工作数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。及时完成实际工作数：部门按照整体绩效目标确定的时限实际完成的工作任务数量。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完成及时率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质量</w:t>
            </w:r>
            <w:r>
              <w:rPr>
                <w:rStyle w:val="15"/>
                <w:rFonts w:eastAsia="宋体"/>
                <w:lang w:val="en-US" w:eastAsia="zh-CN" w:bidi="ar"/>
              </w:rPr>
              <w:br w:type="textWrapping"/>
            </w:r>
            <w:r>
              <w:rPr>
                <w:rStyle w:val="14"/>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达到质量标准（绩效标准值）的实际工作数与计划工作数的比率</w:t>
            </w:r>
            <w:r>
              <w:rPr>
                <w:rStyle w:val="15"/>
                <w:rFonts w:eastAsia="宋体"/>
                <w:lang w:val="en-US" w:eastAsia="zh-CN" w:bidi="ar"/>
              </w:rPr>
              <w:t>,</w:t>
            </w:r>
            <w:r>
              <w:rPr>
                <w:rStyle w:val="14"/>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质量达标率</w:t>
            </w:r>
            <w:r>
              <w:rPr>
                <w:rStyle w:val="15"/>
                <w:rFonts w:eastAsia="宋体"/>
                <w:lang w:val="en-US" w:eastAsia="zh-CN" w:bidi="ar"/>
              </w:rPr>
              <w:t>=</w:t>
            </w:r>
            <w:r>
              <w:rPr>
                <w:rStyle w:val="14"/>
                <w:lang w:val="en-US" w:eastAsia="zh-CN" w:bidi="ar"/>
              </w:rPr>
              <w:t>（质量达标实际工作数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。质量达标实际工作数：一定时期（年度或规划期）内部门实际完成工作数中达到部门绩效目标要求（绩效标准值）的工作任务数量。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达标率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重点工作</w:t>
            </w:r>
            <w:r>
              <w:rPr>
                <w:rStyle w:val="15"/>
                <w:rFonts w:eastAsia="宋体"/>
                <w:lang w:val="en-US" w:eastAsia="zh-CN" w:bidi="ar"/>
              </w:rPr>
              <w:br w:type="textWrapping"/>
            </w:r>
            <w:r>
              <w:rPr>
                <w:rStyle w:val="14"/>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重点工作办结率</w:t>
            </w:r>
            <w:r>
              <w:rPr>
                <w:rStyle w:val="15"/>
                <w:rFonts w:eastAsia="宋体"/>
                <w:lang w:val="en-US" w:eastAsia="zh-CN" w:bidi="ar"/>
              </w:rPr>
              <w:t>=</w:t>
            </w:r>
            <w:r>
              <w:rPr>
                <w:rStyle w:val="14"/>
                <w:lang w:val="en-US" w:eastAsia="zh-CN" w:bidi="ar"/>
              </w:rPr>
              <w:t>（重点工作实际完成数</w:t>
            </w:r>
            <w:r>
              <w:rPr>
                <w:rStyle w:val="15"/>
                <w:rFonts w:eastAsia="宋体"/>
                <w:lang w:val="en-US" w:eastAsia="zh-CN" w:bidi="ar"/>
              </w:rPr>
              <w:t>/</w:t>
            </w:r>
            <w:r>
              <w:rPr>
                <w:rStyle w:val="14"/>
                <w:lang w:val="en-US" w:eastAsia="zh-CN" w:bidi="ar"/>
              </w:rPr>
              <w:t>交办或下达数）</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重点工作是指党委、政府、人大、相关部门交办或下达的工作任务。</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办结率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效果</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17</w:t>
            </w:r>
            <w:r>
              <w:rPr>
                <w:rStyle w:val="12"/>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履职效益（</w:t>
            </w:r>
            <w:r>
              <w:rPr>
                <w:rStyle w:val="15"/>
                <w:rFonts w:eastAsia="宋体"/>
                <w:lang w:val="en-US" w:eastAsia="zh-CN" w:bidi="ar"/>
              </w:rPr>
              <w:t>17</w:t>
            </w:r>
            <w:r>
              <w:rPr>
                <w:rStyle w:val="14"/>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经济</w:t>
            </w:r>
            <w:r>
              <w:rPr>
                <w:rStyle w:val="15"/>
                <w:rFonts w:eastAsia="宋体"/>
                <w:lang w:val="en-US" w:eastAsia="zh-CN" w:bidi="ar"/>
              </w:rPr>
              <w:br w:type="textWrapping"/>
            </w:r>
            <w:r>
              <w:rPr>
                <w:rStyle w:val="14"/>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此三项指标可根据部门实际并结合部门整体支出绩效目标设立情况有选择的进行评价。</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w:t>
            </w:r>
            <w:r>
              <w:rPr>
                <w:rStyle w:val="15"/>
                <w:rFonts w:eastAsia="宋体"/>
                <w:lang w:val="en-US" w:eastAsia="zh-CN" w:bidi="ar"/>
              </w:rPr>
              <w:br w:type="textWrapping"/>
            </w:r>
            <w:r>
              <w:rPr>
                <w:rStyle w:val="14"/>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生态</w:t>
            </w:r>
            <w:r>
              <w:rPr>
                <w:rStyle w:val="15"/>
                <w:rFonts w:eastAsia="宋体"/>
                <w:lang w:val="en-US" w:eastAsia="zh-CN" w:bidi="ar"/>
              </w:rPr>
              <w:br w:type="textWrapping"/>
            </w:r>
            <w:r>
              <w:rPr>
                <w:rStyle w:val="14"/>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社会公众或服务对象是指部门履行职责而影响到的部门、群体或个人。一般采取社会调查的方式</w:t>
            </w:r>
            <w:r>
              <w:rPr>
                <w:rStyle w:val="15"/>
                <w:rFonts w:eastAsia="宋体"/>
                <w:lang w:val="en-US" w:eastAsia="zh-CN" w:bidi="ar"/>
              </w:rPr>
              <w:t>(</w:t>
            </w:r>
            <w:r>
              <w:rPr>
                <w:rStyle w:val="14"/>
                <w:lang w:val="en-US" w:eastAsia="zh-CN" w:bidi="ar"/>
              </w:rPr>
              <w:t>不少于</w:t>
            </w:r>
            <w:r>
              <w:rPr>
                <w:rStyle w:val="15"/>
                <w:rFonts w:eastAsia="宋体"/>
                <w:lang w:val="en-US" w:eastAsia="zh-CN" w:bidi="ar"/>
              </w:rPr>
              <w:t>30</w:t>
            </w:r>
            <w:r>
              <w:rPr>
                <w:rStyle w:val="14"/>
                <w:lang w:val="en-US" w:eastAsia="zh-CN" w:bidi="ar"/>
              </w:rPr>
              <w:t>份</w:t>
            </w:r>
            <w:r>
              <w:rPr>
                <w:rStyle w:val="15"/>
                <w:rFonts w:eastAsia="宋体"/>
                <w:lang w:val="en-US" w:eastAsia="zh-CN" w:bidi="ar"/>
              </w:rPr>
              <w:t>)</w:t>
            </w:r>
            <w:r>
              <w:rPr>
                <w:rStyle w:val="14"/>
                <w:lang w:val="en-US" w:eastAsia="zh-CN" w:bidi="ar"/>
              </w:rPr>
              <w:t>。</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满意率</w:t>
            </w:r>
            <w:r>
              <w:rPr>
                <w:rStyle w:val="15"/>
                <w:rFonts w:eastAsia="宋体"/>
                <w:lang w:val="en-US" w:eastAsia="zh-CN" w:bidi="ar"/>
              </w:rPr>
              <w:t>×8</w:t>
            </w:r>
            <w:r>
              <w:rPr>
                <w:rStyle w:val="14"/>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合</w:t>
            </w:r>
            <w:r>
              <w:rPr>
                <w:rStyle w:val="17"/>
                <w:rFonts w:eastAsia="宋体"/>
                <w:lang w:val="en-US" w:eastAsia="zh-CN" w:bidi="ar"/>
              </w:rPr>
              <w:t xml:space="preserve">  </w:t>
            </w:r>
            <w:r>
              <w:rPr>
                <w:rStyle w:val="16"/>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84.84</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5"/>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6"/>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061"/>
        <w:gridCol w:w="1418"/>
        <w:gridCol w:w="2096"/>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128</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141</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17.96万元</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17.96万元</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劳服站机线员工资</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非税收入返回</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49.5万元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18.56万元</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139万元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25.77万元</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57.46万元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23.71万元</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6.72万元</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1.出门关电，节省用电开支</w:t>
            </w:r>
          </w:p>
          <w:p>
            <w:pP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2.办公用品可循环使用的尽量循环使用</w:t>
            </w:r>
          </w:p>
          <w:p>
            <w:pPr>
              <w:rPr>
                <w:rFonts w:hint="default" w:ascii="仿宋" w:hAnsi="仿宋" w:eastAsia="仿宋" w:cs="仿宋"/>
                <w:i w:val="0"/>
                <w:iCs w:val="0"/>
                <w:color w:val="000000"/>
                <w:kern w:val="0"/>
                <w:sz w:val="20"/>
                <w:szCs w:val="20"/>
                <w:u w:val="none"/>
                <w:lang w:val="en-US" w:eastAsia="zh-CN" w:bidi="ar"/>
              </w:rPr>
            </w:pPr>
          </w:p>
        </w:tc>
      </w:tr>
    </w:tbl>
    <w:p>
      <w:pPr>
        <w:pStyle w:val="5"/>
        <w:ind w:left="0" w:leftChars="0" w:firstLine="0" w:firstLineChars="0"/>
        <w:rPr>
          <w:rFonts w:hint="eastAsia" w:ascii="仿宋" w:hAnsi="仿宋" w:eastAsia="仿宋" w:cs="仿宋"/>
          <w:sz w:val="24"/>
          <w:szCs w:val="24"/>
          <w:lang w:val="en-US" w:eastAsia="zh-CN"/>
        </w:rPr>
      </w:pPr>
    </w:p>
    <w:p>
      <w:pPr>
        <w:pStyle w:val="5"/>
        <w:ind w:left="0" w:leftChars="0" w:firstLine="480" w:firstLineChars="200"/>
        <w:rPr>
          <w:rFonts w:hint="eastAsia" w:ascii="仿宋" w:hAnsi="仿宋" w:eastAsia="仿宋" w:cs="仿宋"/>
          <w:sz w:val="24"/>
          <w:szCs w:val="24"/>
          <w:lang w:val="en-US" w:eastAsia="zh-CN"/>
        </w:rPr>
      </w:pPr>
    </w:p>
    <w:p>
      <w:pPr>
        <w:pStyle w:val="5"/>
        <w:ind w:left="0" w:leftChars="0" w:firstLine="480" w:firstLineChars="200"/>
        <w:rPr>
          <w:rFonts w:hint="eastAsia" w:ascii="仿宋" w:hAnsi="仿宋" w:eastAsia="仿宋" w:cs="仿宋"/>
          <w:sz w:val="24"/>
          <w:szCs w:val="24"/>
          <w:lang w:val="en-US" w:eastAsia="zh-CN"/>
        </w:rPr>
      </w:pPr>
    </w:p>
    <w:p>
      <w:pPr>
        <w:pStyle w:val="5"/>
        <w:ind w:left="0" w:leftChars="0" w:firstLine="480" w:firstLineChars="200"/>
        <w:rPr>
          <w:rFonts w:hint="eastAsia" w:ascii="仿宋" w:hAnsi="仿宋" w:eastAsia="仿宋" w:cs="仿宋"/>
          <w:sz w:val="24"/>
          <w:szCs w:val="24"/>
          <w:lang w:val="en-US" w:eastAsia="zh-CN"/>
        </w:rPr>
      </w:pPr>
    </w:p>
    <w:p>
      <w:pPr>
        <w:pStyle w:val="5"/>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5"/>
        <w:ind w:left="0" w:leftChars="0" w:firstLine="0" w:firstLineChars="0"/>
        <w:rPr>
          <w:rFonts w:hint="eastAsia" w:ascii="仿宋" w:hAnsi="仿宋" w:eastAsia="仿宋" w:cs="仿宋"/>
          <w:sz w:val="24"/>
          <w:szCs w:val="24"/>
          <w:lang w:val="en-US" w:eastAsia="zh-CN"/>
        </w:rPr>
      </w:pPr>
    </w:p>
    <w:p>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填表人：苏本煌                        填报日期：2024年3月13日  </w:t>
      </w:r>
    </w:p>
    <w:p>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联系电话：13975967672                 单位负责人签字：</w:t>
      </w:r>
    </w:p>
    <w:p>
      <w:pPr>
        <w:adjustRightInd w:val="0"/>
        <w:spacing w:line="600" w:lineRule="exact"/>
        <w:ind w:right="641"/>
        <w:rPr>
          <w:rFonts w:hint="eastAsia" w:ascii="黑体" w:eastAsia="黑体"/>
          <w:sz w:val="32"/>
          <w:szCs w:val="32"/>
        </w:rPr>
      </w:pPr>
    </w:p>
    <w:p>
      <w:pPr>
        <w:spacing w:line="0" w:lineRule="atLeast"/>
        <w:jc w:val="both"/>
        <w:rPr>
          <w:rFonts w:hint="eastAsia" w:eastAsia="方正小标宋_GBK"/>
          <w:kern w:val="0"/>
          <w:sz w:val="36"/>
          <w:szCs w:val="36"/>
          <w:lang w:eastAsia="zh-CN"/>
        </w:rPr>
      </w:pPr>
    </w:p>
    <w:p>
      <w:pPr>
        <w:spacing w:line="0" w:lineRule="atLeast"/>
        <w:jc w:val="both"/>
        <w:rPr>
          <w:rFonts w:hint="eastAsia" w:eastAsia="方正小标宋_GBK"/>
          <w:kern w:val="0"/>
          <w:sz w:val="36"/>
          <w:szCs w:val="36"/>
          <w:lang w:val="en-US" w:eastAsia="zh-CN"/>
        </w:rPr>
      </w:pPr>
      <w:r>
        <w:rPr>
          <w:rFonts w:hint="eastAsia" w:eastAsia="方正小标宋_GBK"/>
          <w:kern w:val="0"/>
          <w:sz w:val="36"/>
          <w:szCs w:val="36"/>
          <w:lang w:eastAsia="zh-CN"/>
        </w:rPr>
        <w:t>附件</w:t>
      </w:r>
      <w:r>
        <w:rPr>
          <w:rFonts w:hint="eastAsia" w:eastAsia="方正小标宋_GBK"/>
          <w:kern w:val="0"/>
          <w:sz w:val="36"/>
          <w:szCs w:val="36"/>
          <w:lang w:val="en-US" w:eastAsia="zh-CN"/>
        </w:rPr>
        <w:t>5</w:t>
      </w:r>
    </w:p>
    <w:p>
      <w:pPr>
        <w:pStyle w:val="5"/>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项目支出绩效自评报告</w:t>
      </w:r>
    </w:p>
    <w:p>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一、项目支出概况</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（一）项目实施单位基本情况。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楷体" w:hAnsi="楷体" w:eastAsia="楷体" w:cs="楷体"/>
          <w:b/>
          <w:bCs w:val="0"/>
          <w:sz w:val="32"/>
          <w:szCs w:val="32"/>
          <w:lang w:val="en-US" w:eastAsia="zh-CN"/>
        </w:rPr>
      </w:pPr>
      <w:r>
        <w:rPr>
          <w:rFonts w:hint="eastAsia" w:ascii="仿宋_GB2312" w:hAnsi="仿宋" w:eastAsia="仿宋_GB2312" w:cs="仿宋"/>
          <w:sz w:val="32"/>
          <w:szCs w:val="32"/>
          <w:lang w:val="en-US" w:eastAsia="zh-CN"/>
        </w:rPr>
        <w:t>我单位是行政单位，所属部门有党政办、党建办、综治办、经发办、民政办、财政所、农业综合中心、退役军人事务站、政务和社会服务中心、自然资源中心、生态环境中心、执法大队等。</w:t>
      </w:r>
      <w:r>
        <w:rPr>
          <w:rFonts w:hint="eastAsia" w:hAnsi="仿宋" w:cs="仿宋"/>
          <w:sz w:val="32"/>
          <w:szCs w:val="32"/>
          <w:lang w:val="en-US" w:eastAsia="zh-CN"/>
        </w:rPr>
        <w:t>主要项目支出为劳务站机线员工资及非税收入返回。</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（二）项目资金基本情况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1.劳服站机线员工资：预算内资金14万元，保障我单位机线员2023年年度工资。</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hAnsi="仿宋_GB2312" w:cs="仿宋_GB2312"/>
          <w:sz w:val="32"/>
          <w:szCs w:val="32"/>
          <w:lang w:val="en-US" w:eastAsia="zh-CN"/>
        </w:rPr>
      </w:pPr>
      <w:r>
        <w:rPr>
          <w:rFonts w:hint="eastAsia" w:hAnsi="仿宋_GB2312" w:cs="仿宋_GB2312"/>
          <w:sz w:val="32"/>
          <w:szCs w:val="32"/>
          <w:lang w:val="en-US" w:eastAsia="zh-CN"/>
        </w:rPr>
        <w:t>2.非税收入返回收入：49.5万元，解决我单位2023年征税产生的成本。</w:t>
      </w:r>
    </w:p>
    <w:p>
      <w:pPr>
        <w:pStyle w:val="5"/>
        <w:keepNext w:val="0"/>
        <w:keepLines w:val="0"/>
        <w:pageBreakBefore w:val="0"/>
        <w:widowControl w:val="0"/>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项目资金绩效目标</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保障劳务站机线员全年待遇，保障全年征税成本。</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二、项目资金使用及管理情况</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（一）项目资金及自筹资金的安排落实、总投入等情况。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1.劳务站机线员工资：预算内资金24万元，超出部分自筹。</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hAnsi="仿宋_GB2312" w:cs="仿宋_GB2312"/>
          <w:sz w:val="32"/>
          <w:szCs w:val="32"/>
          <w:lang w:val="en-US" w:eastAsia="zh-CN"/>
        </w:rPr>
      </w:pPr>
      <w:r>
        <w:rPr>
          <w:rFonts w:hint="eastAsia" w:hAnsi="仿宋_GB2312" w:cs="仿宋_GB2312"/>
          <w:sz w:val="32"/>
          <w:szCs w:val="32"/>
          <w:lang w:val="en-US" w:eastAsia="zh-CN"/>
        </w:rPr>
        <w:t>2.非税收入返回：全年非税收入的30%返回。</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（二）项目资金实际使用情况。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hAnsi="仿宋_GB2312" w:cs="仿宋_GB2312"/>
          <w:sz w:val="32"/>
          <w:szCs w:val="32"/>
          <w:lang w:val="en-US" w:eastAsia="zh-CN"/>
        </w:rPr>
      </w:pPr>
      <w:r>
        <w:rPr>
          <w:rFonts w:hint="eastAsia" w:hAnsi="仿宋_GB2312" w:cs="仿宋_GB2312"/>
          <w:sz w:val="32"/>
          <w:szCs w:val="32"/>
          <w:lang w:val="en-US" w:eastAsia="zh-CN"/>
        </w:rPr>
        <w:t>资金全部使用完毕。</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28"/>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镇财政所对工程项目资金进行全程监督和管理。严格项目资金初审、审核、拨付制度，不准缺项和越程序办理手续，各类项目资金审批程序，以专项资金审批表所列内容和文件要求为准。2023年全年我镇严格收支项目资金。</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三、项目支出组织实施情况</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（一）资金使用管理情况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资金拨付前，相关工作人员对项目工程进行考察，实施时进行督查，项目完成后，凭相关手续拨付资金。</w:t>
      </w:r>
    </w:p>
    <w:p>
      <w:pPr>
        <w:pStyle w:val="5"/>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项目组织实施情况</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无项目工程。</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四、项目支出绩效情况</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（一）项目支出决策情况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hAnsi="仿宋_GB2312" w:cs="仿宋_GB2312"/>
          <w:sz w:val="32"/>
          <w:szCs w:val="32"/>
          <w:lang w:val="en-US" w:eastAsia="zh-CN"/>
        </w:rPr>
      </w:pPr>
      <w:r>
        <w:rPr>
          <w:rFonts w:hint="eastAsia" w:hAnsi="仿宋_GB2312" w:cs="仿宋_GB2312"/>
          <w:sz w:val="32"/>
          <w:szCs w:val="32"/>
          <w:lang w:val="en-US" w:eastAsia="zh-CN"/>
        </w:rPr>
        <w:t>良好</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（二）项目支出过程情况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hAnsi="仿宋_GB2312" w:cs="仿宋_GB2312"/>
          <w:sz w:val="32"/>
          <w:szCs w:val="32"/>
          <w:lang w:val="en-US" w:eastAsia="zh-CN"/>
        </w:rPr>
      </w:pPr>
      <w:r>
        <w:rPr>
          <w:rFonts w:hint="eastAsia" w:hAnsi="仿宋_GB2312" w:cs="仿宋_GB2312"/>
          <w:sz w:val="32"/>
          <w:szCs w:val="32"/>
          <w:lang w:val="en-US" w:eastAsia="zh-CN"/>
        </w:rPr>
        <w:t>良好</w:t>
      </w:r>
    </w:p>
    <w:p>
      <w:pPr>
        <w:pStyle w:val="5"/>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项目支出产出情况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hAnsi="仿宋_GB2312" w:cs="仿宋_GB2312"/>
          <w:sz w:val="32"/>
          <w:szCs w:val="32"/>
          <w:lang w:val="en-US" w:eastAsia="zh-CN"/>
        </w:rPr>
      </w:pPr>
      <w:r>
        <w:rPr>
          <w:rFonts w:hint="eastAsia" w:hAnsi="仿宋_GB2312" w:cs="仿宋_GB2312"/>
          <w:sz w:val="32"/>
          <w:szCs w:val="32"/>
          <w:lang w:val="en-US" w:eastAsia="zh-CN"/>
        </w:rPr>
        <w:t>良好</w:t>
      </w:r>
    </w:p>
    <w:p>
      <w:pPr>
        <w:pStyle w:val="5"/>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项目支出效益情况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 w:hAnsi="楷体" w:eastAsia="楷体" w:cs="楷体"/>
          <w:b/>
          <w:bCs w:val="0"/>
          <w:sz w:val="32"/>
          <w:szCs w:val="32"/>
          <w:lang w:val="en-US" w:eastAsia="zh-CN"/>
        </w:rPr>
      </w:pPr>
      <w:r>
        <w:rPr>
          <w:rFonts w:hint="eastAsia" w:hAnsi="仿宋_GB2312" w:cs="仿宋_GB2312"/>
          <w:sz w:val="32"/>
          <w:szCs w:val="32"/>
          <w:lang w:val="en-US" w:eastAsia="zh-CN"/>
        </w:rPr>
        <w:t>良好</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五、主要经验做法、存在的问题及原因分析</w:t>
      </w:r>
    </w:p>
    <w:p>
      <w:pPr>
        <w:pStyle w:val="5"/>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黑体" w:hAnsi="黑体" w:eastAsia="黑体" w:cs="黑体"/>
          <w:sz w:val="32"/>
          <w:szCs w:val="32"/>
          <w:lang w:val="en-US" w:eastAsia="zh-CN"/>
        </w:rPr>
      </w:pPr>
      <w:r>
        <w:rPr>
          <w:rFonts w:hint="eastAsia" w:ascii="仿宋" w:hAnsi="仿宋" w:eastAsia="仿宋" w:cs="仿宋"/>
          <w:b w:val="0"/>
          <w:bCs w:val="0"/>
          <w:kern w:val="2"/>
          <w:sz w:val="30"/>
          <w:szCs w:val="30"/>
          <w:lang w:val="en-US" w:eastAsia="zh-CN" w:bidi="ar-SA"/>
        </w:rPr>
        <w:t>经验做法：对项目资金严格监管。</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28"/>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存在的问题：三是项目（工程）管理还有待继续规范操作。应着手成立镇项目管理领导小组，从项目前期实施或立项可行性的规划管理审批到项目实施过程管理以及到最后的项目竣工验收结算管理都要成立专门的班子来负责管理，进一步规范我镇村两级项目实施和资金管理。</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六、有关建议</w:t>
      </w:r>
    </w:p>
    <w:p>
      <w:pPr>
        <w:pStyle w:val="5"/>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（一）严格预算项目资金，确保执行单位资金充足。</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（二）对项目资金进行严格监管，做到专款专用。</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both"/>
        <w:textAlignment w:val="auto"/>
        <w:rPr>
          <w:rFonts w:hint="default" w:eastAsia="方正小标宋_GBK"/>
          <w:kern w:val="0"/>
          <w:sz w:val="36"/>
          <w:szCs w:val="36"/>
          <w:lang w:val="en-US" w:eastAsia="zh-CN"/>
        </w:rPr>
      </w:pPr>
      <w:r>
        <w:rPr>
          <w:rFonts w:hint="eastAsia" w:ascii="仿宋_GB2312" w:hAnsi="仿宋_GB2312" w:eastAsia="仿宋_GB2312" w:cs="仿宋_GB2312"/>
          <w:sz w:val="32"/>
          <w:szCs w:val="32"/>
          <w:lang w:val="en-US" w:eastAsia="zh-CN"/>
        </w:rPr>
        <w:t>没有其他需要说明的情况。</w:t>
      </w: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6附件6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6"/>
        <w:tblW w:w="9322" w:type="dxa"/>
        <w:jc w:val="center"/>
        <w:tblLayout w:type="autofit"/>
        <w:tblCellMar>
          <w:top w:w="0" w:type="dxa"/>
          <w:left w:w="108" w:type="dxa"/>
          <w:bottom w:w="0" w:type="dxa"/>
          <w:right w:w="108" w:type="dxa"/>
        </w:tblCellMar>
      </w:tblPr>
      <w:tblGrid>
        <w:gridCol w:w="1043"/>
        <w:gridCol w:w="775"/>
        <w:gridCol w:w="1144"/>
        <w:gridCol w:w="1617"/>
        <w:gridCol w:w="1247"/>
        <w:gridCol w:w="1035"/>
        <w:gridCol w:w="536"/>
        <w:gridCol w:w="536"/>
        <w:gridCol w:w="255"/>
        <w:gridCol w:w="1134"/>
      </w:tblGrid>
      <w:tr>
        <w:tblPrEx>
          <w:tblCellMar>
            <w:top w:w="0" w:type="dxa"/>
            <w:left w:w="108" w:type="dxa"/>
            <w:bottom w:w="0" w:type="dxa"/>
            <w:right w:w="108" w:type="dxa"/>
          </w:tblCellMar>
        </w:tblPrEx>
        <w:trPr>
          <w:trHeight w:val="479"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_GB2312" w:eastAsia="仿宋_GB2312"/>
                <w:kern w:val="0"/>
                <w:szCs w:val="21"/>
                <w:lang w:eastAsia="zh-CN"/>
              </w:rPr>
              <w:t>原劳服战与机线员工资</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_GB2312" w:eastAsia="仿宋_GB2312"/>
                <w:kern w:val="0"/>
                <w:szCs w:val="21"/>
                <w:lang w:eastAsia="zh-CN"/>
              </w:rPr>
              <w:t>九公桥镇人民政府</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_GB2312" w:eastAsia="仿宋_GB2312"/>
                <w:kern w:val="0"/>
                <w:szCs w:val="21"/>
                <w:lang w:eastAsia="zh-CN"/>
              </w:rPr>
              <w:t>九公桥镇人民政府</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503"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374"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r>
              <w:rPr>
                <w:rFonts w:hint="eastAsia" w:ascii="仿宋_GB2312" w:eastAsia="仿宋_GB2312"/>
                <w:kern w:val="0"/>
                <w:szCs w:val="21"/>
                <w:lang w:eastAsia="zh-CN"/>
              </w:rPr>
              <w:t>工资支付到位</w:t>
            </w: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_GB2312" w:eastAsia="仿宋_GB2312"/>
                <w:kern w:val="0"/>
                <w:szCs w:val="21"/>
                <w:lang w:eastAsia="zh-CN"/>
              </w:rPr>
              <w:t>工资支付到位</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9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支付6名机线员工资</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35"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按时支付机线员工资</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65"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支付机线员2023年工资</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2023年</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2023年</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8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24万元</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48"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完成机线员待遇发放</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14"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完成机线员待遇发放</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0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达到生态目标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04"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完成机线员待遇发放</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24</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59"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6名机线员满意度达到100%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0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line="0" w:lineRule="atLeast"/>
        <w:jc w:val="both"/>
        <w:rPr>
          <w:rFonts w:hint="default" w:eastAsia="方正小标宋_GBK"/>
          <w:kern w:val="0"/>
          <w:sz w:val="36"/>
          <w:szCs w:val="36"/>
          <w:lang w:val="en-US" w:eastAsia="zh-CN"/>
        </w:rPr>
      </w:pPr>
      <w:r>
        <w:rPr>
          <w:rFonts w:hint="eastAsia" w:eastAsia="仿宋_GB2312"/>
          <w:sz w:val="24"/>
          <w:lang w:eastAsia="zh-CN"/>
        </w:rPr>
        <w:t xml:space="preserve"> </w:t>
      </w:r>
      <w:r>
        <w:rPr>
          <w:rFonts w:hint="eastAsia" w:eastAsia="仿宋_GB2312"/>
          <w:sz w:val="24"/>
          <w:lang w:val="en-US" w:eastAsia="zh-CN"/>
        </w:rPr>
        <w:t xml:space="preserve">                                                                             </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6"/>
        <w:tblW w:w="9322" w:type="dxa"/>
        <w:jc w:val="center"/>
        <w:tblLayout w:type="autofit"/>
        <w:tblCellMar>
          <w:top w:w="0" w:type="dxa"/>
          <w:left w:w="108" w:type="dxa"/>
          <w:bottom w:w="0" w:type="dxa"/>
          <w:right w:w="108" w:type="dxa"/>
        </w:tblCellMar>
      </w:tblPr>
      <w:tblGrid>
        <w:gridCol w:w="1043"/>
        <w:gridCol w:w="775"/>
        <w:gridCol w:w="1144"/>
        <w:gridCol w:w="1617"/>
        <w:gridCol w:w="1247"/>
        <w:gridCol w:w="1035"/>
        <w:gridCol w:w="536"/>
        <w:gridCol w:w="536"/>
        <w:gridCol w:w="255"/>
        <w:gridCol w:w="1134"/>
      </w:tblGrid>
      <w:tr>
        <w:tblPrEx>
          <w:tblCellMar>
            <w:top w:w="0" w:type="dxa"/>
            <w:left w:w="108" w:type="dxa"/>
            <w:bottom w:w="0" w:type="dxa"/>
            <w:right w:w="108" w:type="dxa"/>
          </w:tblCellMar>
        </w:tblPrEx>
        <w:trPr>
          <w:trHeight w:val="479"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_GB2312" w:eastAsia="仿宋_GB2312"/>
                <w:kern w:val="0"/>
                <w:szCs w:val="21"/>
                <w:lang w:val="en-US" w:eastAsia="zh-CN"/>
              </w:rPr>
              <w:t>非税收入执收成本</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_GB2312" w:eastAsia="仿宋_GB2312"/>
                <w:kern w:val="0"/>
                <w:szCs w:val="21"/>
                <w:lang w:eastAsia="zh-CN"/>
              </w:rPr>
              <w:t>九公桥镇人民政府</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_GB2312" w:eastAsia="仿宋_GB2312"/>
                <w:kern w:val="0"/>
                <w:szCs w:val="21"/>
                <w:lang w:eastAsia="zh-CN"/>
              </w:rPr>
              <w:t>九公桥镇人民政府</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49.5</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49.5</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49.5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503"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374"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保障执收成本</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保障执收成本</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49.5万元</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49.5万元</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49.5万元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35"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100%完成征税</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65"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2023年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2023年</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2023年</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8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49.5万元</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49.5万元</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49.5万元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48"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征缴非税收入165万元</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165万元</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165万元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14"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不产生负面影响</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0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达到生态目标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04"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持续性创造非税收入</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59"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征收对象100%满意</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65"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eastAsia="仿宋_GB2312"/>
          <w:sz w:val="24"/>
        </w:rPr>
      </w:pPr>
      <w:r>
        <w:rPr>
          <w:rFonts w:hint="eastAsia" w:eastAsia="仿宋_GB2312"/>
          <w:sz w:val="24"/>
        </w:rPr>
        <w:t>填表人：</w:t>
      </w:r>
      <w:r>
        <w:rPr>
          <w:rFonts w:hint="eastAsia" w:eastAsia="仿宋_GB2312"/>
          <w:sz w:val="24"/>
          <w:lang w:val="en-US" w:eastAsia="zh-CN"/>
        </w:rPr>
        <w:t>苏本煌</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2024.3.13</w:t>
      </w:r>
      <w:r>
        <w:rPr>
          <w:rFonts w:eastAsia="仿宋_GB2312"/>
          <w:sz w:val="24"/>
        </w:rPr>
        <w:t xml:space="preserve">  </w:t>
      </w:r>
    </w:p>
    <w:p>
      <w:pPr>
        <w:spacing w:before="120" w:beforeLines="50"/>
        <w:rPr>
          <w:rFonts w:ascii="仿宋" w:hAnsi="仿宋" w:eastAsia="仿宋" w:cs="仿宋"/>
          <w:sz w:val="32"/>
          <w:szCs w:val="32"/>
        </w:rPr>
      </w:pPr>
      <w:r>
        <w:rPr>
          <w:rFonts w:hint="eastAsia" w:eastAsia="仿宋_GB2312"/>
          <w:sz w:val="24"/>
        </w:rPr>
        <w:t>联系电话：</w:t>
      </w:r>
      <w:r>
        <w:rPr>
          <w:rFonts w:hint="eastAsia" w:eastAsia="仿宋_GB2312"/>
          <w:sz w:val="24"/>
          <w:lang w:val="en-US" w:eastAsia="zh-CN"/>
        </w:rPr>
        <w:t>13975967672</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单位负责人签字：</w:t>
      </w:r>
      <w:bookmarkStart w:id="0" w:name="_GoBack"/>
      <w:bookmarkEnd w:id="0"/>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2319"/>
    <w:multiLevelType w:val="singleLevel"/>
    <w:tmpl w:val="B3412319"/>
    <w:lvl w:ilvl="0" w:tentative="0">
      <w:start w:val="2"/>
      <w:numFmt w:val="chineseCounting"/>
      <w:suff w:val="nothing"/>
      <w:lvlText w:val="（%1）"/>
      <w:lvlJc w:val="left"/>
      <w:rPr>
        <w:rFonts w:hint="eastAsia"/>
      </w:rPr>
    </w:lvl>
  </w:abstractNum>
  <w:abstractNum w:abstractNumId="1">
    <w:nsid w:val="D005CCA1"/>
    <w:multiLevelType w:val="singleLevel"/>
    <w:tmpl w:val="D005CCA1"/>
    <w:lvl w:ilvl="0" w:tentative="0">
      <w:start w:val="3"/>
      <w:numFmt w:val="chineseCounting"/>
      <w:suff w:val="nothing"/>
      <w:lvlText w:val="（%1）"/>
      <w:lvlJc w:val="left"/>
      <w:rPr>
        <w:rFonts w:hint="eastAsia"/>
      </w:rPr>
    </w:lvl>
  </w:abstractNum>
  <w:abstractNum w:abstractNumId="2">
    <w:nsid w:val="35C34057"/>
    <w:multiLevelType w:val="singleLevel"/>
    <w:tmpl w:val="35C34057"/>
    <w:lvl w:ilvl="0" w:tentative="0">
      <w:start w:val="8"/>
      <w:numFmt w:val="chineseCounting"/>
      <w:suff w:val="nothing"/>
      <w:lvlText w:val="%1、"/>
      <w:lvlJc w:val="left"/>
      <w:rPr>
        <w:rFonts w:hint="eastAsia"/>
      </w:rPr>
    </w:lvl>
  </w:abstractNum>
  <w:abstractNum w:abstractNumId="3">
    <w:nsid w:val="481505A4"/>
    <w:multiLevelType w:val="singleLevel"/>
    <w:tmpl w:val="481505A4"/>
    <w:lvl w:ilvl="0" w:tentative="0">
      <w:start w:val="4"/>
      <w:numFmt w:val="chineseCounting"/>
      <w:suff w:val="nothing"/>
      <w:lvlText w:val="%1、"/>
      <w:lvlJc w:val="left"/>
      <w:rPr>
        <w:rFonts w:hint="eastAsia"/>
      </w:rPr>
    </w:lvl>
  </w:abstractNum>
  <w:abstractNum w:abstractNumId="4">
    <w:nsid w:val="665305C2"/>
    <w:multiLevelType w:val="singleLevel"/>
    <w:tmpl w:val="665305C2"/>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ZWU3ZDhjYjAxODQ0YWQ2ODZmODhjMDRkNzMzZGU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706B86"/>
    <w:rsid w:val="05932E50"/>
    <w:rsid w:val="05C63780"/>
    <w:rsid w:val="062736E9"/>
    <w:rsid w:val="06A72A7B"/>
    <w:rsid w:val="06B14C94"/>
    <w:rsid w:val="06B156A8"/>
    <w:rsid w:val="07061C60"/>
    <w:rsid w:val="07601F6F"/>
    <w:rsid w:val="07625C60"/>
    <w:rsid w:val="0859360A"/>
    <w:rsid w:val="087251E8"/>
    <w:rsid w:val="090C0797"/>
    <w:rsid w:val="092550F0"/>
    <w:rsid w:val="09636F12"/>
    <w:rsid w:val="0B402ED3"/>
    <w:rsid w:val="0B5575DE"/>
    <w:rsid w:val="0B595BEC"/>
    <w:rsid w:val="0D013842"/>
    <w:rsid w:val="0D605FA4"/>
    <w:rsid w:val="0DAC1131"/>
    <w:rsid w:val="0DCD1FE2"/>
    <w:rsid w:val="0EF02E0C"/>
    <w:rsid w:val="0F0351A9"/>
    <w:rsid w:val="0F6040CA"/>
    <w:rsid w:val="0F686EA2"/>
    <w:rsid w:val="0FA4224E"/>
    <w:rsid w:val="10125033"/>
    <w:rsid w:val="10D479E6"/>
    <w:rsid w:val="13063EC3"/>
    <w:rsid w:val="194621AC"/>
    <w:rsid w:val="1C96001A"/>
    <w:rsid w:val="1DA67C4F"/>
    <w:rsid w:val="1DD55C7B"/>
    <w:rsid w:val="1E4A056C"/>
    <w:rsid w:val="1FE96A1E"/>
    <w:rsid w:val="2051109F"/>
    <w:rsid w:val="20DC27D1"/>
    <w:rsid w:val="213F01B2"/>
    <w:rsid w:val="21486D67"/>
    <w:rsid w:val="217355DC"/>
    <w:rsid w:val="24B25AD9"/>
    <w:rsid w:val="252F101D"/>
    <w:rsid w:val="26A1499A"/>
    <w:rsid w:val="26CA0729"/>
    <w:rsid w:val="26EC76C6"/>
    <w:rsid w:val="273137CC"/>
    <w:rsid w:val="27654B82"/>
    <w:rsid w:val="279C010A"/>
    <w:rsid w:val="297E7214"/>
    <w:rsid w:val="29AA4170"/>
    <w:rsid w:val="2ACD4C49"/>
    <w:rsid w:val="2B1D14D1"/>
    <w:rsid w:val="2B9C3577"/>
    <w:rsid w:val="2BBA09D7"/>
    <w:rsid w:val="2BD440AE"/>
    <w:rsid w:val="2BD575BF"/>
    <w:rsid w:val="2C6944DC"/>
    <w:rsid w:val="2DB2495A"/>
    <w:rsid w:val="2EF0518E"/>
    <w:rsid w:val="2F242165"/>
    <w:rsid w:val="2F373F0A"/>
    <w:rsid w:val="2F465CE9"/>
    <w:rsid w:val="30055F99"/>
    <w:rsid w:val="30133FEC"/>
    <w:rsid w:val="301467A7"/>
    <w:rsid w:val="319E58AE"/>
    <w:rsid w:val="321D280E"/>
    <w:rsid w:val="32E672DE"/>
    <w:rsid w:val="33173320"/>
    <w:rsid w:val="339D0E52"/>
    <w:rsid w:val="33F47CCB"/>
    <w:rsid w:val="367E6347"/>
    <w:rsid w:val="36B74B2C"/>
    <w:rsid w:val="376A7251"/>
    <w:rsid w:val="38FF20BA"/>
    <w:rsid w:val="395471B6"/>
    <w:rsid w:val="3B4A4976"/>
    <w:rsid w:val="3C3C2D43"/>
    <w:rsid w:val="3D6A788A"/>
    <w:rsid w:val="3E1C6CCE"/>
    <w:rsid w:val="3ECC51F7"/>
    <w:rsid w:val="3F07230B"/>
    <w:rsid w:val="401A4DB7"/>
    <w:rsid w:val="40286FB9"/>
    <w:rsid w:val="40551718"/>
    <w:rsid w:val="412A5093"/>
    <w:rsid w:val="41D96CAB"/>
    <w:rsid w:val="422C1AAB"/>
    <w:rsid w:val="42A513CC"/>
    <w:rsid w:val="42EC2F28"/>
    <w:rsid w:val="438C45B0"/>
    <w:rsid w:val="43CA6E24"/>
    <w:rsid w:val="448C37A5"/>
    <w:rsid w:val="44AE371A"/>
    <w:rsid w:val="44E03F8E"/>
    <w:rsid w:val="4750610E"/>
    <w:rsid w:val="476A2E5A"/>
    <w:rsid w:val="48B95D35"/>
    <w:rsid w:val="48D77849"/>
    <w:rsid w:val="492E6CEA"/>
    <w:rsid w:val="499C5626"/>
    <w:rsid w:val="49D62A28"/>
    <w:rsid w:val="4A6A422A"/>
    <w:rsid w:val="4C3126A7"/>
    <w:rsid w:val="4C985623"/>
    <w:rsid w:val="4D1D75B1"/>
    <w:rsid w:val="4DC14C54"/>
    <w:rsid w:val="4E812DD8"/>
    <w:rsid w:val="5025403F"/>
    <w:rsid w:val="512D283B"/>
    <w:rsid w:val="51706157"/>
    <w:rsid w:val="51A64FE7"/>
    <w:rsid w:val="52245ABB"/>
    <w:rsid w:val="53162FC3"/>
    <w:rsid w:val="544E62B5"/>
    <w:rsid w:val="54D83964"/>
    <w:rsid w:val="551E5284"/>
    <w:rsid w:val="569958AC"/>
    <w:rsid w:val="57965D12"/>
    <w:rsid w:val="587F7BAB"/>
    <w:rsid w:val="590B7824"/>
    <w:rsid w:val="598A0134"/>
    <w:rsid w:val="59BA41A7"/>
    <w:rsid w:val="5B0867BA"/>
    <w:rsid w:val="5BC85F49"/>
    <w:rsid w:val="5D862A6B"/>
    <w:rsid w:val="5E2D0ECA"/>
    <w:rsid w:val="5E386A8A"/>
    <w:rsid w:val="5E7E2E48"/>
    <w:rsid w:val="5EB920A6"/>
    <w:rsid w:val="5EE15247"/>
    <w:rsid w:val="5FEB66AA"/>
    <w:rsid w:val="611C2A4E"/>
    <w:rsid w:val="61ED0983"/>
    <w:rsid w:val="621A2785"/>
    <w:rsid w:val="62380621"/>
    <w:rsid w:val="62882906"/>
    <w:rsid w:val="6296592A"/>
    <w:rsid w:val="62AA63A9"/>
    <w:rsid w:val="63627896"/>
    <w:rsid w:val="64653D4C"/>
    <w:rsid w:val="64821F10"/>
    <w:rsid w:val="64BB7C34"/>
    <w:rsid w:val="657A4758"/>
    <w:rsid w:val="693B1A2C"/>
    <w:rsid w:val="6BDD159D"/>
    <w:rsid w:val="70561C9A"/>
    <w:rsid w:val="71AF52DC"/>
    <w:rsid w:val="71C15269"/>
    <w:rsid w:val="71C45F47"/>
    <w:rsid w:val="752D41F9"/>
    <w:rsid w:val="77F770D8"/>
    <w:rsid w:val="783F1A66"/>
    <w:rsid w:val="786A32D4"/>
    <w:rsid w:val="788155F2"/>
    <w:rsid w:val="78EF290F"/>
    <w:rsid w:val="7A794B87"/>
    <w:rsid w:val="7ACB2BF8"/>
    <w:rsid w:val="7C7F2F59"/>
    <w:rsid w:val="7E0E41C6"/>
    <w:rsid w:val="7ED473C9"/>
    <w:rsid w:val="7EE2275E"/>
    <w:rsid w:val="7F6A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autoRedefine/>
    <w:qFormat/>
    <w:uiPriority w:val="0"/>
    <w:pPr>
      <w:ind w:firstLine="420" w:firstLineChars="2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paragraph" w:styleId="10">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1">
    <w:name w:val="页脚 Char"/>
    <w:basedOn w:val="8"/>
    <w:link w:val="3"/>
    <w:autoRedefine/>
    <w:qFormat/>
    <w:uiPriority w:val="99"/>
    <w:rPr>
      <w:kern w:val="2"/>
      <w:sz w:val="18"/>
      <w:szCs w:val="18"/>
    </w:rPr>
  </w:style>
  <w:style w:type="character" w:customStyle="1" w:styleId="12">
    <w:name w:val="font41"/>
    <w:basedOn w:val="8"/>
    <w:autoRedefine/>
    <w:qFormat/>
    <w:uiPriority w:val="0"/>
    <w:rPr>
      <w:rFonts w:hint="eastAsia" w:ascii="宋体" w:hAnsi="宋体" w:eastAsia="宋体" w:cs="宋体"/>
      <w:color w:val="000000"/>
      <w:sz w:val="18"/>
      <w:szCs w:val="18"/>
      <w:u w:val="none"/>
    </w:rPr>
  </w:style>
  <w:style w:type="character" w:customStyle="1" w:styleId="13">
    <w:name w:val="font51"/>
    <w:basedOn w:val="8"/>
    <w:autoRedefine/>
    <w:qFormat/>
    <w:uiPriority w:val="0"/>
    <w:rPr>
      <w:rFonts w:hint="default" w:ascii="Times New Roman" w:hAnsi="Times New Roman" w:cs="Times New Roman"/>
      <w:color w:val="000000"/>
      <w:sz w:val="18"/>
      <w:szCs w:val="18"/>
      <w:u w:val="none"/>
    </w:rPr>
  </w:style>
  <w:style w:type="character" w:customStyle="1" w:styleId="14">
    <w:name w:val="font71"/>
    <w:basedOn w:val="8"/>
    <w:autoRedefine/>
    <w:qFormat/>
    <w:uiPriority w:val="0"/>
    <w:rPr>
      <w:rFonts w:hint="eastAsia" w:ascii="宋体" w:hAnsi="宋体" w:eastAsia="宋体" w:cs="宋体"/>
      <w:color w:val="000000"/>
      <w:sz w:val="18"/>
      <w:szCs w:val="18"/>
      <w:u w:val="none"/>
    </w:rPr>
  </w:style>
  <w:style w:type="character" w:customStyle="1" w:styleId="15">
    <w:name w:val="font61"/>
    <w:basedOn w:val="8"/>
    <w:autoRedefine/>
    <w:qFormat/>
    <w:uiPriority w:val="0"/>
    <w:rPr>
      <w:rFonts w:hint="default" w:ascii="Times New Roman" w:hAnsi="Times New Roman" w:cs="Times New Roman"/>
      <w:color w:val="000000"/>
      <w:sz w:val="18"/>
      <w:szCs w:val="18"/>
      <w:u w:val="none"/>
    </w:rPr>
  </w:style>
  <w:style w:type="character" w:customStyle="1" w:styleId="16">
    <w:name w:val="font11"/>
    <w:basedOn w:val="8"/>
    <w:autoRedefine/>
    <w:qFormat/>
    <w:uiPriority w:val="0"/>
    <w:rPr>
      <w:rFonts w:hint="eastAsia" w:ascii="宋体" w:hAnsi="宋体" w:eastAsia="宋体" w:cs="宋体"/>
      <w:color w:val="000000"/>
      <w:sz w:val="18"/>
      <w:szCs w:val="18"/>
      <w:u w:val="none"/>
    </w:rPr>
  </w:style>
  <w:style w:type="character" w:customStyle="1" w:styleId="17">
    <w:name w:val="font8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TotalTime>34</TotalTime>
  <ScaleCrop>false</ScaleCrop>
  <LinksUpToDate>false</LinksUpToDate>
  <CharactersWithSpaces>7985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fany</cp:lastModifiedBy>
  <cp:lastPrinted>2024-02-29T01:34:00Z</cp:lastPrinted>
  <dcterms:modified xsi:type="dcterms:W3CDTF">2024-03-14T07:07:11Z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9CF1B2968F95452A9F6CAA8C44BC7582_13</vt:lpwstr>
  </property>
</Properties>
</file>