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23</w:t>
      </w:r>
      <w:r>
        <w:rPr>
          <w:rFonts w:hint="eastAsia" w:ascii="宋体" w:hAnsi="宋体"/>
          <w:sz w:val="44"/>
          <w:szCs w:val="44"/>
        </w:rPr>
        <w:t>年度部门整体支出绩效自评</w:t>
      </w:r>
      <w:r>
        <w:rPr>
          <w:rFonts w:hint="eastAsia" w:ascii="宋体" w:hAnsi="宋体"/>
          <w:sz w:val="44"/>
          <w:szCs w:val="44"/>
          <w:lang w:val="en-US" w:eastAsia="zh-CN"/>
        </w:rPr>
        <w:t xml:space="preserve">  </w:t>
      </w:r>
      <w:r>
        <w:rPr>
          <w:rFonts w:hint="eastAsia" w:ascii="宋体" w:hAnsi="宋体"/>
          <w:sz w:val="44"/>
          <w:szCs w:val="44"/>
        </w:rPr>
        <w:t>报</w:t>
      </w:r>
      <w:r>
        <w:rPr>
          <w:rFonts w:hint="eastAsia" w:ascii="宋体" w:hAnsi="宋体"/>
          <w:sz w:val="44"/>
          <w:szCs w:val="44"/>
          <w:lang w:val="en-US" w:eastAsia="zh-CN"/>
        </w:rPr>
        <w:t xml:space="preserve">  </w:t>
      </w:r>
      <w:r>
        <w:rPr>
          <w:rFonts w:hint="eastAsia" w:ascii="宋体" w:hAnsi="宋体"/>
          <w:sz w:val="44"/>
          <w:szCs w:val="44"/>
        </w:rPr>
        <w:t xml:space="preserve">告   </w:t>
      </w: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bookmarkStart w:id="0" w:name="_GoBack"/>
      <w:bookmarkEnd w:id="0"/>
    </w:p>
    <w:p>
      <w:pPr>
        <w:spacing w:line="600" w:lineRule="exact"/>
        <w:rPr>
          <w:rFonts w:hint="eastAsia"/>
          <w:sz w:val="36"/>
        </w:rPr>
      </w:pPr>
    </w:p>
    <w:p>
      <w:pPr>
        <w:pStyle w:val="2"/>
        <w:rPr>
          <w:rFonts w:hint="eastAsia"/>
          <w:sz w:val="36"/>
        </w:rPr>
      </w:pPr>
    </w:p>
    <w:p>
      <w:pPr>
        <w:pStyle w:val="2"/>
        <w:rPr>
          <w:rFonts w:hint="eastAsia"/>
          <w:sz w:val="36"/>
        </w:rPr>
      </w:pPr>
    </w:p>
    <w:p>
      <w:pPr>
        <w:spacing w:line="1000" w:lineRule="exact"/>
        <w:rPr>
          <w:rFonts w:hint="eastAsia"/>
          <w:bCs/>
          <w:sz w:val="32"/>
          <w:szCs w:val="32"/>
          <w:u w:val="single"/>
        </w:rPr>
      </w:pPr>
      <w:r>
        <w:rPr>
          <w:rFonts w:hint="eastAsia"/>
          <w:b/>
          <w:bCs/>
          <w:sz w:val="32"/>
          <w:szCs w:val="32"/>
        </w:rPr>
        <w:t>自评单位：</w:t>
      </w:r>
      <w:r>
        <w:rPr>
          <w:rFonts w:hint="eastAsia"/>
          <w:b/>
          <w:bCs/>
          <w:sz w:val="32"/>
          <w:szCs w:val="32"/>
          <w:u w:val="single"/>
          <w:lang w:val="en-US" w:eastAsia="zh-CN"/>
        </w:rPr>
        <w:t>邵阳县机关事务服务中心</w:t>
      </w:r>
      <w:r>
        <w:rPr>
          <w:rFonts w:hint="eastAsia"/>
          <w:bCs/>
          <w:sz w:val="32"/>
          <w:szCs w:val="32"/>
        </w:rPr>
        <w:t>（单位公章）</w:t>
      </w:r>
    </w:p>
    <w:p>
      <w:pPr>
        <w:spacing w:line="600" w:lineRule="exact"/>
        <w:rPr>
          <w:rFonts w:hint="eastAsia"/>
        </w:rPr>
      </w:pPr>
    </w:p>
    <w:p>
      <w:pPr>
        <w:spacing w:line="60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jc w:val="center"/>
        <w:rPr>
          <w:rFonts w:hint="eastAsia" w:ascii="楷体" w:hAnsi="楷体" w:eastAsia="楷体" w:cs="楷体"/>
          <w:sz w:val="36"/>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 xml:space="preserve"> 2024 </w:t>
      </w:r>
      <w:r>
        <w:rPr>
          <w:rFonts w:hint="eastAsia" w:ascii="楷体" w:hAnsi="楷体" w:eastAsia="楷体" w:cs="楷体"/>
          <w:sz w:val="36"/>
        </w:rPr>
        <w:t>年</w:t>
      </w:r>
      <w:r>
        <w:rPr>
          <w:rFonts w:hint="eastAsia" w:ascii="楷体" w:hAnsi="楷体" w:eastAsia="楷体" w:cs="楷体"/>
          <w:sz w:val="36"/>
          <w:lang w:val="en-US" w:eastAsia="zh-CN"/>
        </w:rPr>
        <w:t xml:space="preserve">11 </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spacing w:line="600" w:lineRule="exact"/>
        <w:rPr>
          <w:rFonts w:hint="eastAsia" w:eastAsia="仿宋_GB2312"/>
          <w:sz w:val="28"/>
          <w:szCs w:val="28"/>
        </w:rPr>
      </w:pPr>
    </w:p>
    <w:p>
      <w:pPr>
        <w:adjustRightInd w:val="0"/>
        <w:spacing w:line="600" w:lineRule="exact"/>
        <w:ind w:right="641"/>
        <w:jc w:val="center"/>
        <w:rPr>
          <w:rFonts w:hint="eastAsia" w:eastAsia="方正小标宋_GBK"/>
          <w:sz w:val="36"/>
          <w:szCs w:val="36"/>
        </w:rPr>
      </w:pPr>
      <w:r>
        <w:rPr>
          <w:rFonts w:hint="eastAsia" w:eastAsia="方正小标宋_GBK"/>
          <w:sz w:val="36"/>
          <w:szCs w:val="36"/>
        </w:rPr>
        <w:t xml:space="preserve">  </w:t>
      </w:r>
    </w:p>
    <w:p>
      <w:pPr>
        <w:keepNext w:val="0"/>
        <w:keepLines w:val="0"/>
        <w:pageBreakBefore w:val="0"/>
        <w:kinsoku/>
        <w:wordWrap/>
        <w:overflowPunct/>
        <w:topLinePunct w:val="0"/>
        <w:autoSpaceDE/>
        <w:autoSpaceDN/>
        <w:bidi w:val="0"/>
        <w:adjustRightInd w:val="0"/>
        <w:spacing w:line="600" w:lineRule="exact"/>
        <w:ind w:right="641"/>
        <w:jc w:val="center"/>
        <w:textAlignment w:val="auto"/>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keepNext w:val="0"/>
        <w:keepLines w:val="0"/>
        <w:pageBreakBefore w:val="0"/>
        <w:kinsoku/>
        <w:wordWrap/>
        <w:overflowPunct/>
        <w:topLinePunct w:val="0"/>
        <w:autoSpaceDE/>
        <w:autoSpaceDN/>
        <w:bidi w:val="0"/>
        <w:adjustRightInd w:val="0"/>
        <w:spacing w:line="600" w:lineRule="exact"/>
        <w:ind w:right="641"/>
        <w:textAlignment w:val="auto"/>
        <w:rPr>
          <w:rFonts w:eastAsia="仿宋_GB2312"/>
          <w:sz w:val="32"/>
          <w:szCs w:val="32"/>
        </w:rPr>
      </w:pP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1、人员编制及内设机构情况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2023年底邵阳县机关事务服务中心在职人员42人。内设机构5个，分别为：综合部、公务接待部、公车事务部、后勤服务部、公务用车服务中心。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2、主要职能</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s="仿宋"/>
          <w:kern w:val="2"/>
          <w:sz w:val="32"/>
          <w:szCs w:val="32"/>
          <w:lang w:val="en-US" w:eastAsia="zh-CN" w:bidi="ar"/>
        </w:rPr>
      </w:pPr>
      <w:r>
        <w:rPr>
          <w:rFonts w:hint="eastAsia" w:ascii="仿宋_GB2312" w:hAnsi="仿宋" w:eastAsia="仿宋_GB2312" w:cs="仿宋"/>
          <w:sz w:val="32"/>
          <w:szCs w:val="32"/>
        </w:rPr>
        <w:t>（1）</w:t>
      </w:r>
      <w:r>
        <w:rPr>
          <w:rFonts w:hint="eastAsia" w:ascii="仿宋" w:hAnsi="仿宋" w:eastAsia="仿宋" w:cs="仿宋"/>
          <w:kern w:val="2"/>
          <w:sz w:val="32"/>
          <w:szCs w:val="32"/>
          <w:lang w:val="en-US" w:eastAsia="zh-CN" w:bidi="ar"/>
        </w:rPr>
        <w:t>为全县机关事务管理工作提供服务保障；拟订机关事务服务工作的规章制度并组织实施。</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kern w:val="2"/>
          <w:sz w:val="32"/>
          <w:szCs w:val="32"/>
          <w:lang w:val="en-US" w:eastAsia="zh-CN" w:bidi="ar"/>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w:t>
      </w:r>
      <w:r>
        <w:rPr>
          <w:rFonts w:hint="eastAsia" w:ascii="仿宋" w:hAnsi="仿宋" w:eastAsia="仿宋" w:cs="仿宋"/>
          <w:kern w:val="2"/>
          <w:sz w:val="32"/>
          <w:szCs w:val="32"/>
          <w:lang w:val="en-US" w:eastAsia="zh-CN" w:bidi="ar"/>
        </w:rPr>
        <w:t>负责做好机关院落办公用房等方面的事务性工作。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kern w:val="2"/>
          <w:sz w:val="32"/>
          <w:szCs w:val="32"/>
          <w:lang w:val="en-US" w:eastAsia="zh-CN" w:bidi="ar"/>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w:t>
      </w:r>
      <w:r>
        <w:rPr>
          <w:rFonts w:hint="eastAsia" w:ascii="仿宋" w:hAnsi="仿宋" w:eastAsia="仿宋" w:cs="仿宋"/>
          <w:kern w:val="2"/>
          <w:sz w:val="32"/>
          <w:szCs w:val="32"/>
          <w:lang w:val="en-US" w:eastAsia="zh-CN" w:bidi="ar"/>
        </w:rPr>
        <w:t>负责全县行政事业单位公务用车的配备、更新、具体处置等相关事务性工作，建立车辆档案信息；负责全县公务用车服务平台的建设、监管、运营等事务性工作。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kern w:val="2"/>
          <w:sz w:val="32"/>
          <w:szCs w:val="32"/>
          <w:lang w:val="en-US" w:eastAsia="zh-CN" w:bidi="ar"/>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w:t>
      </w:r>
      <w:r>
        <w:rPr>
          <w:rFonts w:hint="eastAsia" w:ascii="仿宋" w:hAnsi="仿宋" w:eastAsia="仿宋" w:cs="仿宋"/>
          <w:kern w:val="2"/>
          <w:sz w:val="32"/>
          <w:szCs w:val="32"/>
          <w:lang w:val="en-US" w:eastAsia="zh-CN" w:bidi="ar"/>
        </w:rPr>
        <w:t>贯彻执行国家、省、市有关公务接待工作的方针、政策和法规；协助和指导在我县召开或举办的全国、全省、全市性会议或重要活动及本县召开或举办的全县性会议、重要活动的接待服务工作；负责县委、县人大、县政府、县政协、县纪委交办的来宾接待工作；负责邵阳县籍在外地工作或曾在我县工作过的学者、专家、知名人士、副处级以上干部、省级以上（含省级）主要新闻单位的记者和来县检查部门工作有市级以上领导带队的来宾的接待服务工作；负责县委、县政府组织的县外重大参观学习、考察、访问活动的联络服务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kern w:val="2"/>
          <w:sz w:val="32"/>
          <w:szCs w:val="32"/>
          <w:lang w:val="en-US" w:eastAsia="zh-CN" w:bidi="ar"/>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5</w:t>
      </w:r>
      <w:r>
        <w:rPr>
          <w:rFonts w:hint="eastAsia" w:ascii="仿宋_GB2312" w:hAnsi="仿宋" w:eastAsia="仿宋_GB2312" w:cs="仿宋"/>
          <w:sz w:val="32"/>
          <w:szCs w:val="32"/>
        </w:rPr>
        <w:t>）</w:t>
      </w:r>
      <w:r>
        <w:rPr>
          <w:rFonts w:hint="eastAsia" w:ascii="仿宋" w:hAnsi="仿宋" w:eastAsia="仿宋" w:cs="仿宋"/>
          <w:kern w:val="2"/>
          <w:sz w:val="32"/>
          <w:szCs w:val="32"/>
          <w:lang w:val="en-US" w:eastAsia="zh-CN" w:bidi="ar"/>
        </w:rPr>
        <w:t>负责县委、县政府两大院落的水电、环境卫生、绿化、治安保卫、消防、食堂和物业管理的服务工作。承担公共机构节能方面的事务性工作。</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仿宋" w:hAnsi="仿宋" w:eastAsia="仿宋" w:cs="仿宋"/>
          <w:kern w:val="2"/>
          <w:sz w:val="32"/>
          <w:szCs w:val="32"/>
          <w:lang w:val="en-US" w:eastAsia="zh-CN" w:bidi="ar"/>
        </w:rPr>
      </w:pP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w:t>
      </w:r>
      <w:r>
        <w:rPr>
          <w:rFonts w:hint="eastAsia" w:ascii="仿宋" w:hAnsi="仿宋" w:eastAsia="仿宋" w:cs="仿宋"/>
          <w:kern w:val="2"/>
          <w:sz w:val="32"/>
          <w:szCs w:val="32"/>
          <w:lang w:val="en-US" w:eastAsia="zh-CN" w:bidi="ar"/>
        </w:rPr>
        <w:t>承办县委、县政府交办的其它事项。</w:t>
      </w:r>
    </w:p>
    <w:p>
      <w:pPr>
        <w:keepNext w:val="0"/>
        <w:keepLines w:val="0"/>
        <w:pageBreakBefore w:val="0"/>
        <w:kinsoku/>
        <w:wordWrap/>
        <w:overflowPunct/>
        <w:topLinePunct w:val="0"/>
        <w:autoSpaceDE/>
        <w:autoSpaceDN/>
        <w:bidi w:val="0"/>
        <w:spacing w:line="60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二、部门整体支出管理及使用情况</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（一）预算执行情况</w:t>
      </w:r>
    </w:p>
    <w:p>
      <w:pPr>
        <w:keepNext w:val="0"/>
        <w:keepLines w:val="0"/>
        <w:pageBreakBefore w:val="0"/>
        <w:widowControl w:val="0"/>
        <w:kinsoku/>
        <w:wordWrap/>
        <w:overflowPunct/>
        <w:topLinePunct w:val="0"/>
        <w:autoSpaceDE/>
        <w:autoSpaceDN/>
        <w:bidi w:val="0"/>
        <w:adjustRightInd w:val="0"/>
        <w:snapToGrid w:val="0"/>
        <w:spacing w:line="600" w:lineRule="exact"/>
        <w:ind w:right="0" w:firstLine="640" w:firstLineChars="200"/>
        <w:jc w:val="both"/>
        <w:textAlignment w:val="auto"/>
        <w:rPr>
          <w:rFonts w:hint="eastAsia" w:ascii="楷体_GB2312" w:eastAsia="楷体_GB2312"/>
          <w:b/>
          <w:color w:val="auto"/>
          <w:sz w:val="32"/>
          <w:szCs w:val="32"/>
        </w:rPr>
      </w:pPr>
      <w:r>
        <w:rPr>
          <w:rFonts w:hint="eastAsia" w:ascii="仿宋_GB2312" w:hAnsi="方正大标宋简体" w:eastAsia="仿宋_GB2312" w:cs="Times New Roman"/>
          <w:color w:val="auto"/>
          <w:sz w:val="32"/>
          <w:szCs w:val="32"/>
        </w:rPr>
        <w:t>202</w:t>
      </w:r>
      <w:r>
        <w:rPr>
          <w:rFonts w:hint="eastAsia" w:ascii="仿宋_GB2312" w:hAnsi="方正大标宋简体" w:eastAsia="仿宋_GB2312" w:cs="Times New Roman"/>
          <w:color w:val="auto"/>
          <w:sz w:val="32"/>
          <w:szCs w:val="32"/>
          <w:lang w:val="en-US" w:eastAsia="zh-CN"/>
        </w:rPr>
        <w:t>3</w:t>
      </w:r>
      <w:r>
        <w:rPr>
          <w:rFonts w:hint="eastAsia" w:ascii="仿宋_GB2312" w:hAnsi="方正大标宋简体" w:eastAsia="仿宋_GB2312" w:cs="Times New Roman"/>
          <w:color w:val="auto"/>
          <w:sz w:val="32"/>
          <w:szCs w:val="32"/>
        </w:rPr>
        <w:t>年</w:t>
      </w:r>
      <w:r>
        <w:rPr>
          <w:rFonts w:hint="eastAsia" w:ascii="仿宋_GB2312" w:hAnsi="方正大标宋简体" w:eastAsia="仿宋_GB2312" w:cs="Times New Roman"/>
          <w:color w:val="auto"/>
          <w:sz w:val="32"/>
          <w:szCs w:val="32"/>
          <w:lang w:eastAsia="zh-CN"/>
        </w:rPr>
        <w:t>预算收入1118.88</w:t>
      </w:r>
      <w:r>
        <w:rPr>
          <w:rFonts w:hint="eastAsia" w:ascii="仿宋_GB2312" w:hAnsi="方正大标宋简体" w:eastAsia="仿宋_GB2312" w:cs="Times New Roman"/>
          <w:color w:val="auto"/>
          <w:sz w:val="32"/>
          <w:szCs w:val="32"/>
          <w:lang w:val="en-US" w:eastAsia="zh-CN"/>
        </w:rPr>
        <w:t>万</w:t>
      </w:r>
      <w:r>
        <w:rPr>
          <w:rFonts w:hint="eastAsia" w:ascii="仿宋_GB2312" w:hAnsi="方正大标宋简体" w:eastAsia="仿宋_GB2312" w:cs="Times New Roman"/>
          <w:color w:val="auto"/>
          <w:sz w:val="32"/>
          <w:szCs w:val="32"/>
        </w:rPr>
        <w:t>元</w:t>
      </w:r>
      <w:r>
        <w:rPr>
          <w:rFonts w:hint="eastAsia" w:ascii="仿宋_GB2312" w:hAnsi="方正大标宋简体" w:eastAsia="仿宋_GB2312" w:cs="Times New Roman"/>
          <w:color w:val="auto"/>
          <w:sz w:val="32"/>
          <w:szCs w:val="32"/>
          <w:lang w:eastAsia="zh-CN"/>
        </w:rPr>
        <w:t>，</w:t>
      </w:r>
      <w:r>
        <w:rPr>
          <w:rFonts w:hint="eastAsia" w:ascii="仿宋_GB2312" w:hAnsi="方正大标宋简体" w:eastAsia="仿宋_GB2312" w:cs="Times New Roman"/>
          <w:color w:val="auto"/>
          <w:sz w:val="32"/>
          <w:szCs w:val="32"/>
        </w:rPr>
        <w:t>政府性基金预算拨款</w:t>
      </w:r>
      <w:r>
        <w:rPr>
          <w:rFonts w:hint="eastAsia" w:ascii="仿宋_GB2312" w:hAnsi="方正大标宋简体" w:eastAsia="仿宋_GB2312" w:cs="Times New Roman"/>
          <w:color w:val="auto"/>
          <w:sz w:val="32"/>
          <w:szCs w:val="32"/>
          <w:lang w:val="en-US" w:eastAsia="zh-CN"/>
        </w:rPr>
        <w:t>0</w:t>
      </w:r>
      <w:r>
        <w:rPr>
          <w:rFonts w:hint="eastAsia" w:ascii="仿宋_GB2312" w:hAnsi="方正大标宋简体" w:eastAsia="仿宋_GB2312" w:cs="Times New Roman"/>
          <w:color w:val="auto"/>
          <w:sz w:val="32"/>
          <w:szCs w:val="32"/>
        </w:rPr>
        <w:t>万元，纳入财政专户管理的非税收入</w:t>
      </w:r>
      <w:r>
        <w:rPr>
          <w:rFonts w:hint="eastAsia" w:ascii="仿宋_GB2312" w:hAnsi="方正大标宋简体" w:eastAsia="仿宋_GB2312"/>
          <w:color w:val="auto"/>
          <w:sz w:val="32"/>
          <w:szCs w:val="32"/>
        </w:rPr>
        <w:t>拨款</w:t>
      </w:r>
      <w:r>
        <w:rPr>
          <w:rFonts w:hint="eastAsia" w:ascii="仿宋_GB2312" w:hAnsi="方正大标宋简体" w:eastAsia="仿宋_GB2312"/>
          <w:color w:val="auto"/>
          <w:sz w:val="32"/>
          <w:szCs w:val="32"/>
          <w:lang w:val="en-US" w:eastAsia="zh-CN"/>
        </w:rPr>
        <w:t>0</w:t>
      </w:r>
      <w:r>
        <w:rPr>
          <w:rFonts w:hint="eastAsia" w:ascii="仿宋_GB2312" w:hAnsi="方正大标宋简体" w:eastAsia="仿宋_GB2312"/>
          <w:color w:val="auto"/>
          <w:sz w:val="32"/>
          <w:szCs w:val="32"/>
        </w:rPr>
        <w:t>万元</w:t>
      </w:r>
      <w:r>
        <w:rPr>
          <w:rFonts w:hint="eastAsia" w:ascii="仿宋_GB2312" w:hAnsi="方正大标宋简体" w:eastAsia="仿宋_GB2312"/>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（二）基本支出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宋体" w:eastAsia="仿宋_GB2312" w:cs="Times New Roman"/>
          <w:color w:val="auto"/>
          <w:sz w:val="32"/>
          <w:szCs w:val="32"/>
          <w:lang w:val="en-US" w:eastAsia="zh-CN"/>
        </w:rPr>
      </w:pPr>
      <w:r>
        <w:rPr>
          <w:rFonts w:ascii="仿宋_GB2312" w:hAnsi="方正大标宋简体" w:eastAsia="仿宋_GB2312"/>
          <w:color w:val="auto"/>
          <w:sz w:val="32"/>
          <w:szCs w:val="32"/>
        </w:rPr>
        <w:t>202</w:t>
      </w:r>
      <w:r>
        <w:rPr>
          <w:rFonts w:hint="eastAsia" w:ascii="仿宋_GB2312" w:hAnsi="方正大标宋简体" w:eastAsia="仿宋_GB2312"/>
          <w:color w:val="auto"/>
          <w:sz w:val="32"/>
          <w:szCs w:val="32"/>
          <w:lang w:val="en-US" w:eastAsia="zh-CN"/>
        </w:rPr>
        <w:t>3</w:t>
      </w:r>
      <w:r>
        <w:rPr>
          <w:rFonts w:ascii="仿宋_GB2312" w:hAnsi="方正大标宋简体" w:eastAsia="仿宋_GB2312"/>
          <w:color w:val="auto"/>
          <w:sz w:val="32"/>
          <w:szCs w:val="32"/>
        </w:rPr>
        <w:t>年</w:t>
      </w:r>
      <w:r>
        <w:rPr>
          <w:rFonts w:hint="eastAsia" w:ascii="仿宋_GB2312" w:eastAsia="仿宋_GB2312"/>
          <w:sz w:val="32"/>
          <w:szCs w:val="32"/>
          <w:lang w:val="en-US" w:eastAsia="zh-CN"/>
        </w:rPr>
        <w:t>基</w:t>
      </w:r>
      <w:r>
        <w:rPr>
          <w:rFonts w:hint="eastAsia" w:ascii="仿宋_GB2312" w:hAnsi="方正大标宋简体" w:eastAsia="仿宋_GB2312"/>
          <w:color w:val="auto"/>
          <w:sz w:val="32"/>
          <w:szCs w:val="32"/>
        </w:rPr>
        <w:t>本支出：</w:t>
      </w:r>
      <w:r>
        <w:rPr>
          <w:rFonts w:hint="eastAsia" w:ascii="仿宋_GB2312" w:hAnsi="方正大标宋简体" w:eastAsia="仿宋_GB2312"/>
          <w:color w:val="auto"/>
          <w:sz w:val="32"/>
          <w:szCs w:val="32"/>
          <w:lang w:val="en-US" w:eastAsia="zh-CN"/>
        </w:rPr>
        <w:t>1123.29</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元，用于</w:t>
      </w:r>
      <w:r>
        <w:rPr>
          <w:rFonts w:ascii="仿宋_GB2312" w:hAnsi="宋体" w:eastAsia="仿宋_GB2312"/>
          <w:color w:val="auto"/>
          <w:sz w:val="32"/>
          <w:szCs w:val="32"/>
        </w:rPr>
        <w:t>保障单位机构正常运转、完成日常工作任务而发生的各项支出，包括用于基本工资、津贴补贴等人员经费以及办公费、印刷费、水电费、办公设备购置等日常公用经费。</w:t>
      </w:r>
      <w:r>
        <w:rPr>
          <w:rFonts w:hint="eastAsia" w:ascii="仿宋_GB2312" w:hAnsi="宋体" w:eastAsia="仿宋_GB2312"/>
          <w:color w:val="auto"/>
          <w:sz w:val="32"/>
          <w:szCs w:val="32"/>
        </w:rPr>
        <w:t>其中：工资福利支出</w:t>
      </w:r>
      <w:r>
        <w:rPr>
          <w:rFonts w:hint="eastAsia" w:ascii="仿宋_GB2312" w:hAnsi="宋体" w:eastAsia="仿宋_GB2312"/>
          <w:color w:val="auto"/>
          <w:sz w:val="32"/>
          <w:szCs w:val="32"/>
          <w:lang w:val="en-US" w:eastAsia="zh-CN"/>
        </w:rPr>
        <w:t>538.66</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元,商品和福利支出</w:t>
      </w:r>
      <w:r>
        <w:rPr>
          <w:rFonts w:hint="eastAsia" w:ascii="仿宋_GB2312" w:hAnsi="宋体" w:eastAsia="仿宋_GB2312"/>
          <w:color w:val="auto"/>
          <w:sz w:val="32"/>
          <w:szCs w:val="32"/>
          <w:lang w:val="en-US" w:eastAsia="zh-CN"/>
        </w:rPr>
        <w:t>571.90</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元,对个人和家庭补助支出</w:t>
      </w:r>
      <w:r>
        <w:rPr>
          <w:rFonts w:hint="eastAsia" w:ascii="仿宋_GB2312" w:hAnsi="宋体" w:eastAsia="仿宋_GB2312"/>
          <w:color w:val="auto"/>
          <w:sz w:val="32"/>
          <w:szCs w:val="32"/>
          <w:lang w:val="en-US" w:eastAsia="zh-CN"/>
        </w:rPr>
        <w:t>0.96</w:t>
      </w:r>
      <w:r>
        <w:rPr>
          <w:rFonts w:hint="eastAsia" w:ascii="仿宋_GB2312" w:hAnsi="方正大标宋简体" w:eastAsia="仿宋_GB2312"/>
          <w:color w:val="auto"/>
          <w:sz w:val="32"/>
          <w:szCs w:val="32"/>
        </w:rPr>
        <w:t>万</w:t>
      </w:r>
      <w:r>
        <w:rPr>
          <w:rFonts w:hint="eastAsia" w:ascii="仿宋_GB2312" w:hAnsi="宋体" w:eastAsia="仿宋_GB2312"/>
          <w:color w:val="auto"/>
          <w:sz w:val="32"/>
          <w:szCs w:val="32"/>
        </w:rPr>
        <w:t>元</w:t>
      </w:r>
      <w:r>
        <w:rPr>
          <w:rFonts w:hint="eastAsia" w:ascii="仿宋_GB2312" w:hAnsi="宋体" w:eastAsia="仿宋_GB2312"/>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决算支出“三公”经费</w:t>
      </w:r>
      <w:r>
        <w:rPr>
          <w:rFonts w:hint="eastAsia" w:ascii="仿宋_GB2312" w:hAnsi="仿宋_GB2312" w:eastAsia="仿宋_GB2312" w:cs="仿宋_GB2312"/>
          <w:sz w:val="32"/>
          <w:szCs w:val="32"/>
          <w:lang w:val="en-US" w:eastAsia="zh-CN"/>
        </w:rPr>
        <w:t>534.82</w:t>
      </w:r>
      <w:r>
        <w:rPr>
          <w:rFonts w:hint="eastAsia" w:ascii="仿宋_GB2312" w:hAnsi="仿宋_GB2312" w:eastAsia="仿宋_GB2312" w:cs="仿宋_GB2312"/>
          <w:sz w:val="32"/>
          <w:szCs w:val="32"/>
        </w:rPr>
        <w:t>万元，其中公务接待费</w:t>
      </w:r>
      <w:r>
        <w:rPr>
          <w:rFonts w:hint="eastAsia" w:ascii="仿宋_GB2312" w:hAnsi="仿宋_GB2312" w:eastAsia="仿宋_GB2312" w:cs="仿宋_GB2312"/>
          <w:sz w:val="32"/>
          <w:szCs w:val="32"/>
          <w:lang w:val="en-US" w:eastAsia="zh-CN"/>
        </w:rPr>
        <w:t>109.25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主要是在我县召开或举办的全国、全省、全市性会议或重要活动及本县召开或举办的全县性会议、重要活动的接待服务开支。公务用车购置及运行费</w:t>
      </w:r>
      <w:r>
        <w:rPr>
          <w:rFonts w:hint="eastAsia" w:ascii="仿宋_GB2312" w:hAnsi="仿宋_GB2312" w:eastAsia="仿宋_GB2312" w:cs="仿宋_GB2312"/>
          <w:sz w:val="32"/>
          <w:szCs w:val="32"/>
          <w:lang w:val="en-US" w:eastAsia="zh-CN"/>
        </w:rPr>
        <w:t>425.57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其中：公务用车运行维护费</w:t>
      </w:r>
      <w:r>
        <w:rPr>
          <w:rFonts w:hint="eastAsia" w:ascii="仿宋_GB2312" w:hAnsi="仿宋_GB2312" w:eastAsia="仿宋_GB2312" w:cs="仿宋_GB2312"/>
          <w:sz w:val="32"/>
          <w:szCs w:val="32"/>
          <w:lang w:val="en-US" w:eastAsia="zh-CN"/>
        </w:rPr>
        <w:t>425.57</w:t>
      </w:r>
      <w:r>
        <w:rPr>
          <w:rFonts w:hint="eastAsia" w:ascii="仿宋_GB2312" w:hAnsi="仿宋_GB2312" w:eastAsia="仿宋_GB2312" w:cs="仿宋_GB2312"/>
          <w:sz w:val="32"/>
          <w:szCs w:val="32"/>
        </w:rPr>
        <w:t>万元，主要是用于公务车辆维护支出。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eastAsia="黑体"/>
          <w:color w:val="auto"/>
          <w:sz w:val="32"/>
          <w:szCs w:val="32"/>
        </w:rPr>
      </w:pPr>
      <w:r>
        <w:rPr>
          <w:rFonts w:eastAsia="黑体"/>
          <w:color w:val="auto"/>
          <w:sz w:val="32"/>
          <w:szCs w:val="32"/>
        </w:rPr>
        <w:t>三、</w:t>
      </w:r>
      <w:r>
        <w:rPr>
          <w:rFonts w:hint="eastAsia" w:eastAsia="黑体"/>
          <w:color w:val="auto"/>
          <w:sz w:val="32"/>
          <w:szCs w:val="32"/>
        </w:rPr>
        <w:t>部门专项</w:t>
      </w:r>
      <w:r>
        <w:rPr>
          <w:rFonts w:eastAsia="黑体"/>
          <w:color w:val="auto"/>
          <w:sz w:val="32"/>
          <w:szCs w:val="32"/>
        </w:rPr>
        <w:t>组织实施情况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2023年邵阳县机关事务服务中心无相关开支。</w:t>
      </w:r>
    </w:p>
    <w:p>
      <w:pPr>
        <w:keepNext w:val="0"/>
        <w:keepLines w:val="0"/>
        <w:pageBreakBefore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szCs w:val="32"/>
        </w:rPr>
      </w:pPr>
      <w:r>
        <w:rPr>
          <w:rFonts w:hint="eastAsia" w:eastAsia="黑体"/>
          <w:color w:val="auto"/>
          <w:sz w:val="32"/>
          <w:szCs w:val="32"/>
        </w:rPr>
        <w:t>资产管理情况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1.建立资产管理长效机制，增强资产管理人员的责任意识，使帐务管理责任和记帐人员的责任落实到实处。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szCs w:val="32"/>
        </w:rPr>
      </w:pPr>
      <w:r>
        <w:rPr>
          <w:rFonts w:hint="eastAsia" w:ascii="Calibri" w:hAnsi="Calibri" w:eastAsia="仿宋_GB2312" w:cs="Times New Roman"/>
          <w:sz w:val="32"/>
          <w:szCs w:val="32"/>
          <w:lang w:val="en-US" w:eastAsia="zh-CN"/>
        </w:rPr>
        <w:t>2.运用信息技术进行资产管理，以计算机等现代化工具加强对资产监控，把单位的资产管理和财务管理，资产的价值管理和实物管量结合起来，及时反映单位的资金动态，资产存量和变量情况，实现由静态管理向动态管理的转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绩效评价工作情况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邵阳县机关事务服务中心</w:t>
      </w:r>
      <w:r>
        <w:rPr>
          <w:rFonts w:hint="eastAsia" w:ascii="仿宋" w:hAnsi="仿宋" w:eastAsia="仿宋"/>
          <w:sz w:val="32"/>
          <w:szCs w:val="32"/>
        </w:rPr>
        <w:t>通过加强预算收支管理，不断建立健全内部管理制度，梳理内部管理流程，部门整体支出管理情况得到提升。根据《部门整体支出绩效评价指标》评分，得分</w:t>
      </w:r>
      <w:r>
        <w:rPr>
          <w:rFonts w:hint="eastAsia" w:ascii="仿宋" w:hAnsi="仿宋" w:eastAsia="仿宋"/>
          <w:color w:val="auto"/>
          <w:sz w:val="32"/>
          <w:szCs w:val="32"/>
        </w:rPr>
        <w:t>9</w:t>
      </w:r>
      <w:r>
        <w:rPr>
          <w:rFonts w:hint="eastAsia" w:ascii="仿宋" w:hAnsi="仿宋" w:eastAsia="仿宋"/>
          <w:color w:val="auto"/>
          <w:sz w:val="32"/>
          <w:szCs w:val="32"/>
          <w:lang w:val="en-US" w:eastAsia="zh-CN"/>
        </w:rPr>
        <w:t>6</w:t>
      </w:r>
      <w:r>
        <w:rPr>
          <w:rFonts w:hint="eastAsia" w:ascii="仿宋" w:hAnsi="仿宋" w:eastAsia="仿宋"/>
          <w:sz w:val="32"/>
          <w:szCs w:val="32"/>
        </w:rPr>
        <w:t>分。</w:t>
      </w:r>
    </w:p>
    <w:p>
      <w:pPr>
        <w:keepNext w:val="0"/>
        <w:keepLines w:val="0"/>
        <w:pageBreakBefore w:val="0"/>
        <w:shd w:val="clear" w:color="auto" w:fill="FFFFFF"/>
        <w:kinsoku/>
        <w:wordWrap/>
        <w:overflowPunct/>
        <w:topLinePunct w:val="0"/>
        <w:autoSpaceDE/>
        <w:autoSpaceDN/>
        <w:bidi w:val="0"/>
        <w:spacing w:line="600" w:lineRule="exact"/>
        <w:ind w:firstLine="720"/>
        <w:textAlignment w:val="auto"/>
        <w:rPr>
          <w:rFonts w:hint="eastAsia" w:ascii="宋体" w:hAnsi="宋体" w:cs="宋体"/>
          <w:color w:val="000000"/>
          <w:kern w:val="0"/>
          <w:szCs w:val="21"/>
        </w:rPr>
      </w:pPr>
      <w:r>
        <w:rPr>
          <w:rFonts w:hint="eastAsia" w:eastAsia="黑体"/>
          <w:sz w:val="32"/>
          <w:szCs w:val="32"/>
        </w:rPr>
        <w:t>六、综合评价情况及评价结论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ascii="Calibri" w:hAnsi="Calibri" w:eastAsia="仿宋_GB2312" w:cs="Times New Roman"/>
          <w:sz w:val="32"/>
          <w:szCs w:val="32"/>
          <w:lang w:val="en-US" w:eastAsia="zh-CN"/>
        </w:rPr>
        <w:t>根据《部门整体支出绩效评价指标》规定的内容，经综合评价，202</w:t>
      </w:r>
      <w:r>
        <w:rPr>
          <w:rFonts w:hint="eastAsia" w:eastAsia="仿宋_GB2312" w:cs="Times New Roman"/>
          <w:sz w:val="32"/>
          <w:szCs w:val="32"/>
          <w:lang w:val="en-US" w:eastAsia="zh-CN"/>
        </w:rPr>
        <w:t>3</w:t>
      </w:r>
      <w:r>
        <w:rPr>
          <w:rFonts w:hint="eastAsia" w:ascii="Calibri" w:hAnsi="Calibri" w:eastAsia="仿宋_GB2312" w:cs="Times New Roman"/>
          <w:sz w:val="32"/>
          <w:szCs w:val="32"/>
          <w:lang w:val="en-US" w:eastAsia="zh-CN"/>
        </w:rPr>
        <w:t>年度整体支出绩效评为“良好”。</w:t>
      </w:r>
    </w:p>
    <w:p>
      <w:pPr>
        <w:keepNext w:val="0"/>
        <w:keepLines w:val="0"/>
        <w:pageBreakBefore w:val="0"/>
        <w:shd w:val="clear" w:color="auto" w:fill="FFFFFF"/>
        <w:kinsoku/>
        <w:wordWrap/>
        <w:overflowPunct/>
        <w:topLinePunct w:val="0"/>
        <w:autoSpaceDE/>
        <w:autoSpaceDN/>
        <w:bidi w:val="0"/>
        <w:spacing w:line="600" w:lineRule="exact"/>
        <w:ind w:firstLine="720"/>
        <w:textAlignment w:val="auto"/>
        <w:rPr>
          <w:rFonts w:ascii="宋体" w:hAnsi="宋体" w:cs="宋体"/>
          <w:color w:val="000000"/>
          <w:kern w:val="0"/>
          <w:szCs w:val="21"/>
        </w:rPr>
      </w:pPr>
      <w:r>
        <w:rPr>
          <w:rFonts w:hint="eastAsia" w:eastAsia="黑体"/>
          <w:sz w:val="32"/>
          <w:szCs w:val="32"/>
        </w:rPr>
        <w:t>七、部门整体支出主要</w:t>
      </w:r>
      <w:r>
        <w:rPr>
          <w:rFonts w:eastAsia="黑体"/>
          <w:sz w:val="32"/>
          <w:szCs w:val="32"/>
        </w:rPr>
        <w:t>绩效</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从部门整体支出绩效评价结果来看，单位预算编制科学，民主理财，重大财务事项经由</w:t>
      </w:r>
      <w:r>
        <w:rPr>
          <w:rFonts w:hint="eastAsia" w:eastAsia="仿宋_GB2312" w:cs="Times New Roman"/>
          <w:sz w:val="32"/>
          <w:szCs w:val="32"/>
          <w:lang w:val="en-US" w:eastAsia="zh-CN"/>
        </w:rPr>
        <w:t>内控小组</w:t>
      </w:r>
      <w:r>
        <w:rPr>
          <w:rFonts w:hint="eastAsia" w:ascii="Calibri" w:hAnsi="Calibri" w:eastAsia="仿宋_GB2312" w:cs="Times New Roman"/>
          <w:sz w:val="32"/>
          <w:szCs w:val="32"/>
          <w:lang w:val="en-US" w:eastAsia="zh-CN"/>
        </w:rPr>
        <w:t>研究决策，财务制度健全。</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s="Times New Roman"/>
          <w:sz w:val="32"/>
          <w:szCs w:val="32"/>
          <w:lang w:val="en-US" w:eastAsia="zh-CN"/>
        </w:rPr>
      </w:pPr>
      <w:r>
        <w:rPr>
          <w:rFonts w:hint="eastAsia" w:ascii="Calibri" w:hAnsi="Calibri" w:eastAsia="仿宋_GB2312" w:cs="Times New Roman"/>
          <w:sz w:val="32"/>
          <w:szCs w:val="32"/>
          <w:lang w:val="en-US" w:eastAsia="zh-CN"/>
        </w:rPr>
        <w:t>进一步规范财务管理制度，狠抓“收入关”</w:t>
      </w:r>
      <w:r>
        <w:rPr>
          <w:rFonts w:hint="eastAsia" w:eastAsia="仿宋_GB2312" w:cs="Times New Roman"/>
          <w:sz w:val="32"/>
          <w:szCs w:val="32"/>
          <w:lang w:val="en-US"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进一步规范资金使用，把好“支出关”。单位经费开支按预算和单位财务管理制度执行，基本支出做到不铺张浪费，开源节流，</w:t>
      </w:r>
      <w:r>
        <w:rPr>
          <w:rFonts w:hint="eastAsia" w:eastAsia="仿宋_GB2312" w:cs="Times New Roman"/>
          <w:sz w:val="32"/>
          <w:szCs w:val="32"/>
          <w:lang w:val="en-US" w:eastAsia="zh-CN"/>
        </w:rPr>
        <w:t>把</w:t>
      </w:r>
      <w:r>
        <w:rPr>
          <w:rFonts w:hint="eastAsia" w:ascii="Calibri" w:hAnsi="Calibri" w:eastAsia="仿宋_GB2312" w:cs="Times New Roman"/>
          <w:sz w:val="32"/>
          <w:szCs w:val="32"/>
          <w:lang w:val="en-US" w:eastAsia="zh-CN"/>
        </w:rPr>
        <w:t>廉政建设</w:t>
      </w:r>
      <w:r>
        <w:rPr>
          <w:rFonts w:hint="eastAsia" w:eastAsia="仿宋_GB2312" w:cs="Times New Roman"/>
          <w:sz w:val="32"/>
          <w:szCs w:val="32"/>
          <w:lang w:val="en-US" w:eastAsia="zh-CN"/>
        </w:rPr>
        <w:t>落实到位</w:t>
      </w:r>
      <w:r>
        <w:rPr>
          <w:rFonts w:hint="eastAsia" w:ascii="Calibri" w:hAnsi="Calibri" w:eastAsia="仿宋_GB2312" w:cs="Times New Roman"/>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sz w:val="32"/>
          <w:szCs w:val="32"/>
          <w:lang w:val="en-US" w:eastAsia="zh-CN"/>
        </w:rPr>
      </w:pPr>
      <w:r>
        <w:rPr>
          <w:rFonts w:hint="eastAsia" w:ascii="Calibri" w:hAnsi="Calibri" w:eastAsia="仿宋_GB2312" w:cs="Times New Roman"/>
          <w:sz w:val="32"/>
          <w:szCs w:val="32"/>
          <w:lang w:val="en-US" w:eastAsia="zh-CN"/>
        </w:rPr>
        <w:t>3、进一步推进预决算等重要信息的公开透明。</w:t>
      </w:r>
      <w:r>
        <w:rPr>
          <w:rFonts w:hint="eastAsia" w:eastAsia="仿宋_GB2312" w:cs="Times New Roman"/>
          <w:sz w:val="32"/>
          <w:szCs w:val="32"/>
          <w:lang w:val="en-US" w:eastAsia="zh-CN"/>
        </w:rPr>
        <w:t>及时</w:t>
      </w:r>
      <w:r>
        <w:rPr>
          <w:rFonts w:hint="eastAsia" w:ascii="Calibri" w:hAnsi="Calibri" w:eastAsia="仿宋_GB2312" w:cs="Times New Roman"/>
          <w:sz w:val="32"/>
          <w:szCs w:val="32"/>
          <w:lang w:val="en-US" w:eastAsia="zh-CN"/>
        </w:rPr>
        <w:t>公开部门预算信息及单位整体财务情况，做到主动接受社会公众的监督。</w:t>
      </w:r>
    </w:p>
    <w:p>
      <w:pPr>
        <w:keepNext w:val="0"/>
        <w:keepLines w:val="0"/>
        <w:pageBreakBefore w:val="0"/>
        <w:shd w:val="clear" w:color="auto" w:fill="FFFFFF"/>
        <w:kinsoku/>
        <w:wordWrap/>
        <w:overflowPunct/>
        <w:topLinePunct w:val="0"/>
        <w:autoSpaceDE/>
        <w:autoSpaceDN/>
        <w:bidi w:val="0"/>
        <w:spacing w:line="600" w:lineRule="exact"/>
        <w:ind w:firstLine="720"/>
        <w:textAlignment w:val="auto"/>
        <w:rPr>
          <w:rFonts w:hint="eastAsia" w:eastAsia="黑体" w:cs="Times New Roman"/>
          <w:sz w:val="32"/>
          <w:szCs w:val="32"/>
          <w:lang w:val="en-US" w:eastAsia="zh-CN"/>
        </w:rPr>
      </w:pPr>
      <w:r>
        <w:rPr>
          <w:rFonts w:hint="eastAsia" w:eastAsia="黑体" w:cs="Times New Roman"/>
          <w:sz w:val="32"/>
          <w:szCs w:val="32"/>
          <w:lang w:val="en-US" w:eastAsia="zh-CN"/>
        </w:rPr>
        <w:t>八、存在的问题</w:t>
      </w:r>
    </w:p>
    <w:p>
      <w:pPr>
        <w:pStyle w:val="5"/>
        <w:keepNext w:val="0"/>
        <w:keepLines w:val="0"/>
        <w:pageBreakBefore w:val="0"/>
        <w:shd w:val="clear" w:color="auto" w:fill="FFFFFF"/>
        <w:kinsoku/>
        <w:wordWrap/>
        <w:overflowPunct/>
        <w:topLinePunct w:val="0"/>
        <w:autoSpaceDE/>
        <w:autoSpaceDN/>
        <w:bidi w:val="0"/>
        <w:spacing w:before="0" w:beforeAutospacing="0" w:after="0" w:afterAutospacing="0" w:line="600" w:lineRule="exact"/>
        <w:ind w:left="160" w:leftChars="76" w:firstLine="476" w:firstLineChars="149"/>
        <w:jc w:val="both"/>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财务基础工作需进一步加强</w:t>
      </w:r>
      <w:r>
        <w:rPr>
          <w:rFonts w:hint="eastAsia" w:ascii="仿宋" w:hAnsi="仿宋" w:eastAsia="仿宋"/>
          <w:color w:val="000000"/>
          <w:sz w:val="32"/>
          <w:szCs w:val="32"/>
          <w:lang w:eastAsia="zh-CN"/>
        </w:rPr>
        <w:t>，</w:t>
      </w:r>
      <w:r>
        <w:rPr>
          <w:rFonts w:hint="eastAsia" w:ascii="仿宋" w:hAnsi="仿宋" w:eastAsia="仿宋"/>
          <w:color w:val="000000"/>
          <w:sz w:val="32"/>
          <w:szCs w:val="32"/>
        </w:rPr>
        <w:t>资产管理需完善，单位未定期进行固定资产定期清查</w:t>
      </w:r>
      <w:r>
        <w:rPr>
          <w:rFonts w:hint="eastAsia" w:ascii="仿宋" w:hAnsi="仿宋" w:eastAsia="仿宋"/>
          <w:color w:val="00000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600" w:lineRule="exact"/>
        <w:ind w:right="0" w:firstLine="640" w:firstLineChars="200"/>
        <w:jc w:val="both"/>
        <w:textAlignment w:val="auto"/>
        <w:rPr>
          <w:rFonts w:hint="eastAsia" w:ascii="仿宋" w:hAnsi="仿宋" w:eastAsia="仿宋"/>
          <w:color w:val="000000"/>
          <w:sz w:val="32"/>
          <w:szCs w:val="32"/>
          <w:lang w:eastAsia="zh-CN"/>
        </w:rPr>
      </w:pPr>
      <w:r>
        <w:rPr>
          <w:rFonts w:hint="eastAsia" w:ascii="仿宋_GB2312" w:hAnsi="方正大标宋简体" w:eastAsia="仿宋_GB2312" w:cs="Times New Roman"/>
          <w:b w:val="0"/>
          <w:color w:val="auto"/>
          <w:kern w:val="2"/>
          <w:sz w:val="32"/>
          <w:szCs w:val="32"/>
          <w:lang w:val="en-US" w:eastAsia="zh-CN" w:bidi="ar-SA"/>
        </w:rPr>
        <w:t>2、财务人员培训有待进一步加强。</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1、进一步完善、明确和细化各项费用支出管理制度，严格控制各项费用。加强与财政的沟通协调，提升财政资金使用效率。</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2、加强对本单位资产的管理力度，对本单位的资产开展清查，对已超过使用年限不能继续使用的资产及时进行处置。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both"/>
        <w:textAlignment w:val="auto"/>
        <w:rPr>
          <w:rFonts w:hint="eastAsia"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3、加强培训，提升财务人员业务能力。</w:t>
      </w:r>
    </w:p>
    <w:p>
      <w:pPr>
        <w:pStyle w:val="2"/>
        <w:keepNext w:val="0"/>
        <w:keepLines w:val="0"/>
        <w:pageBreakBefore w:val="0"/>
        <w:kinsoku/>
        <w:wordWrap/>
        <w:overflowPunct/>
        <w:topLinePunct w:val="0"/>
        <w:autoSpaceDE/>
        <w:autoSpaceDN/>
        <w:bidi w:val="0"/>
        <w:spacing w:line="600" w:lineRule="exact"/>
        <w:textAlignment w:val="auto"/>
        <w:rPr>
          <w:rFonts w:hint="eastAsia" w:eastAsia="仿宋_GB2312"/>
          <w:sz w:val="32"/>
          <w:szCs w:val="32"/>
          <w:lang w:val="en-US" w:eastAsia="zh-CN"/>
        </w:rPr>
      </w:pPr>
    </w:p>
    <w:p>
      <w:pPr>
        <w:pStyle w:val="2"/>
        <w:keepNext w:val="0"/>
        <w:keepLines w:val="0"/>
        <w:pageBreakBefore w:val="0"/>
        <w:kinsoku/>
        <w:wordWrap/>
        <w:overflowPunct/>
        <w:topLinePunct w:val="0"/>
        <w:autoSpaceDE/>
        <w:autoSpaceDN/>
        <w:bidi w:val="0"/>
        <w:spacing w:line="600" w:lineRule="exact"/>
        <w:textAlignment w:val="auto"/>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rPr>
          <w:rFonts w:hint="eastAsia" w:eastAsia="仿宋_GB2312"/>
          <w:sz w:val="32"/>
          <w:szCs w:val="32"/>
          <w:lang w:val="en-US" w:eastAsia="zh-CN"/>
        </w:rPr>
      </w:pPr>
    </w:p>
    <w:p>
      <w:pPr>
        <w:pStyle w:val="2"/>
        <w:ind w:left="0" w:leftChars="0" w:firstLine="0" w:firstLineChars="0"/>
        <w:rPr>
          <w:rFonts w:hint="eastAsia" w:eastAsia="仿宋_GB2312"/>
          <w:sz w:val="32"/>
          <w:szCs w:val="32"/>
          <w:lang w:val="en-US" w:eastAsia="zh-CN"/>
        </w:rPr>
      </w:pPr>
    </w:p>
    <w:p>
      <w:pPr>
        <w:pStyle w:val="2"/>
        <w:rPr>
          <w:rFonts w:hint="eastAsia" w:eastAsia="仿宋_GB2312"/>
          <w:sz w:val="32"/>
          <w:szCs w:val="32"/>
          <w:lang w:val="en-US" w:eastAsia="zh-CN"/>
        </w:rPr>
      </w:pPr>
    </w:p>
    <w:p>
      <w:pPr>
        <w:pStyle w:val="2"/>
        <w:ind w:left="0" w:leftChars="0" w:firstLine="0" w:firstLineChars="0"/>
        <w:rPr>
          <w:rFonts w:hint="eastAsia" w:eastAsia="仿宋_GB2312"/>
          <w:sz w:val="32"/>
          <w:szCs w:val="32"/>
          <w:lang w:val="en-US" w:eastAsia="zh-CN"/>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left"/>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814"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财政供养人员</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6年决算编制数为准。编制数：机构编制部门核定批复的部门（单位）的人员编制数。</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p>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top"/>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top"/>
          </w:tcPr>
          <w:p>
            <w:pPr>
              <w:widowControl/>
              <w:jc w:val="left"/>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top"/>
          </w:tcPr>
          <w:p>
            <w:pPr>
              <w:widowControl/>
              <w:jc w:val="left"/>
              <w:rPr>
                <w:rFonts w:hint="eastAsia" w:ascii="仿宋_GB2312" w:hAnsi="宋体" w:eastAsia="仿宋_GB2312" w:cs="宋体"/>
                <w:kern w:val="0"/>
                <w:sz w:val="20"/>
                <w:szCs w:val="20"/>
              </w:rPr>
            </w:pPr>
          </w:p>
        </w:tc>
        <w:tc>
          <w:tcPr>
            <w:tcW w:w="429" w:type="dxa"/>
            <w:vMerge w:val="continue"/>
            <w:noWrap w:val="0"/>
            <w:vAlign w:val="top"/>
          </w:tcPr>
          <w:p>
            <w:pPr>
              <w:widowControl/>
              <w:jc w:val="left"/>
              <w:rPr>
                <w:rFonts w:hint="eastAsia" w:ascii="仿宋_GB2312" w:hAnsi="宋体" w:eastAsia="仿宋_GB2312" w:cs="宋体"/>
                <w:kern w:val="0"/>
                <w:sz w:val="20"/>
                <w:szCs w:val="20"/>
              </w:rPr>
            </w:pPr>
          </w:p>
        </w:tc>
        <w:tc>
          <w:tcPr>
            <w:tcW w:w="567" w:type="dxa"/>
            <w:vMerge w:val="continue"/>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noWrap w:val="0"/>
            <w:textDirection w:val="tbRlV"/>
            <w:vAlign w:val="top"/>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widowControl/>
              <w:jc w:val="left"/>
              <w:rPr>
                <w:rFonts w:hint="eastAsia" w:ascii="仿宋_GB2312" w:hAnsi="宋体" w:eastAsia="仿宋_GB2312" w:cs="宋体"/>
                <w:kern w:val="0"/>
                <w:sz w:val="20"/>
                <w:szCs w:val="20"/>
              </w:rPr>
            </w:pPr>
          </w:p>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预算调整率=0，计2分；</w:t>
            </w:r>
          </w:p>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0-20%（含），计1分；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大于20%不得分。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noWrap w:val="0"/>
            <w:vAlign w:val="top"/>
          </w:tcPr>
          <w:p>
            <w:pPr>
              <w:rPr>
                <w:rFonts w:hint="eastAsia"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autoSpaceDN w:val="0"/>
              <w:jc w:val="center"/>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hint="eastAsia" w:ascii="仿宋_GB2312" w:hAnsi="宋体" w:eastAsia="仿宋_GB2312" w:cs="宋体"/>
                <w:kern w:val="0"/>
                <w:sz w:val="20"/>
                <w:szCs w:val="20"/>
              </w:rPr>
            </w:pP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hint="eastAsia" w:ascii="仿宋_GB2312" w:hAnsi="宋体" w:eastAsia="仿宋_GB2312" w:cs="宋体"/>
                <w:kern w:val="0"/>
                <w:sz w:val="20"/>
                <w:szCs w:val="20"/>
              </w:rPr>
            </w:pPr>
          </w:p>
        </w:tc>
        <w:tc>
          <w:tcPr>
            <w:tcW w:w="3472" w:type="dxa"/>
            <w:noWrap w:val="0"/>
            <w:vAlign w:val="center"/>
          </w:tcPr>
          <w:p>
            <w:pPr>
              <w:autoSpaceDN w:val="0"/>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814" w:type="dxa"/>
            <w:tcBorders>
              <w:bottom w:val="single" w:color="auto" w:sz="4" w:space="0"/>
            </w:tcBorders>
            <w:noWrap w:val="0"/>
            <w:vAlign w:val="top"/>
          </w:tcPr>
          <w:p>
            <w:pPr>
              <w:widowControl/>
              <w:jc w:val="center"/>
              <w:rPr>
                <w:rFonts w:hint="eastAsia" w:ascii="仿宋_GB2312" w:hAnsi="宋体" w:eastAsia="仿宋_GB2312" w:cs="宋体"/>
                <w:kern w:val="0"/>
                <w:sz w:val="20"/>
                <w:szCs w:val="20"/>
                <w:lang w:val="en-US"/>
              </w:rPr>
            </w:pPr>
            <w:r>
              <w:rPr>
                <w:rFonts w:hint="eastAsia" w:ascii="仿宋_GB2312" w:hAnsi="宋体" w:eastAsia="仿宋_GB2312" w:cs="宋体"/>
                <w:kern w:val="0"/>
                <w:sz w:val="20"/>
                <w:szCs w:val="20"/>
                <w:lang w:val="en-US" w:eastAsia="zh-CN"/>
              </w:rPr>
              <w:t>2</w:t>
            </w:r>
          </w:p>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right w:val="single" w:color="auto" w:sz="4" w:space="0"/>
            </w:tcBorders>
            <w:noWrap w:val="0"/>
            <w:vAlign w:val="top"/>
          </w:tcPr>
          <w:p>
            <w:pP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top"/>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top"/>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noWrap w:val="0"/>
            <w:vAlign w:val="top"/>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②会计人员继续教育，1分；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14" w:type="dxa"/>
            <w:tcBorders>
              <w:top w:val="single" w:color="auto" w:sz="4" w:space="0"/>
            </w:tcBorders>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w:t>
            </w:r>
            <w:r>
              <w:rPr>
                <w:rFonts w:hint="eastAsia" w:ascii="仿宋_GB2312" w:hAnsi="宋体" w:eastAsia="仿宋_GB2312" w:cs="宋体"/>
                <w:kern w:val="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851"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noWrap w:val="0"/>
            <w:vAlign w:val="top"/>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noWrap w:val="0"/>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814" w:type="dxa"/>
            <w:noWrap w:val="0"/>
            <w:vAlign w:val="top"/>
          </w:tcPr>
          <w:p>
            <w:pPr>
              <w:widowControl/>
              <w:jc w:val="center"/>
              <w:rPr>
                <w:rFonts w:ascii="宋体" w:hAnsi="宋体" w:cs="宋体"/>
                <w:kern w:val="0"/>
                <w:sz w:val="24"/>
              </w:rPr>
            </w:pPr>
            <w:r>
              <w:rPr>
                <w:rFonts w:hint="eastAsia"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814"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top"/>
          </w:tcPr>
          <w:p>
            <w:pPr>
              <w:widowControl/>
              <w:jc w:val="left"/>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rPr>
                <w:rFonts w:hint="eastAsia" w:ascii="仿宋_GB2312" w:hAnsi="仿宋" w:eastAsia="仿宋_GB2312" w:cs="仿宋"/>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p>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按时报送2016年行政事业单位资产报表的，每延迟一天，扣1分，扣完为止。</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top"/>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top"/>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《邵阳县财政局关于报送2018年县直部门财政项目预算绩效目标的通知》（邵财绩〔2016〕6号）</w:t>
            </w:r>
          </w:p>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top"/>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开展2018年度专项资金绩效自评的，2分，每少一个专项资金的自评扣1分，扣完为止；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开展2018年度已完工项目绩效自评的，2分，每少一个项目扣1分，扣完为止；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开展2018年度部门整体支出绩效自评的，2分；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noWrap w:val="0"/>
            <w:vAlign w:val="center"/>
          </w:tcPr>
          <w:p>
            <w:pP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1.《邵阳县财政局关于做好2018年度部门整体支出绩效自评工作的通知》（邵财绩〔2018〕5号）</w:t>
            </w:r>
          </w:p>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top"/>
          </w:tcPr>
          <w:p>
            <w:pPr>
              <w:jc w:val="left"/>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rPr>
                <w:rFonts w:hint="eastAsia" w:ascii="仿宋" w:hAnsi="仿宋" w:eastAsia="仿宋" w:cs="宋体"/>
                <w:sz w:val="20"/>
                <w:szCs w:val="20"/>
              </w:rPr>
            </w:pPr>
            <w:r>
              <w:rPr>
                <w:rFonts w:hint="eastAsia" w:ascii="仿宋_GB2312" w:hAnsi="宋体" w:eastAsia="仿宋_GB2312" w:cs="宋体"/>
                <w:kern w:val="0"/>
                <w:sz w:val="20"/>
                <w:szCs w:val="20"/>
              </w:rPr>
              <w:t>根据2018年度财政重点绩效评价和单位自评情况，向财政报送整改结果并整改到位的，2分，否则不得分。</w:t>
            </w:r>
          </w:p>
        </w:tc>
        <w:tc>
          <w:tcPr>
            <w:tcW w:w="3472" w:type="dxa"/>
            <w:noWrap w:val="0"/>
            <w:vAlign w:val="center"/>
          </w:tcPr>
          <w:p>
            <w:pPr>
              <w:rPr>
                <w:rFonts w:hint="eastAsia" w:ascii="仿宋_GB2312" w:hAnsi="宋体" w:eastAsia="仿宋_GB2312" w:cs="宋体"/>
                <w:kern w:val="0"/>
                <w:sz w:val="20"/>
                <w:szCs w:val="20"/>
              </w:rPr>
            </w:pP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top"/>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top"/>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top"/>
          </w:tcPr>
          <w:p>
            <w:pPr>
              <w:widowControl/>
              <w:jc w:val="center"/>
              <w:rPr>
                <w:rFonts w:hint="eastAsia" w:ascii="仿宋_GB2312" w:hAnsi="宋体" w:eastAsia="仿宋_GB2312" w:cs="宋体"/>
                <w:kern w:val="0"/>
                <w:sz w:val="20"/>
                <w:szCs w:val="20"/>
              </w:rPr>
            </w:pPr>
          </w:p>
        </w:tc>
        <w:tc>
          <w:tcPr>
            <w:tcW w:w="851"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top"/>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814" w:type="dxa"/>
            <w:noWrap w:val="0"/>
            <w:vAlign w:val="top"/>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此三项指标可根据部门实际并结合2018年度部门整体支出绩效目标设立情况有选择的进行评价。</w:t>
            </w:r>
          </w:p>
        </w:tc>
        <w:tc>
          <w:tcPr>
            <w:tcW w:w="814"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814"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left"/>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814" w:type="dxa"/>
            <w:vMerge w:val="continue"/>
            <w:noWrap w:val="0"/>
            <w:vAlign w:val="center"/>
          </w:tcPr>
          <w:p>
            <w:pPr>
              <w:widowControl/>
              <w:jc w:val="center"/>
              <w:rPr>
                <w:rFonts w:hint="eastAsia"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top"/>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top"/>
          </w:tcPr>
          <w:p>
            <w:pPr>
              <w:widowControl/>
              <w:jc w:val="left"/>
              <w:rPr>
                <w:rFonts w:hint="eastAsia" w:ascii="仿宋_GB2312" w:hAnsi="宋体" w:eastAsia="仿宋_GB2312" w:cs="宋体"/>
                <w:kern w:val="0"/>
                <w:sz w:val="20"/>
                <w:szCs w:val="20"/>
              </w:rPr>
            </w:pPr>
          </w:p>
        </w:tc>
        <w:tc>
          <w:tcPr>
            <w:tcW w:w="851"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814" w:type="dxa"/>
            <w:noWrap w:val="0"/>
            <w:vAlign w:val="top"/>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rPr>
                <w:rFonts w:hint="eastAsia" w:ascii="仿宋_GB2312" w:hAnsi="宋体" w:eastAsia="仿宋_GB2312" w:cs="宋体"/>
                <w:kern w:val="0"/>
                <w:sz w:val="20"/>
                <w:szCs w:val="20"/>
              </w:rPr>
            </w:pPr>
          </w:p>
        </w:tc>
        <w:tc>
          <w:tcPr>
            <w:tcW w:w="814" w:type="dxa"/>
            <w:noWrap w:val="0"/>
            <w:vAlign w:val="top"/>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96</w:t>
            </w:r>
          </w:p>
        </w:tc>
      </w:tr>
    </w:tbl>
    <w:p>
      <w:pPr>
        <w:pStyle w:val="2"/>
        <w:ind w:left="0" w:leftChars="0" w:firstLine="0" w:firstLineChars="0"/>
        <w:rPr>
          <w:rFonts w:hint="default" w:eastAsia="仿宋_GB2312"/>
          <w:sz w:val="32"/>
          <w:szCs w:val="32"/>
          <w:lang w:val="en-US" w:eastAsia="zh-CN"/>
        </w:rPr>
      </w:pPr>
    </w:p>
    <w:p>
      <w:pPr>
        <w:adjustRightInd w:val="0"/>
        <w:ind w:right="641"/>
        <w:rPr>
          <w:rFonts w:hint="eastAsia" w:ascii="仿宋_GB2312" w:hAnsi="宋体" w:eastAsia="仿宋_GB2312" w:cs="宋体"/>
          <w:sz w:val="30"/>
          <w:szCs w:val="30"/>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rPr>
          <w:rFonts w:hint="eastAsia" w:ascii="黑体" w:hAnsi="黑体" w:eastAsia="黑体" w:cs="黑体"/>
          <w:sz w:val="44"/>
          <w:szCs w:val="44"/>
        </w:rPr>
      </w:pPr>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EAFD9"/>
    <w:multiLevelType w:val="singleLevel"/>
    <w:tmpl w:val="819EAFD9"/>
    <w:lvl w:ilvl="0" w:tentative="0">
      <w:start w:val="4"/>
      <w:numFmt w:val="chineseCounting"/>
      <w:suff w:val="nothing"/>
      <w:lvlText w:val="%1、"/>
      <w:lvlJc w:val="left"/>
      <w:rPr>
        <w:rFonts w:hint="eastAsia"/>
      </w:rPr>
    </w:lvl>
  </w:abstractNum>
  <w:abstractNum w:abstractNumId="1">
    <w:nsid w:val="48676239"/>
    <w:multiLevelType w:val="singleLevel"/>
    <w:tmpl w:val="4867623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zMTBiNTliMjlmZWNkNmI4YTdmNTRkN2VkMmNkY2EifQ=="/>
    <w:docVar w:name="KSO_WPS_MARK_KEY" w:val="05801fef-e720-466d-a3af-7fd9c1eee132"/>
  </w:docVars>
  <w:rsids>
    <w:rsidRoot w:val="1D820451"/>
    <w:rsid w:val="007A6FF6"/>
    <w:rsid w:val="0A8C7FED"/>
    <w:rsid w:val="0D2405F8"/>
    <w:rsid w:val="0E680847"/>
    <w:rsid w:val="1158389E"/>
    <w:rsid w:val="148747E3"/>
    <w:rsid w:val="14AA1AB7"/>
    <w:rsid w:val="1B9D22E8"/>
    <w:rsid w:val="1EF02DBA"/>
    <w:rsid w:val="23A03115"/>
    <w:rsid w:val="2FC53494"/>
    <w:rsid w:val="317E6003"/>
    <w:rsid w:val="334B275B"/>
    <w:rsid w:val="3510048D"/>
    <w:rsid w:val="35C11DC1"/>
    <w:rsid w:val="37884128"/>
    <w:rsid w:val="405E00F2"/>
    <w:rsid w:val="446F7A2D"/>
    <w:rsid w:val="4D0644AC"/>
    <w:rsid w:val="5041186F"/>
    <w:rsid w:val="5440136E"/>
    <w:rsid w:val="5D293929"/>
    <w:rsid w:val="5FA97C6A"/>
    <w:rsid w:val="617B0ED4"/>
    <w:rsid w:val="6BF2752E"/>
    <w:rsid w:val="7079176C"/>
    <w:rsid w:val="710F6B07"/>
    <w:rsid w:val="79B80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note text"/>
    <w:basedOn w:val="1"/>
    <w:qFormat/>
    <w:uiPriority w:val="0"/>
    <w:pPr>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4947</Words>
  <Characters>5236</Characters>
  <Lines>0</Lines>
  <Paragraphs>0</Paragraphs>
  <TotalTime>86</TotalTime>
  <ScaleCrop>false</ScaleCrop>
  <LinksUpToDate>false</LinksUpToDate>
  <CharactersWithSpaces>5421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2022-02-22T02:08:00Z</dcterms:created>
  <dc:creator>Administrator</dc:creator>
  <cp:lastModifiedBy>Administrator</cp:lastModifiedBy>
  <cp:lastPrinted>2022-05-05T07:11:00Z</cp:lastPrinted>
  <dcterms:modified xsi:type="dcterms:W3CDTF">2024-11-22T09:48:45Z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E55A9A47B8D4450AA28144A6ED304AB8</vt:lpwstr>
  </property>
  <property fmtid="{D5CDD505-2E9C-101B-9397-08002B2CF9AE}" pid="4" name="commondata">
    <vt:lpwstr>eyJoZGlkIjoiN2FjMThhYWMwMmM3YTYxMGZhOTVlMmJhYjE1N2MyMDMifQ==</vt:lpwstr>
  </property>
</Properties>
</file>