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11D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6E65A2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6F4E10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5A12B9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5061D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33F711E">
      <w:pPr>
        <w:spacing w:line="560" w:lineRule="exact"/>
        <w:jc w:val="both"/>
        <w:rPr>
          <w:rFonts w:eastAsia="仿宋_GB2312"/>
          <w:sz w:val="32"/>
          <w:szCs w:val="32"/>
        </w:rPr>
      </w:pPr>
    </w:p>
    <w:p w14:paraId="4E7E0870">
      <w:pPr>
        <w:spacing w:line="560" w:lineRule="exact"/>
        <w:jc w:val="center"/>
        <w:rPr>
          <w:rFonts w:eastAsia="仿宋_GB2312"/>
          <w:sz w:val="32"/>
          <w:szCs w:val="32"/>
        </w:rPr>
      </w:pPr>
      <w:r>
        <w:rPr>
          <w:rFonts w:hint="eastAsia" w:eastAsia="仿宋_GB2312"/>
          <w:sz w:val="32"/>
          <w:szCs w:val="32"/>
        </w:rPr>
        <w:t>邵</w:t>
      </w:r>
      <w:r>
        <w:rPr>
          <w:rFonts w:eastAsia="仿宋_GB2312"/>
          <w:sz w:val="32"/>
          <w:szCs w:val="32"/>
        </w:rPr>
        <w:t>财</w:t>
      </w:r>
      <w:r>
        <w:rPr>
          <w:rFonts w:hint="eastAsia" w:eastAsia="仿宋_GB2312"/>
          <w:sz w:val="32"/>
          <w:szCs w:val="32"/>
        </w:rPr>
        <w:t>绩</w:t>
      </w:r>
      <w:r>
        <w:rPr>
          <w:rFonts w:eastAsia="仿宋_GB2312"/>
          <w:sz w:val="32"/>
          <w:szCs w:val="32"/>
        </w:rPr>
        <w:t>〔</w:t>
      </w: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4</w:t>
      </w:r>
      <w:r>
        <w:rPr>
          <w:rFonts w:eastAsia="仿宋_GB2312"/>
          <w:sz w:val="32"/>
          <w:szCs w:val="32"/>
        </w:rPr>
        <w:t>号</w:t>
      </w:r>
    </w:p>
    <w:p w14:paraId="0C6E6888">
      <w:pPr>
        <w:spacing w:line="560" w:lineRule="exact"/>
        <w:jc w:val="center"/>
        <w:rPr>
          <w:rFonts w:hint="eastAsia" w:ascii="方正小标宋_GBK" w:hAnsi="华文中宋" w:eastAsia="方正小标宋_GBK"/>
          <w:sz w:val="44"/>
          <w:szCs w:val="44"/>
        </w:rPr>
      </w:pPr>
    </w:p>
    <w:p w14:paraId="3AF1398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邵阳县财政局关于开展</w:t>
      </w:r>
      <w:r>
        <w:rPr>
          <w:rFonts w:hint="eastAsia" w:ascii="方正小标宋简体" w:hAnsi="方正小标宋简体" w:eastAsia="方正小标宋简体" w:cs="方正小标宋简体"/>
          <w:sz w:val="44"/>
          <w:szCs w:val="44"/>
          <w:lang w:eastAsia="zh-CN"/>
        </w:rPr>
        <w:t>2023年</w:t>
      </w:r>
      <w:r>
        <w:rPr>
          <w:rFonts w:hint="eastAsia" w:ascii="方正小标宋简体" w:hAnsi="方正小标宋简体" w:eastAsia="方正小标宋简体" w:cs="方正小标宋简体"/>
          <w:sz w:val="44"/>
          <w:szCs w:val="44"/>
        </w:rPr>
        <w:t>度部门整体和</w:t>
      </w:r>
    </w:p>
    <w:p w14:paraId="78A2A39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项目支出</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工作的通知</w:t>
      </w:r>
    </w:p>
    <w:p w14:paraId="59D1CC48">
      <w:pPr>
        <w:spacing w:line="600" w:lineRule="exact"/>
        <w:rPr>
          <w:rFonts w:ascii="仿宋_GB2312" w:eastAsia="仿宋_GB2312"/>
          <w:sz w:val="32"/>
          <w:szCs w:val="32"/>
        </w:rPr>
      </w:pPr>
    </w:p>
    <w:p w14:paraId="68E9D5A3">
      <w:pPr>
        <w:spacing w:line="560" w:lineRule="exact"/>
        <w:rPr>
          <w:rFonts w:eastAsia="仿宋_GB2312"/>
          <w:sz w:val="32"/>
          <w:szCs w:val="32"/>
        </w:rPr>
      </w:pPr>
      <w:r>
        <w:rPr>
          <w:rFonts w:hint="eastAsia" w:eastAsia="仿宋_GB2312"/>
          <w:sz w:val="32"/>
          <w:szCs w:val="32"/>
        </w:rPr>
        <w:t xml:space="preserve">各预算单位：      </w:t>
      </w:r>
      <w:r>
        <w:rPr>
          <w:rFonts w:eastAsia="仿宋_GB2312"/>
          <w:sz w:val="32"/>
          <w:szCs w:val="32"/>
        </w:rPr>
        <w:t xml:space="preserve">       </w:t>
      </w:r>
    </w:p>
    <w:p w14:paraId="5644CC19">
      <w:pPr>
        <w:keepNext w:val="0"/>
        <w:keepLines w:val="0"/>
        <w:pageBreakBefore w:val="0"/>
        <w:widowControl w:val="0"/>
        <w:kinsoku/>
        <w:wordWrap/>
        <w:overflowPunct/>
        <w:topLinePunct w:val="0"/>
        <w:autoSpaceDE/>
        <w:autoSpaceDN/>
        <w:bidi w:val="0"/>
        <w:snapToGrid/>
        <w:spacing w:line="600" w:lineRule="exact"/>
        <w:ind w:firstLine="630"/>
        <w:textAlignment w:val="auto"/>
        <w:rPr>
          <w:rFonts w:eastAsia="仿宋_GB2312"/>
          <w:sz w:val="32"/>
          <w:szCs w:val="32"/>
        </w:rPr>
      </w:pPr>
      <w:r>
        <w:rPr>
          <w:rFonts w:hint="eastAsia" w:eastAsia="仿宋_GB2312"/>
          <w:sz w:val="32"/>
          <w:szCs w:val="32"/>
        </w:rPr>
        <w:t>为全面实施预算绩效管理，建立科学、合理的预算支出绩效评价体系，提高财政资源配置效率和使用效益，根据《中华人民共和国预算法》《中共中央国务院关于全面实施预算绩效管理的意见》（中发〔2018〕34号）《中共湖南省委办公厅 湖南省人民政府办公厅关于全面实施预算绩效管理的实施意见》（湘办发〔2019〕10号）和财政部《项目支出绩效评价管理办法》（财预〔2020〕10号）等有关规定，现将开展</w:t>
      </w:r>
      <w:r>
        <w:rPr>
          <w:rFonts w:hint="eastAsia" w:eastAsia="仿宋_GB2312"/>
          <w:sz w:val="32"/>
          <w:szCs w:val="32"/>
          <w:lang w:eastAsia="zh-CN"/>
        </w:rPr>
        <w:t>2023年</w:t>
      </w:r>
      <w:r>
        <w:rPr>
          <w:rFonts w:hint="eastAsia" w:eastAsia="仿宋_GB2312"/>
          <w:sz w:val="32"/>
          <w:szCs w:val="32"/>
        </w:rPr>
        <w:t>度部门整体及</w:t>
      </w:r>
      <w:r>
        <w:rPr>
          <w:rFonts w:hint="eastAsia" w:eastAsia="仿宋_GB2312"/>
          <w:sz w:val="32"/>
          <w:szCs w:val="32"/>
          <w:lang w:eastAsia="zh-CN"/>
        </w:rPr>
        <w:t>项目支出</w:t>
      </w:r>
      <w:r>
        <w:rPr>
          <w:rFonts w:hint="eastAsia" w:eastAsia="仿宋_GB2312"/>
          <w:sz w:val="32"/>
          <w:szCs w:val="32"/>
        </w:rPr>
        <w:t>绩效</w:t>
      </w:r>
      <w:r>
        <w:rPr>
          <w:rFonts w:hint="eastAsia" w:eastAsia="仿宋_GB2312"/>
          <w:sz w:val="32"/>
          <w:szCs w:val="32"/>
          <w:lang w:eastAsia="zh-CN"/>
        </w:rPr>
        <w:t>自评</w:t>
      </w:r>
      <w:r>
        <w:rPr>
          <w:rFonts w:hint="eastAsia" w:eastAsia="仿宋_GB2312"/>
          <w:sz w:val="32"/>
          <w:szCs w:val="32"/>
        </w:rPr>
        <w:t>工作有关事项通知如下：</w:t>
      </w:r>
    </w:p>
    <w:p w14:paraId="18B66B6B">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黑体" w:eastAsia="黑体"/>
          <w:sz w:val="32"/>
          <w:szCs w:val="32"/>
        </w:rPr>
      </w:pPr>
      <w:r>
        <w:rPr>
          <w:rFonts w:hint="eastAsia" w:ascii="黑体" w:eastAsia="黑体"/>
          <w:sz w:val="32"/>
          <w:szCs w:val="32"/>
        </w:rPr>
        <w:t>一、评价依据</w:t>
      </w:r>
    </w:p>
    <w:p w14:paraId="0160F4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（一）国家相关法律、法规和规章制度；</w:t>
      </w:r>
    </w:p>
    <w:p w14:paraId="7D5EC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（二）党中央、国务院决策部署，经济社会发展目标，省市县各级党委和政府重点任务要求；</w:t>
      </w:r>
    </w:p>
    <w:p w14:paraId="29B235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（三）各级预算部门职责相关规定，中长期事业发展规划及年度工作计划；</w:t>
      </w:r>
    </w:p>
    <w:p w14:paraId="373C3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（四）相关行业政策、行业标准及专业技术规范；</w:t>
      </w:r>
    </w:p>
    <w:p w14:paraId="4B18F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 xml:space="preserve">（五）预算管理制度及办法，预算支出及资金管理办法、财务和会计资料； </w:t>
      </w:r>
    </w:p>
    <w:p w14:paraId="718C51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（六）预算支出的政策依据和绩效目标，预算执行情况，年度决算报告、预算支出决算或验收报告等相关材料；</w:t>
      </w:r>
    </w:p>
    <w:p w14:paraId="1F378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（七）本级人大审查结果报告、审计报告及决定，财政监督稽核报告等；</w:t>
      </w:r>
    </w:p>
    <w:p w14:paraId="4B9B6D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（八）其他相关资料。</w:t>
      </w:r>
    </w:p>
    <w:p w14:paraId="560630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二、评价单位和范围</w:t>
      </w:r>
    </w:p>
    <w:p w14:paraId="5A23D9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（一）部门整体支出。</w:t>
      </w:r>
      <w:r>
        <w:rPr>
          <w:rFonts w:hint="eastAsia" w:ascii="仿宋_GB2312" w:eastAsia="仿宋_GB2312"/>
          <w:sz w:val="32"/>
          <w:szCs w:val="32"/>
        </w:rPr>
        <w:t>凡编制202</w:t>
      </w:r>
      <w:r>
        <w:rPr>
          <w:rFonts w:hint="eastAsia" w:ascii="仿宋_GB2312" w:eastAsia="仿宋_GB2312"/>
          <w:sz w:val="32"/>
          <w:szCs w:val="32"/>
          <w:lang w:val="en-US" w:eastAsia="zh-CN"/>
        </w:rPr>
        <w:t>3</w:t>
      </w:r>
      <w:r>
        <w:rPr>
          <w:rFonts w:hint="eastAsia" w:ascii="仿宋_GB2312" w:eastAsia="仿宋_GB2312"/>
          <w:sz w:val="32"/>
          <w:szCs w:val="32"/>
        </w:rPr>
        <w:t>年度部门预算的单位的所有支出全部纳入部门整体支出绩效自评范围，包括县直和乡镇。</w:t>
      </w:r>
    </w:p>
    <w:p w14:paraId="57925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项目支出</w:t>
      </w:r>
      <w:r>
        <w:rPr>
          <w:rFonts w:hint="eastAsia" w:ascii="楷体" w:hAnsi="楷体" w:eastAsia="楷体" w:cs="楷体"/>
          <w:b/>
          <w:bCs/>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年度单个项目在100万元（含）以上的县本级项目支出和县级配套项目支出。</w:t>
      </w:r>
    </w:p>
    <w:p w14:paraId="58F56C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三、评价内容</w:t>
      </w:r>
    </w:p>
    <w:p w14:paraId="7A8AAA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围绕202</w:t>
      </w:r>
      <w:r>
        <w:rPr>
          <w:rFonts w:hint="eastAsia" w:ascii="仿宋_GB2312" w:eastAsia="仿宋_GB2312"/>
          <w:sz w:val="32"/>
          <w:szCs w:val="32"/>
          <w:lang w:val="en-US" w:eastAsia="zh-CN"/>
        </w:rPr>
        <w:t>3</w:t>
      </w:r>
      <w:r>
        <w:rPr>
          <w:rFonts w:hint="eastAsia" w:ascii="仿宋_GB2312" w:eastAsia="仿宋_GB2312"/>
          <w:sz w:val="32"/>
          <w:szCs w:val="32"/>
        </w:rPr>
        <w:t>年度预算绩效目标和评价指标开展自评，内容主要包括预算支出总体绩效目标、各项绩效指标完成情况以及预算执行情况。对未完成绩效目标或偏离绩效目标较大的预算支出要分析并说明原因，研究提出改进措施。</w:t>
      </w:r>
    </w:p>
    <w:p w14:paraId="5E196D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（一）部门整体支出绩效自评</w:t>
      </w:r>
    </w:p>
    <w:p w14:paraId="63435A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1、目标设定。</w:t>
      </w:r>
      <w:r>
        <w:rPr>
          <w:rFonts w:hint="eastAsia" w:ascii="仿宋_GB2312" w:eastAsia="仿宋_GB2312"/>
          <w:sz w:val="32"/>
          <w:szCs w:val="32"/>
        </w:rPr>
        <w:t>包括：绩效目标合理性、绩效指标明确性。</w:t>
      </w:r>
    </w:p>
    <w:p w14:paraId="6CC760B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2、预算配置。</w:t>
      </w:r>
      <w:r>
        <w:rPr>
          <w:rFonts w:hint="eastAsia" w:ascii="仿宋_GB2312" w:eastAsia="仿宋_GB2312"/>
          <w:sz w:val="32"/>
          <w:szCs w:val="32"/>
        </w:rPr>
        <w:t>包括：在职人员控制率、“三公经费”变动率、重点支出安排率等。</w:t>
      </w:r>
    </w:p>
    <w:p w14:paraId="08304A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3、预算执行。</w:t>
      </w:r>
      <w:r>
        <w:rPr>
          <w:rFonts w:hint="eastAsia" w:ascii="仿宋_GB2312" w:eastAsia="仿宋_GB2312"/>
          <w:sz w:val="32"/>
          <w:szCs w:val="32"/>
        </w:rPr>
        <w:t>包括：预算执行率、预算调整率、支付进度率、结转结余率、结转结余变动率、公用经费控制率、“三公经费”控制率、政府采购执行率。</w:t>
      </w:r>
    </w:p>
    <w:p w14:paraId="4FD5A2A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4、预算管理。</w:t>
      </w:r>
      <w:r>
        <w:rPr>
          <w:rFonts w:hint="eastAsia" w:ascii="仿宋_GB2312" w:eastAsia="仿宋_GB2312"/>
          <w:sz w:val="32"/>
          <w:szCs w:val="32"/>
        </w:rPr>
        <w:t>包括：预算管理制度健全性、资金使用合规性、预决算信息公开性和基础信息完善性。</w:t>
      </w:r>
    </w:p>
    <w:p w14:paraId="319AB2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5、资产管理。</w:t>
      </w:r>
      <w:r>
        <w:rPr>
          <w:rFonts w:hint="eastAsia" w:ascii="仿宋_GB2312" w:eastAsia="仿宋_GB2312"/>
          <w:sz w:val="32"/>
          <w:szCs w:val="32"/>
        </w:rPr>
        <w:t>包括：资产管理制度健全性、资产管理安全性、固定资产利用率。</w:t>
      </w:r>
    </w:p>
    <w:p w14:paraId="4A11AF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6、职责履行。</w:t>
      </w:r>
      <w:r>
        <w:rPr>
          <w:rFonts w:hint="eastAsia" w:ascii="仿宋_GB2312" w:eastAsia="仿宋_GB2312"/>
          <w:sz w:val="32"/>
          <w:szCs w:val="32"/>
        </w:rPr>
        <w:t>包括：部门履职实际完成率、完成及时率、质量达标率、重点工作办结率。</w:t>
      </w:r>
    </w:p>
    <w:p w14:paraId="0DF258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sz w:val="32"/>
          <w:szCs w:val="32"/>
        </w:rPr>
        <w:t>7、履职效益。</w:t>
      </w:r>
      <w:r>
        <w:rPr>
          <w:rFonts w:hint="eastAsia" w:ascii="仿宋_GB2312" w:eastAsia="仿宋_GB2312"/>
          <w:sz w:val="32"/>
          <w:szCs w:val="32"/>
        </w:rPr>
        <w:t>包括：部门整体支出所产生的经济效益、社会效益、生态效益、社会公众或服务对象满意度等。</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1-4）</w:t>
      </w:r>
    </w:p>
    <w:p w14:paraId="7E8330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项目支出</w:t>
      </w:r>
      <w:r>
        <w:rPr>
          <w:rFonts w:hint="eastAsia" w:ascii="楷体" w:hAnsi="楷体" w:eastAsia="楷体" w:cs="楷体"/>
          <w:b/>
          <w:bCs/>
          <w:sz w:val="32"/>
          <w:szCs w:val="32"/>
        </w:rPr>
        <w:t>绩效自评</w:t>
      </w:r>
    </w:p>
    <w:p w14:paraId="11EBD4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rPr>
        <w:t xml:space="preserve"> 1、项目资金政策情况。</w:t>
      </w:r>
      <w:r>
        <w:rPr>
          <w:rFonts w:hint="eastAsia" w:eastAsia="仿宋_GB2312"/>
          <w:sz w:val="32"/>
          <w:szCs w:val="32"/>
        </w:rPr>
        <w:t>包括设立专项资金的政策依据是否充分、政策目标设置是否科学、目标是否如期完成、政策实施的环境和条件是否发生了变化；是否出现了适用范围相似或相近的政策、可否归并或整合。</w:t>
      </w:r>
    </w:p>
    <w:p w14:paraId="42E677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2、</w:t>
      </w:r>
      <w:r>
        <w:rPr>
          <w:rFonts w:hint="eastAsia" w:eastAsia="仿宋_GB2312"/>
          <w:b/>
          <w:bCs/>
          <w:sz w:val="32"/>
          <w:szCs w:val="32"/>
        </w:rPr>
        <w:t>项目资金管理情况。</w:t>
      </w:r>
      <w:r>
        <w:rPr>
          <w:rFonts w:hint="eastAsia" w:eastAsia="仿宋_GB2312"/>
          <w:sz w:val="32"/>
          <w:szCs w:val="32"/>
        </w:rPr>
        <w:t>包括项目资金管理办法制定情况；专项资金主管部门内部是否实现了统一管理，项目申报和确定是否严格执行了相关专项资金管理办法。</w:t>
      </w:r>
    </w:p>
    <w:p w14:paraId="3549CF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3、项目资金安排情况。</w:t>
      </w:r>
      <w:r>
        <w:rPr>
          <w:rFonts w:hint="eastAsia" w:eastAsia="仿宋_GB2312"/>
          <w:sz w:val="32"/>
          <w:szCs w:val="32"/>
        </w:rPr>
        <w:t>包括项目安排是否</w:t>
      </w:r>
      <w:r>
        <w:rPr>
          <w:rFonts w:hint="eastAsia" w:eastAsia="仿宋_GB2312"/>
          <w:sz w:val="32"/>
          <w:szCs w:val="32"/>
          <w:lang w:eastAsia="zh-CN"/>
        </w:rPr>
        <w:t>“</w:t>
      </w:r>
      <w:r>
        <w:rPr>
          <w:rFonts w:hint="eastAsia" w:eastAsia="仿宋_GB2312"/>
          <w:sz w:val="32"/>
          <w:szCs w:val="32"/>
        </w:rPr>
        <w:t>散、小、乱</w:t>
      </w:r>
      <w:r>
        <w:rPr>
          <w:rFonts w:hint="eastAsia" w:eastAsia="仿宋_GB2312"/>
          <w:sz w:val="32"/>
          <w:szCs w:val="32"/>
          <w:lang w:eastAsia="zh-CN"/>
        </w:rPr>
        <w:t>”</w:t>
      </w:r>
      <w:r>
        <w:rPr>
          <w:rFonts w:hint="eastAsia" w:eastAsia="仿宋_GB2312"/>
          <w:sz w:val="32"/>
          <w:szCs w:val="32"/>
        </w:rPr>
        <w:t>；是否存在多头申报、重复安排资金的情况；是否存在通过</w:t>
      </w:r>
      <w:r>
        <w:rPr>
          <w:rFonts w:hint="eastAsia" w:eastAsia="仿宋_GB2312"/>
          <w:sz w:val="32"/>
          <w:szCs w:val="32"/>
          <w:lang w:eastAsia="zh-CN"/>
        </w:rPr>
        <w:t>“</w:t>
      </w:r>
      <w:r>
        <w:rPr>
          <w:rFonts w:hint="eastAsia" w:eastAsia="仿宋_GB2312"/>
          <w:sz w:val="32"/>
          <w:szCs w:val="32"/>
        </w:rPr>
        <w:t>化整为零</w:t>
      </w:r>
      <w:r>
        <w:rPr>
          <w:rFonts w:hint="eastAsia" w:eastAsia="仿宋_GB2312"/>
          <w:sz w:val="32"/>
          <w:szCs w:val="32"/>
          <w:lang w:eastAsia="zh-CN"/>
        </w:rPr>
        <w:t>”</w:t>
      </w:r>
      <w:r>
        <w:rPr>
          <w:rFonts w:hint="eastAsia" w:eastAsia="仿宋_GB2312"/>
          <w:sz w:val="32"/>
          <w:szCs w:val="32"/>
        </w:rPr>
        <w:t>的方式逃避政府采购的问题；是否存在不按专家评审结果确定项目的情况；项目单位承诺的相关配套资金是否按时到位。</w:t>
      </w:r>
    </w:p>
    <w:p w14:paraId="4184DE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4、项目资金使用情况。</w:t>
      </w:r>
      <w:r>
        <w:rPr>
          <w:rFonts w:hint="eastAsia" w:eastAsia="仿宋_GB2312"/>
          <w:sz w:val="32"/>
          <w:szCs w:val="32"/>
        </w:rPr>
        <w:t>包括资金使用单位财务制度是否健全、会计核算是否规范、资金管理是否严格，是否按计划使用资金，是否按时、按质、按量完成项目投资和建设任务，有无资金缺口或结余，有无浪费行为，有无挤占挪用或套取资金等现象。</w:t>
      </w:r>
    </w:p>
    <w:p w14:paraId="1EA0B4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5、项目资金绩效情况。</w:t>
      </w:r>
      <w:r>
        <w:rPr>
          <w:rFonts w:hint="eastAsia" w:eastAsia="仿宋_GB2312"/>
          <w:sz w:val="32"/>
          <w:szCs w:val="32"/>
        </w:rPr>
        <w:t>包括是否完成了预算编制时提出的绩效目标，项目的实施效果如何，项目资金的产出成果及产出效益情况（包括项目资金所提供的公共产品和服务及其所产生的经济效益、社会效益、生态环境效益以及对可持续发展的影响等）。（</w:t>
      </w:r>
      <w:r>
        <w:rPr>
          <w:rFonts w:hint="eastAsia" w:eastAsia="仿宋_GB2312"/>
          <w:sz w:val="32"/>
          <w:szCs w:val="32"/>
          <w:lang w:eastAsia="zh-CN"/>
        </w:rPr>
        <w:t>详</w:t>
      </w:r>
      <w:r>
        <w:rPr>
          <w:rFonts w:hint="eastAsia" w:eastAsia="仿宋_GB2312"/>
          <w:sz w:val="32"/>
          <w:szCs w:val="32"/>
        </w:rPr>
        <w:t>见附件</w:t>
      </w:r>
      <w:r>
        <w:rPr>
          <w:rFonts w:hint="eastAsia" w:eastAsia="仿宋_GB2312"/>
          <w:sz w:val="32"/>
          <w:szCs w:val="32"/>
          <w:lang w:val="en-US" w:eastAsia="zh-CN"/>
        </w:rPr>
        <w:t>5-6</w:t>
      </w:r>
      <w:r>
        <w:rPr>
          <w:rFonts w:hint="eastAsia" w:eastAsia="仿宋_GB2312"/>
          <w:sz w:val="32"/>
          <w:szCs w:val="32"/>
        </w:rPr>
        <w:t>）</w:t>
      </w:r>
    </w:p>
    <w:p w14:paraId="5C2AC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、工作安排</w:t>
      </w:r>
    </w:p>
    <w:p w14:paraId="582377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（一）组织实施自评</w:t>
      </w:r>
      <w:r>
        <w:rPr>
          <w:rFonts w:hint="eastAsia" w:ascii="楷体" w:hAnsi="楷体" w:eastAsia="楷体" w:cs="楷体"/>
          <w:b/>
          <w:bCs/>
          <w:sz w:val="32"/>
          <w:szCs w:val="32"/>
          <w:lang w:eastAsia="zh-CN"/>
        </w:rPr>
        <w:t>。</w:t>
      </w:r>
    </w:p>
    <w:p w14:paraId="4D04F3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各预算单位要成立由财务部门牵头，相关业务股室、单位参加的自评工作小组，指定专人负责，认真组织开展自评，汇总整理相关自查材料，形成客观、准确、全面、完整的绩效自评报告。</w:t>
      </w:r>
    </w:p>
    <w:p w14:paraId="4120C0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各单位在绩效评价指标体系的基础上，根据实际进一步细化个性指标，形成适合本单位与项目的指标体系。撰写自评报告要全面、完整，要有资金安排使用的具体内容、使用效果，要查摆问题，提出整改措施及建议。</w:t>
      </w:r>
    </w:p>
    <w:p w14:paraId="366B6B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对在下年度仍需保留或取消的专项资金，应在自评报告</w:t>
      </w:r>
      <w:r>
        <w:rPr>
          <w:rFonts w:hint="eastAsia" w:eastAsia="仿宋_GB2312"/>
          <w:sz w:val="32"/>
          <w:szCs w:val="32"/>
          <w:lang w:eastAsia="zh-CN"/>
        </w:rPr>
        <w:t>“</w:t>
      </w:r>
      <w:r>
        <w:rPr>
          <w:rFonts w:hint="eastAsia" w:eastAsia="仿宋_GB2312"/>
          <w:sz w:val="32"/>
          <w:szCs w:val="32"/>
        </w:rPr>
        <w:t>建议</w:t>
      </w:r>
      <w:r>
        <w:rPr>
          <w:rFonts w:hint="eastAsia" w:eastAsia="仿宋_GB2312"/>
          <w:sz w:val="32"/>
          <w:szCs w:val="32"/>
          <w:lang w:eastAsia="zh-CN"/>
        </w:rPr>
        <w:t>”</w:t>
      </w:r>
      <w:r>
        <w:rPr>
          <w:rFonts w:hint="eastAsia" w:eastAsia="仿宋_GB2312"/>
          <w:sz w:val="32"/>
          <w:szCs w:val="32"/>
        </w:rPr>
        <w:t>部分和自评表的</w:t>
      </w:r>
      <w:r>
        <w:rPr>
          <w:rFonts w:hint="eastAsia" w:eastAsia="仿宋_GB2312"/>
          <w:sz w:val="32"/>
          <w:szCs w:val="32"/>
          <w:lang w:eastAsia="zh-CN"/>
        </w:rPr>
        <w:t>“</w:t>
      </w:r>
      <w:r>
        <w:rPr>
          <w:rFonts w:hint="eastAsia" w:eastAsia="仿宋_GB2312"/>
          <w:sz w:val="32"/>
          <w:szCs w:val="32"/>
        </w:rPr>
        <w:t>说明及建议</w:t>
      </w:r>
      <w:r>
        <w:rPr>
          <w:rFonts w:hint="eastAsia" w:eastAsia="仿宋_GB2312"/>
          <w:sz w:val="32"/>
          <w:szCs w:val="32"/>
          <w:lang w:eastAsia="zh-CN"/>
        </w:rPr>
        <w:t>”</w:t>
      </w:r>
      <w:r>
        <w:rPr>
          <w:rFonts w:hint="eastAsia" w:eastAsia="仿宋_GB2312"/>
          <w:sz w:val="32"/>
          <w:szCs w:val="32"/>
        </w:rPr>
        <w:t>中予以说明。无项目支出的预算单位只需</w:t>
      </w:r>
      <w:r>
        <w:rPr>
          <w:rFonts w:hint="eastAsia" w:eastAsia="仿宋_GB2312"/>
          <w:sz w:val="32"/>
          <w:szCs w:val="32"/>
          <w:lang w:eastAsia="zh-CN"/>
        </w:rPr>
        <w:t>报送部门整体支出绩效自评。</w:t>
      </w:r>
    </w:p>
    <w:p w14:paraId="27CD44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（二）按时报送资料</w:t>
      </w:r>
      <w:r>
        <w:rPr>
          <w:rFonts w:hint="eastAsia" w:ascii="楷体" w:hAnsi="楷体" w:eastAsia="楷体" w:cs="楷体"/>
          <w:b/>
          <w:bCs/>
          <w:sz w:val="32"/>
          <w:szCs w:val="32"/>
          <w:lang w:eastAsia="zh-CN"/>
        </w:rPr>
        <w:t>。</w:t>
      </w:r>
    </w:p>
    <w:p w14:paraId="40DF56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rPr>
        <w:t>1.报送时间。</w:t>
      </w: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年2月</w:t>
      </w:r>
      <w:r>
        <w:rPr>
          <w:rFonts w:hint="eastAsia" w:eastAsia="仿宋_GB2312"/>
          <w:sz w:val="32"/>
          <w:szCs w:val="32"/>
          <w:lang w:val="en-US" w:eastAsia="zh-CN"/>
        </w:rPr>
        <w:t>29</w:t>
      </w:r>
      <w:r>
        <w:rPr>
          <w:rFonts w:hint="eastAsia" w:eastAsia="仿宋_GB2312"/>
          <w:sz w:val="32"/>
          <w:szCs w:val="32"/>
        </w:rPr>
        <w:t>日前。</w:t>
      </w:r>
    </w:p>
    <w:p w14:paraId="6F63AD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rPr>
        <w:t>2.报送要求。</w:t>
      </w:r>
      <w:r>
        <w:rPr>
          <w:rFonts w:hint="eastAsia" w:eastAsia="仿宋_GB2312"/>
          <w:sz w:val="32"/>
          <w:szCs w:val="32"/>
        </w:rPr>
        <w:t>自评报告纸质版和电子版要同时报送。纸质版单位领导签字</w:t>
      </w:r>
      <w:r>
        <w:rPr>
          <w:rFonts w:hint="eastAsia" w:eastAsia="仿宋_GB2312"/>
          <w:sz w:val="32"/>
          <w:szCs w:val="32"/>
          <w:lang w:eastAsia="zh-CN"/>
        </w:rPr>
        <w:t>盖章</w:t>
      </w:r>
      <w:r>
        <w:rPr>
          <w:rFonts w:hint="eastAsia" w:eastAsia="仿宋_GB2312"/>
          <w:sz w:val="32"/>
          <w:szCs w:val="32"/>
        </w:rPr>
        <w:t>，一式两份，报送县财政局归口业务管理股室和绩效</w:t>
      </w:r>
      <w:r>
        <w:rPr>
          <w:rFonts w:hint="eastAsia" w:eastAsia="仿宋_GB2312"/>
          <w:sz w:val="32"/>
          <w:szCs w:val="32"/>
          <w:lang w:eastAsia="zh-CN"/>
        </w:rPr>
        <w:t>管理</w:t>
      </w:r>
      <w:r>
        <w:rPr>
          <w:rFonts w:hint="eastAsia" w:eastAsia="仿宋_GB2312"/>
          <w:sz w:val="32"/>
          <w:szCs w:val="32"/>
        </w:rPr>
        <w:t>股各一份。</w:t>
      </w:r>
    </w:p>
    <w:p w14:paraId="30432B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3.</w:t>
      </w:r>
      <w:r>
        <w:rPr>
          <w:rFonts w:hint="eastAsia" w:eastAsia="仿宋_GB2312"/>
          <w:b/>
          <w:bCs/>
          <w:sz w:val="32"/>
          <w:szCs w:val="32"/>
        </w:rPr>
        <w:t>部门整体支出绩效自评</w:t>
      </w:r>
      <w:r>
        <w:rPr>
          <w:rFonts w:hint="eastAsia" w:eastAsia="仿宋_GB2312"/>
          <w:sz w:val="32"/>
          <w:szCs w:val="32"/>
        </w:rPr>
        <w:t>除报送电子档外还需在</w:t>
      </w:r>
      <w:r>
        <w:rPr>
          <w:rFonts w:hint="eastAsia" w:eastAsia="仿宋_GB2312"/>
          <w:b/>
          <w:bCs/>
          <w:sz w:val="32"/>
          <w:szCs w:val="32"/>
        </w:rPr>
        <w:t>预算绩效管理信息系统</w:t>
      </w:r>
      <w:r>
        <w:rPr>
          <w:rFonts w:hint="eastAsia" w:eastAsia="仿宋_GB2312"/>
          <w:sz w:val="32"/>
          <w:szCs w:val="32"/>
        </w:rPr>
        <w:t>中报送，通过“预算绩效管理信息系统（财政内网访问</w:t>
      </w:r>
      <w:r>
        <w:rPr>
          <w:rFonts w:hint="eastAsia" w:eastAsia="仿宋_GB2312"/>
          <w:sz w:val="32"/>
          <w:szCs w:val="32"/>
          <w:u w:val="single"/>
        </w:rPr>
        <w:t>10.104.7.148:30155</w:t>
      </w:r>
      <w:r>
        <w:rPr>
          <w:rFonts w:hint="eastAsia" w:eastAsia="仿宋_GB2312"/>
          <w:sz w:val="32"/>
          <w:szCs w:val="32"/>
        </w:rPr>
        <w:t>进入预算绩效系统登录界面，默认密码：Aa111111）－菜单－绩效评价－部门整体支出”开展绩效自评。</w:t>
      </w:r>
    </w:p>
    <w:p w14:paraId="20F21D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ascii="楷体" w:hAnsi="楷体" w:eastAsia="楷体" w:cs="楷体"/>
          <w:b/>
          <w:bCs/>
          <w:sz w:val="32"/>
          <w:szCs w:val="32"/>
        </w:rPr>
        <w:t>（三）绩效自评审核。</w:t>
      </w:r>
      <w:r>
        <w:rPr>
          <w:rFonts w:hint="eastAsia" w:eastAsia="仿宋_GB2312"/>
          <w:sz w:val="32"/>
          <w:szCs w:val="32"/>
        </w:rPr>
        <w:t>财政局各部门预算管理股室对</w:t>
      </w:r>
      <w:r>
        <w:rPr>
          <w:rFonts w:hint="eastAsia" w:eastAsia="仿宋_GB2312"/>
          <w:sz w:val="32"/>
          <w:szCs w:val="32"/>
          <w:lang w:eastAsia="zh-CN"/>
        </w:rPr>
        <w:t>归</w:t>
      </w:r>
      <w:r>
        <w:rPr>
          <w:rFonts w:hint="eastAsia" w:eastAsia="仿宋_GB2312"/>
          <w:sz w:val="32"/>
          <w:szCs w:val="32"/>
        </w:rPr>
        <w:t>口联系的预算单位、乡镇报送的绩效自评情况进行审核。财政局将把202</w:t>
      </w:r>
      <w:r>
        <w:rPr>
          <w:rFonts w:hint="eastAsia" w:eastAsia="仿宋_GB2312"/>
          <w:sz w:val="32"/>
          <w:szCs w:val="32"/>
          <w:lang w:val="en-US" w:eastAsia="zh-CN"/>
        </w:rPr>
        <w:t>3</w:t>
      </w:r>
      <w:r>
        <w:rPr>
          <w:rFonts w:hint="eastAsia" w:eastAsia="仿宋_GB2312"/>
          <w:sz w:val="32"/>
          <w:szCs w:val="32"/>
        </w:rPr>
        <w:t>年度</w:t>
      </w:r>
      <w:r>
        <w:rPr>
          <w:rFonts w:hint="eastAsia" w:eastAsia="仿宋_GB2312"/>
          <w:sz w:val="32"/>
          <w:szCs w:val="32"/>
          <w:lang w:eastAsia="zh-CN"/>
        </w:rPr>
        <w:t>各预算单位</w:t>
      </w:r>
      <w:r>
        <w:rPr>
          <w:rFonts w:hint="eastAsia" w:eastAsia="仿宋_GB2312"/>
          <w:sz w:val="32"/>
          <w:szCs w:val="32"/>
        </w:rPr>
        <w:t>整体和项目支出绩效自评工作作为202</w:t>
      </w:r>
      <w:r>
        <w:rPr>
          <w:rFonts w:hint="eastAsia" w:eastAsia="仿宋_GB2312"/>
          <w:sz w:val="32"/>
          <w:szCs w:val="32"/>
          <w:lang w:val="en-US" w:eastAsia="zh-CN"/>
        </w:rPr>
        <w:t>4</w:t>
      </w:r>
      <w:r>
        <w:rPr>
          <w:rFonts w:hint="eastAsia" w:eastAsia="仿宋_GB2312"/>
          <w:sz w:val="32"/>
          <w:szCs w:val="32"/>
        </w:rPr>
        <w:t>年各</w:t>
      </w:r>
      <w:r>
        <w:rPr>
          <w:rFonts w:hint="eastAsia" w:eastAsia="仿宋_GB2312"/>
          <w:sz w:val="32"/>
          <w:szCs w:val="32"/>
          <w:lang w:eastAsia="zh-CN"/>
        </w:rPr>
        <w:t>预算单位</w:t>
      </w:r>
      <w:r>
        <w:rPr>
          <w:rFonts w:hint="eastAsia" w:eastAsia="仿宋_GB2312"/>
          <w:sz w:val="32"/>
          <w:szCs w:val="32"/>
        </w:rPr>
        <w:t>开展预算绩效管理工作的重要依据。</w:t>
      </w:r>
    </w:p>
    <w:p w14:paraId="53ED11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ascii="楷体" w:hAnsi="楷体" w:eastAsia="楷体" w:cs="楷体"/>
          <w:b/>
          <w:bCs/>
          <w:sz w:val="32"/>
          <w:szCs w:val="32"/>
        </w:rPr>
        <w:t>（四）自评公开。</w:t>
      </w:r>
      <w:r>
        <w:rPr>
          <w:rFonts w:hint="eastAsia" w:eastAsia="仿宋_GB2312"/>
          <w:sz w:val="32"/>
          <w:szCs w:val="32"/>
        </w:rPr>
        <w:t>各</w:t>
      </w:r>
      <w:r>
        <w:rPr>
          <w:rFonts w:hint="eastAsia" w:eastAsia="仿宋_GB2312"/>
          <w:sz w:val="32"/>
          <w:szCs w:val="32"/>
          <w:lang w:eastAsia="zh-CN"/>
        </w:rPr>
        <w:t>预算单位</w:t>
      </w:r>
      <w:r>
        <w:rPr>
          <w:rFonts w:hint="eastAsia" w:eastAsia="仿宋_GB2312"/>
          <w:sz w:val="32"/>
          <w:szCs w:val="32"/>
        </w:rPr>
        <w:t>整体和</w:t>
      </w:r>
      <w:r>
        <w:rPr>
          <w:rFonts w:hint="eastAsia" w:eastAsia="仿宋_GB2312"/>
          <w:sz w:val="32"/>
          <w:szCs w:val="32"/>
          <w:lang w:eastAsia="zh-CN"/>
        </w:rPr>
        <w:t>项目支出</w:t>
      </w:r>
      <w:r>
        <w:rPr>
          <w:rFonts w:hint="eastAsia" w:eastAsia="仿宋_GB2312"/>
          <w:sz w:val="32"/>
          <w:szCs w:val="32"/>
        </w:rPr>
        <w:t>绩效自评工作报告、相关自评表格（涉密项目及内容除外）应在公开202</w:t>
      </w:r>
      <w:r>
        <w:rPr>
          <w:rFonts w:hint="eastAsia" w:eastAsia="仿宋_GB2312"/>
          <w:sz w:val="32"/>
          <w:szCs w:val="32"/>
          <w:lang w:val="en-US" w:eastAsia="zh-CN"/>
        </w:rPr>
        <w:t>3</w:t>
      </w:r>
      <w:r>
        <w:rPr>
          <w:rFonts w:hint="eastAsia" w:eastAsia="仿宋_GB2312"/>
          <w:sz w:val="32"/>
          <w:szCs w:val="32"/>
        </w:rPr>
        <w:t>年度部门决算时，一并公开，接受社会监督。</w:t>
      </w:r>
    </w:p>
    <w:p w14:paraId="588A87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rPr>
      </w:pPr>
      <w:r>
        <w:rPr>
          <w:rFonts w:hint="eastAsia" w:ascii="楷体" w:hAnsi="楷体" w:eastAsia="楷体" w:cs="楷体"/>
          <w:b/>
          <w:bCs/>
          <w:sz w:val="32"/>
          <w:szCs w:val="32"/>
          <w:lang w:eastAsia="zh-CN"/>
        </w:rPr>
        <w:t>（五）结果应用。</w:t>
      </w:r>
      <w:r>
        <w:rPr>
          <w:rFonts w:hint="eastAsia" w:eastAsia="仿宋_GB2312"/>
          <w:sz w:val="32"/>
          <w:szCs w:val="32"/>
        </w:rPr>
        <w:t>各</w:t>
      </w:r>
      <w:r>
        <w:rPr>
          <w:rFonts w:hint="eastAsia" w:eastAsia="仿宋_GB2312"/>
          <w:sz w:val="32"/>
          <w:szCs w:val="32"/>
          <w:lang w:eastAsia="zh-CN"/>
        </w:rPr>
        <w:t>预算</w:t>
      </w:r>
      <w:r>
        <w:rPr>
          <w:rFonts w:hint="eastAsia" w:eastAsia="仿宋_GB2312"/>
          <w:sz w:val="32"/>
          <w:szCs w:val="32"/>
        </w:rPr>
        <w:t>单位的绩效自评工作和自评报告公开情况纳入年度政府绩效评估指标范围。对不开展和不按时完成绩效自评工作以及不按要求公开绩效自评报告的单位，将在一定范围内予以通报，并报县绩</w:t>
      </w:r>
      <w:r>
        <w:rPr>
          <w:rFonts w:hint="eastAsia" w:eastAsia="仿宋_GB2312"/>
          <w:sz w:val="32"/>
          <w:szCs w:val="32"/>
          <w:lang w:eastAsia="zh-CN"/>
        </w:rPr>
        <w:t>效考核</w:t>
      </w:r>
      <w:r>
        <w:rPr>
          <w:rFonts w:hint="eastAsia" w:eastAsia="仿宋_GB2312"/>
          <w:sz w:val="32"/>
          <w:szCs w:val="32"/>
        </w:rPr>
        <w:t>办作为年度政府绩效评估考核的一项扣分依据。</w:t>
      </w:r>
    </w:p>
    <w:p w14:paraId="37A8CD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lang w:eastAsia="zh-CN"/>
        </w:rPr>
      </w:pPr>
      <w:r>
        <w:rPr>
          <w:rFonts w:hint="eastAsia" w:eastAsia="黑体"/>
          <w:sz w:val="32"/>
          <w:szCs w:val="32"/>
          <w:lang w:eastAsia="zh-CN"/>
        </w:rPr>
        <w:t>五、相关要求</w:t>
      </w:r>
    </w:p>
    <w:p w14:paraId="52487C95">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各预算单位要落实</w:t>
      </w:r>
      <w:r>
        <w:rPr>
          <w:rFonts w:hint="eastAsia" w:eastAsia="仿宋_GB2312"/>
          <w:sz w:val="32"/>
          <w:szCs w:val="32"/>
          <w:lang w:eastAsia="zh-CN"/>
        </w:rPr>
        <w:t>“</w:t>
      </w:r>
      <w:r>
        <w:rPr>
          <w:rFonts w:hint="eastAsia" w:eastAsia="仿宋_GB2312"/>
          <w:sz w:val="32"/>
          <w:szCs w:val="32"/>
        </w:rPr>
        <w:t>花钱讲绩效</w:t>
      </w:r>
      <w:r>
        <w:rPr>
          <w:rFonts w:hint="eastAsia" w:eastAsia="仿宋_GB2312"/>
          <w:sz w:val="32"/>
          <w:szCs w:val="32"/>
          <w:lang w:eastAsia="zh-CN"/>
        </w:rPr>
        <w:t>”</w:t>
      </w:r>
      <w:r>
        <w:rPr>
          <w:rFonts w:hint="eastAsia" w:eastAsia="仿宋_GB2312"/>
          <w:sz w:val="32"/>
          <w:szCs w:val="32"/>
        </w:rPr>
        <w:t>主体责任，加强领导，精心组织，按要求规范开展</w:t>
      </w:r>
      <w:r>
        <w:rPr>
          <w:rFonts w:hint="eastAsia" w:eastAsia="仿宋_GB2312"/>
          <w:sz w:val="32"/>
          <w:szCs w:val="32"/>
          <w:lang w:eastAsia="zh-CN"/>
        </w:rPr>
        <w:t>自评</w:t>
      </w:r>
      <w:r>
        <w:rPr>
          <w:rFonts w:hint="eastAsia" w:eastAsia="仿宋_GB2312"/>
          <w:sz w:val="32"/>
          <w:szCs w:val="32"/>
        </w:rPr>
        <w:t>工作，保证</w:t>
      </w:r>
      <w:r>
        <w:rPr>
          <w:rFonts w:hint="eastAsia" w:eastAsia="仿宋_GB2312"/>
          <w:sz w:val="32"/>
          <w:szCs w:val="32"/>
          <w:lang w:eastAsia="zh-CN"/>
        </w:rPr>
        <w:t>自评</w:t>
      </w:r>
      <w:r>
        <w:rPr>
          <w:rFonts w:hint="eastAsia" w:eastAsia="仿宋_GB2312"/>
          <w:sz w:val="32"/>
          <w:szCs w:val="32"/>
        </w:rPr>
        <w:t>工作质量，并对绩效自评结果的真实性、准确性、及时性负责。</w:t>
      </w:r>
    </w:p>
    <w:p w14:paraId="6EA03486">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仿宋_GB2312"/>
          <w:sz w:val="32"/>
          <w:szCs w:val="32"/>
          <w:lang w:eastAsia="zh-CN"/>
        </w:rPr>
      </w:pPr>
      <w:r>
        <w:rPr>
          <w:rFonts w:hint="eastAsia" w:eastAsia="仿宋_GB2312"/>
          <w:sz w:val="32"/>
          <w:szCs w:val="32"/>
          <w:lang w:eastAsia="zh-CN"/>
        </w:rPr>
        <w:t>（二）财政局将根据各预算单位</w:t>
      </w:r>
      <w:r>
        <w:rPr>
          <w:rFonts w:hint="eastAsia" w:eastAsia="仿宋_GB2312"/>
          <w:sz w:val="32"/>
          <w:szCs w:val="32"/>
          <w:lang w:val="en-US" w:eastAsia="zh-CN"/>
        </w:rPr>
        <w:t>2023</w:t>
      </w:r>
      <w:r>
        <w:rPr>
          <w:rFonts w:hint="eastAsia" w:eastAsia="仿宋_GB2312"/>
          <w:sz w:val="32"/>
          <w:szCs w:val="32"/>
          <w:lang w:eastAsia="zh-CN"/>
        </w:rPr>
        <w:t>年度部门预算整体支出和项目支出绩效自评工作完成情况、绩效管理情况，向县人民政府和有关部门提出财政资金安排的意见建议。</w:t>
      </w:r>
    </w:p>
    <w:p w14:paraId="62B2F9EB">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仿宋_GB2312"/>
          <w:sz w:val="32"/>
          <w:szCs w:val="32"/>
          <w:lang w:eastAsia="zh-CN"/>
        </w:rPr>
      </w:pPr>
      <w:r>
        <w:rPr>
          <w:rFonts w:hint="eastAsia" w:eastAsia="仿宋_GB2312"/>
          <w:sz w:val="32"/>
          <w:szCs w:val="32"/>
          <w:lang w:eastAsia="zh-CN"/>
        </w:rPr>
        <w:t>（三）为提高自评结果的真实性、客观性，财政局将抽取部分预算单位的自评材料进行重点复核，重点复核绩效自评工作是否按要求开展、预算执行率是否真实、绩效目标完成情况是否准确等。</w:t>
      </w:r>
    </w:p>
    <w:p w14:paraId="4BA4589F">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eastAsia="仿宋_GB2312"/>
          <w:sz w:val="32"/>
          <w:szCs w:val="32"/>
          <w:lang w:val="en-US" w:eastAsia="zh-CN"/>
        </w:rPr>
      </w:pPr>
      <w:r>
        <w:rPr>
          <w:rFonts w:hint="eastAsia" w:eastAsia="仿宋_GB2312"/>
          <w:sz w:val="32"/>
          <w:szCs w:val="32"/>
          <w:lang w:val="en-US" w:eastAsia="zh-CN"/>
        </w:rPr>
        <w:t>（四）各预算单位在组织实施绩效自评过程中遇有困难或疑惑需要衔接咨询的，请及时与县财政局绩效管理股电话联系或在财政绩效交流微信群联系。</w:t>
      </w:r>
    </w:p>
    <w:p w14:paraId="1B8AE41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sz w:val="32"/>
          <w:szCs w:val="32"/>
          <w:lang w:val="en-US" w:eastAsia="zh-CN"/>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联系人及电话：财政局绩效管理股 莫吉安 </w:t>
      </w:r>
      <w:r>
        <w:rPr>
          <w:rFonts w:hint="eastAsia" w:eastAsia="仿宋_GB2312"/>
          <w:sz w:val="32"/>
          <w:szCs w:val="32"/>
          <w:lang w:val="en-US" w:eastAsia="zh-CN"/>
        </w:rPr>
        <w:t>0739-6821972</w:t>
      </w:r>
    </w:p>
    <w:p w14:paraId="671E99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eastAsia="仿宋_GB2312"/>
          <w:sz w:val="32"/>
          <w:szCs w:val="32"/>
        </w:rPr>
        <w:t>附件：</w:t>
      </w:r>
      <w:r>
        <w:rPr>
          <w:rFonts w:hint="eastAsia" w:ascii="仿宋_GB2312" w:eastAsia="仿宋_GB2312"/>
          <w:sz w:val="32"/>
          <w:szCs w:val="32"/>
        </w:rPr>
        <w:t>1、</w:t>
      </w:r>
      <w:r>
        <w:rPr>
          <w:rFonts w:hint="eastAsia" w:ascii="仿宋_GB2312" w:hAnsi="仿宋" w:eastAsia="仿宋_GB2312" w:cs="仿宋"/>
          <w:sz w:val="32"/>
          <w:szCs w:val="32"/>
        </w:rPr>
        <w:t>部门整体支出绩效自评报告（封面）</w:t>
      </w:r>
    </w:p>
    <w:p w14:paraId="05E11447">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2、部门整体支出绩效自评报告（参考提纲）</w:t>
      </w:r>
    </w:p>
    <w:p w14:paraId="21C19323">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sz w:val="32"/>
          <w:szCs w:val="32"/>
        </w:rPr>
      </w:pPr>
      <w:r>
        <w:rPr>
          <w:rFonts w:hint="eastAsia" w:ascii="仿宋_GB2312" w:eastAsia="仿宋_GB2312"/>
          <w:sz w:val="32"/>
          <w:szCs w:val="32"/>
        </w:rPr>
        <w:t xml:space="preserve">          3、部门（单位）整体支出绩效自评表</w:t>
      </w:r>
    </w:p>
    <w:p w14:paraId="585CB8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4、2023年度部门整体支出绩效评价基础数据表</w:t>
      </w:r>
    </w:p>
    <w:p w14:paraId="59279D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5、项目支出绩效自评报告</w:t>
      </w:r>
    </w:p>
    <w:p w14:paraId="3373C8A3">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r>
        <w:rPr>
          <w:rFonts w:hint="eastAsia" w:ascii="仿宋_GB2312" w:eastAsia="仿宋_GB2312"/>
          <w:sz w:val="32"/>
          <w:szCs w:val="32"/>
        </w:rPr>
        <w:t xml:space="preserve">         </w:t>
      </w:r>
      <w:r>
        <w:rPr>
          <w:rFonts w:hint="eastAsia" w:eastAsia="仿宋_GB2312"/>
          <w:sz w:val="32"/>
          <w:szCs w:val="32"/>
        </w:rPr>
        <w:t xml:space="preserve"> </w:t>
      </w:r>
      <w:r>
        <w:rPr>
          <w:rFonts w:hint="eastAsia" w:eastAsia="仿宋_GB2312"/>
          <w:sz w:val="32"/>
          <w:szCs w:val="32"/>
          <w:lang w:val="en-US" w:eastAsia="zh-CN"/>
        </w:rPr>
        <w:t>6</w:t>
      </w:r>
      <w:r>
        <w:rPr>
          <w:rFonts w:hint="eastAsia" w:eastAsia="仿宋_GB2312"/>
          <w:sz w:val="32"/>
          <w:szCs w:val="32"/>
        </w:rPr>
        <w:t xml:space="preserve">、项目支出绩效自评表 </w:t>
      </w:r>
    </w:p>
    <w:p w14:paraId="03EF85CF">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eastAsia="仿宋_GB2312"/>
          <w:sz w:val="32"/>
          <w:szCs w:val="32"/>
        </w:rPr>
      </w:pPr>
    </w:p>
    <w:p w14:paraId="4A80B70E">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eastAsia="仿宋_GB2312"/>
          <w:sz w:val="32"/>
          <w:szCs w:val="32"/>
        </w:rPr>
      </w:pPr>
    </w:p>
    <w:p w14:paraId="73C6F518">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eastAsia="仿宋_GB2312"/>
          <w:sz w:val="32"/>
          <w:szCs w:val="32"/>
        </w:rPr>
      </w:pPr>
      <w:r>
        <w:rPr>
          <w:rFonts w:hint="eastAsia" w:eastAsia="仿宋_GB2312"/>
          <w:sz w:val="32"/>
          <w:szCs w:val="32"/>
        </w:rPr>
        <w:t>邵阳县财政局</w:t>
      </w:r>
    </w:p>
    <w:p w14:paraId="3E2D2D96">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eastAsia="仿宋_GB2312"/>
          <w:sz w:val="32"/>
          <w:szCs w:val="32"/>
        </w:rPr>
      </w:pPr>
      <w:bookmarkStart w:id="0" w:name="RANGE!A1:H22"/>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bookmarkEnd w:id="0"/>
    <w:p w14:paraId="1474B46C">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6FAF0E22">
      <w:pPr>
        <w:rPr>
          <w:rFonts w:eastAsia="黑体"/>
          <w:sz w:val="44"/>
        </w:rPr>
      </w:pPr>
    </w:p>
    <w:p w14:paraId="6A5FC90C">
      <w:pPr>
        <w:rPr>
          <w:rFonts w:eastAsia="黑体"/>
          <w:sz w:val="44"/>
        </w:rPr>
      </w:pPr>
    </w:p>
    <w:p w14:paraId="4A14F740">
      <w:pPr>
        <w:rPr>
          <w:rFonts w:eastAsia="黑体"/>
          <w:sz w:val="44"/>
        </w:rPr>
      </w:pPr>
    </w:p>
    <w:p w14:paraId="28FFDEC6">
      <w:pPr>
        <w:jc w:val="center"/>
        <w:rPr>
          <w:rFonts w:ascii="宋体" w:hAnsi="宋体"/>
          <w:sz w:val="44"/>
          <w:szCs w:val="44"/>
        </w:rPr>
      </w:pPr>
    </w:p>
    <w:p w14:paraId="5685849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3FBA42A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0C47F61F">
      <w:pPr>
        <w:jc w:val="center"/>
        <w:rPr>
          <w:rFonts w:ascii="宋体" w:hAnsi="宋体"/>
          <w:sz w:val="44"/>
          <w:szCs w:val="44"/>
        </w:rPr>
      </w:pPr>
    </w:p>
    <w:p w14:paraId="09407639">
      <w:pPr>
        <w:spacing w:line="600" w:lineRule="exact"/>
        <w:rPr>
          <w:sz w:val="36"/>
        </w:rPr>
      </w:pPr>
    </w:p>
    <w:p w14:paraId="008168AD">
      <w:pPr>
        <w:spacing w:line="600" w:lineRule="exact"/>
        <w:rPr>
          <w:sz w:val="36"/>
        </w:rPr>
      </w:pPr>
    </w:p>
    <w:p w14:paraId="6CF6EF41">
      <w:pPr>
        <w:spacing w:line="600" w:lineRule="exact"/>
        <w:rPr>
          <w:sz w:val="36"/>
        </w:rPr>
      </w:pPr>
    </w:p>
    <w:p w14:paraId="2B9E0D9F">
      <w:pPr>
        <w:spacing w:line="600" w:lineRule="exact"/>
        <w:rPr>
          <w:sz w:val="36"/>
        </w:rPr>
      </w:pPr>
    </w:p>
    <w:p w14:paraId="60E694E7">
      <w:pPr>
        <w:spacing w:line="600" w:lineRule="exact"/>
        <w:rPr>
          <w:sz w:val="36"/>
        </w:rPr>
      </w:pPr>
    </w:p>
    <w:p w14:paraId="6CE7AC1E">
      <w:pPr>
        <w:spacing w:line="600" w:lineRule="exact"/>
        <w:rPr>
          <w:sz w:val="36"/>
        </w:rPr>
      </w:pPr>
    </w:p>
    <w:p w14:paraId="2DB59355">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 xml:space="preserve"> </w:t>
      </w:r>
      <w:r>
        <w:rPr>
          <w:rFonts w:hint="eastAsia"/>
          <w:b/>
          <w:bCs/>
          <w:sz w:val="32"/>
          <w:szCs w:val="32"/>
          <w:u w:val="single"/>
          <w:lang w:eastAsia="zh-CN"/>
        </w:rPr>
        <w:t>邵阳县蔡桥乡中心完小</w:t>
      </w:r>
      <w:r>
        <w:rPr>
          <w:rFonts w:hint="eastAsia"/>
          <w:b/>
          <w:bCs/>
          <w:sz w:val="32"/>
          <w:szCs w:val="32"/>
          <w:u w:val="single"/>
        </w:rPr>
        <w:t>　　</w:t>
      </w:r>
      <w:r>
        <w:rPr>
          <w:rFonts w:hint="eastAsia"/>
          <w:bCs/>
          <w:sz w:val="32"/>
          <w:szCs w:val="32"/>
        </w:rPr>
        <w:t>（单位公章）</w:t>
      </w:r>
    </w:p>
    <w:p w14:paraId="4124E4F0">
      <w:pPr>
        <w:spacing w:line="600" w:lineRule="exact"/>
      </w:pPr>
    </w:p>
    <w:p w14:paraId="10D9FB00">
      <w:pPr>
        <w:spacing w:line="600" w:lineRule="exact"/>
      </w:pPr>
    </w:p>
    <w:p w14:paraId="1FAD08F3">
      <w:pPr>
        <w:spacing w:line="600" w:lineRule="exact"/>
      </w:pPr>
    </w:p>
    <w:p w14:paraId="51CE9FAE">
      <w:pPr>
        <w:spacing w:line="600" w:lineRule="exact"/>
      </w:pPr>
    </w:p>
    <w:p w14:paraId="21EA39AD">
      <w:pPr>
        <w:spacing w:line="600" w:lineRule="exact"/>
      </w:pPr>
    </w:p>
    <w:p w14:paraId="2CF4E64A">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 xml:space="preserve">2024 </w:t>
      </w:r>
      <w:r>
        <w:rPr>
          <w:rFonts w:hint="eastAsia" w:ascii="楷体" w:hAnsi="楷体" w:eastAsia="楷体" w:cs="楷体"/>
          <w:sz w:val="36"/>
        </w:rPr>
        <w:t>年</w:t>
      </w:r>
      <w:r>
        <w:rPr>
          <w:rFonts w:hint="eastAsia" w:ascii="楷体" w:hAnsi="楷体" w:eastAsia="楷体" w:cs="楷体"/>
          <w:sz w:val="36"/>
          <w:lang w:val="en-US" w:eastAsia="zh-CN"/>
        </w:rPr>
        <w:t xml:space="preserve"> 2 </w:t>
      </w:r>
      <w:r>
        <w:rPr>
          <w:rFonts w:hint="eastAsia" w:ascii="楷体" w:hAnsi="楷体" w:eastAsia="楷体" w:cs="楷体"/>
          <w:sz w:val="36"/>
        </w:rPr>
        <w:t>月</w:t>
      </w:r>
      <w:r>
        <w:rPr>
          <w:rFonts w:hint="eastAsia" w:ascii="楷体" w:hAnsi="楷体" w:eastAsia="楷体" w:cs="楷体"/>
          <w:sz w:val="36"/>
          <w:lang w:val="en-US" w:eastAsia="zh-CN"/>
        </w:rPr>
        <w:t xml:space="preserve"> 28 </w:t>
      </w:r>
      <w:r>
        <w:rPr>
          <w:rFonts w:hint="eastAsia" w:ascii="楷体" w:hAnsi="楷体" w:eastAsia="楷体" w:cs="楷体"/>
          <w:sz w:val="36"/>
        </w:rPr>
        <w:t>日</w:t>
      </w:r>
    </w:p>
    <w:p w14:paraId="09996F81">
      <w:pPr>
        <w:spacing w:line="600" w:lineRule="exact"/>
        <w:rPr>
          <w:rFonts w:eastAsia="仿宋_GB2312"/>
          <w:sz w:val="28"/>
          <w:szCs w:val="28"/>
        </w:rPr>
      </w:pPr>
    </w:p>
    <w:p w14:paraId="43A3A624">
      <w:pPr>
        <w:spacing w:line="600" w:lineRule="exact"/>
        <w:rPr>
          <w:rFonts w:eastAsia="仿宋_GB2312"/>
          <w:sz w:val="28"/>
          <w:szCs w:val="28"/>
        </w:rPr>
      </w:pPr>
    </w:p>
    <w:p w14:paraId="15AFDD01">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3062004B">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7235258F">
      <w:pPr>
        <w:adjustRightInd w:val="0"/>
        <w:spacing w:line="600" w:lineRule="exact"/>
        <w:ind w:right="641"/>
        <w:jc w:val="center"/>
        <w:rPr>
          <w:rFonts w:eastAsia="楷体_GB2312"/>
          <w:sz w:val="32"/>
          <w:szCs w:val="32"/>
        </w:rPr>
      </w:pPr>
      <w:r>
        <w:rPr>
          <w:rFonts w:eastAsia="楷体_GB2312"/>
          <w:sz w:val="32"/>
          <w:szCs w:val="32"/>
        </w:rPr>
        <w:t>（参考提纲）</w:t>
      </w:r>
    </w:p>
    <w:p w14:paraId="1DCB7712">
      <w:pPr>
        <w:adjustRightInd w:val="0"/>
        <w:spacing w:line="600" w:lineRule="exact"/>
        <w:ind w:right="641"/>
        <w:rPr>
          <w:rFonts w:eastAsia="仿宋_GB2312"/>
          <w:sz w:val="32"/>
          <w:szCs w:val="32"/>
        </w:rPr>
      </w:pPr>
    </w:p>
    <w:p w14:paraId="79AFB67D">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5426936B">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7EB1F685">
      <w:pPr>
        <w:widowControl/>
        <w:spacing w:line="600" w:lineRule="exact"/>
        <w:ind w:firstLine="645"/>
        <w:jc w:val="left"/>
        <w:rPr>
          <w:rFonts w:hint="eastAsia" w:eastAsia="仿宋_GB2312"/>
          <w:sz w:val="32"/>
          <w:szCs w:val="32"/>
        </w:rPr>
      </w:pPr>
      <w:r>
        <w:rPr>
          <w:rFonts w:hint="eastAsia" w:eastAsia="仿宋_GB2312"/>
          <w:sz w:val="32"/>
          <w:szCs w:val="32"/>
        </w:rPr>
        <w:t>内设办公室、</w:t>
      </w:r>
      <w:r>
        <w:rPr>
          <w:rFonts w:hint="eastAsia" w:eastAsia="仿宋_GB2312"/>
          <w:sz w:val="32"/>
          <w:szCs w:val="32"/>
          <w:lang w:eastAsia="zh-CN"/>
        </w:rPr>
        <w:t>教导</w:t>
      </w:r>
      <w:r>
        <w:rPr>
          <w:rFonts w:hint="eastAsia" w:eastAsia="仿宋_GB2312"/>
          <w:sz w:val="32"/>
          <w:szCs w:val="32"/>
        </w:rPr>
        <w:t>室、</w:t>
      </w:r>
      <w:r>
        <w:rPr>
          <w:rFonts w:hint="eastAsia" w:eastAsia="仿宋_GB2312"/>
          <w:sz w:val="32"/>
          <w:szCs w:val="32"/>
          <w:lang w:eastAsia="zh-CN"/>
        </w:rPr>
        <w:t>少先队</w:t>
      </w:r>
      <w:r>
        <w:rPr>
          <w:rFonts w:hint="eastAsia" w:eastAsia="仿宋_GB2312"/>
          <w:sz w:val="32"/>
          <w:szCs w:val="32"/>
        </w:rPr>
        <w:t>等机构，下辖</w:t>
      </w:r>
      <w:r>
        <w:rPr>
          <w:rFonts w:hint="eastAsia" w:eastAsia="仿宋_GB2312"/>
          <w:sz w:val="32"/>
          <w:szCs w:val="32"/>
          <w:lang w:eastAsia="zh-CN"/>
        </w:rPr>
        <w:t>无</w:t>
      </w:r>
      <w:r>
        <w:rPr>
          <w:rFonts w:hint="eastAsia" w:eastAsia="仿宋_GB2312"/>
          <w:sz w:val="32"/>
          <w:szCs w:val="32"/>
        </w:rPr>
        <w:t>独立预算单位。</w:t>
      </w:r>
    </w:p>
    <w:p w14:paraId="6E6BC7E8">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（二）人员编制情况</w:t>
      </w:r>
    </w:p>
    <w:p w14:paraId="3C50B6E5">
      <w:pPr>
        <w:widowControl/>
        <w:spacing w:line="600" w:lineRule="exact"/>
        <w:ind w:firstLine="645"/>
        <w:jc w:val="left"/>
        <w:rPr>
          <w:rFonts w:hint="eastAsia" w:ascii="楷体" w:hAnsi="楷体" w:eastAsia="楷体" w:cs="楷体"/>
          <w:b/>
          <w:bCs/>
          <w:sz w:val="32"/>
          <w:szCs w:val="32"/>
        </w:rPr>
      </w:pPr>
      <w:r>
        <w:rPr>
          <w:rFonts w:hint="eastAsia" w:eastAsia="仿宋_GB2312"/>
          <w:sz w:val="32"/>
          <w:szCs w:val="32"/>
        </w:rPr>
        <w:t>我单位是政府举办的非营利性公益一类教育服务单位，属县财政全额拨款事业单位，现有在职工作人员4</w:t>
      </w:r>
      <w:r>
        <w:rPr>
          <w:rFonts w:hint="eastAsia" w:eastAsia="仿宋_GB2312"/>
          <w:sz w:val="32"/>
          <w:szCs w:val="32"/>
          <w:lang w:val="en-US" w:eastAsia="zh-CN"/>
        </w:rPr>
        <w:t>3</w:t>
      </w:r>
      <w:r>
        <w:rPr>
          <w:rFonts w:hint="eastAsia" w:eastAsia="仿宋_GB2312"/>
          <w:sz w:val="32"/>
          <w:szCs w:val="32"/>
        </w:rPr>
        <w:t>人，其中专业技术人员4</w:t>
      </w:r>
      <w:r>
        <w:rPr>
          <w:rFonts w:hint="eastAsia" w:eastAsia="仿宋_GB2312"/>
          <w:sz w:val="32"/>
          <w:szCs w:val="32"/>
          <w:lang w:val="en-US" w:eastAsia="zh-CN"/>
        </w:rPr>
        <w:t>3</w:t>
      </w:r>
      <w:r>
        <w:rPr>
          <w:rFonts w:hint="eastAsia" w:eastAsia="仿宋_GB2312"/>
          <w:sz w:val="32"/>
          <w:szCs w:val="32"/>
        </w:rPr>
        <w:t>人。</w:t>
      </w:r>
    </w:p>
    <w:p w14:paraId="62ED652E">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14:paraId="537BE3EA">
      <w:pPr>
        <w:widowControl/>
        <w:spacing w:line="600" w:lineRule="exact"/>
        <w:ind w:firstLine="645"/>
        <w:jc w:val="left"/>
        <w:rPr>
          <w:rFonts w:hint="eastAsia" w:eastAsia="仿宋_GB2312"/>
          <w:sz w:val="32"/>
          <w:szCs w:val="32"/>
        </w:rPr>
      </w:pPr>
      <w:r>
        <w:rPr>
          <w:rFonts w:hint="eastAsia" w:eastAsia="仿宋_GB2312"/>
          <w:sz w:val="32"/>
          <w:szCs w:val="32"/>
        </w:rPr>
        <w:t>贯彻落实党和国家关于教育工作的方针、政策和法律法规；协助县教育局管理学校教育教学工作；完成上级交办的其他工作等。</w:t>
      </w:r>
    </w:p>
    <w:p w14:paraId="2213F8B5">
      <w:pPr>
        <w:widowControl/>
        <w:numPr>
          <w:ilvl w:val="0"/>
          <w:numId w:val="1"/>
        </w:numPr>
        <w:spacing w:line="600" w:lineRule="exact"/>
        <w:ind w:firstLine="645"/>
        <w:jc w:val="left"/>
        <w:rPr>
          <w:rFonts w:hint="default" w:ascii="楷体" w:hAnsi="楷体" w:eastAsia="楷体" w:cs="楷体"/>
          <w:b/>
          <w:bCs/>
          <w:sz w:val="32"/>
          <w:szCs w:val="32"/>
          <w:lang w:val="en-US" w:eastAsia="zh-CN"/>
        </w:rPr>
      </w:pPr>
      <w:r>
        <w:rPr>
          <w:rFonts w:hint="eastAsia" w:ascii="楷体" w:hAnsi="楷体" w:eastAsia="楷体" w:cs="楷体"/>
          <w:b/>
          <w:bCs/>
          <w:sz w:val="32"/>
          <w:szCs w:val="32"/>
        </w:rPr>
        <w:t>绩效目标设定情况</w:t>
      </w:r>
    </w:p>
    <w:p w14:paraId="6703D5AF">
      <w:pPr>
        <w:widowControl/>
        <w:spacing w:line="60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在今年收支预算内，确保完成以下整体绩效目标：</w:t>
      </w:r>
    </w:p>
    <w:p w14:paraId="1804A811">
      <w:pPr>
        <w:widowControl/>
        <w:spacing w:line="600" w:lineRule="exact"/>
        <w:ind w:firstLine="645"/>
        <w:jc w:val="left"/>
        <w:rPr>
          <w:rFonts w:hint="eastAsia" w:eastAsia="仿宋_GB2312"/>
          <w:sz w:val="32"/>
          <w:szCs w:val="32"/>
          <w:lang w:val="en-US" w:eastAsia="zh-CN"/>
        </w:rPr>
      </w:pPr>
      <w:r>
        <w:rPr>
          <w:rFonts w:hint="eastAsia" w:eastAsia="仿宋_GB2312"/>
          <w:sz w:val="32"/>
          <w:szCs w:val="32"/>
          <w:lang w:val="en-US" w:eastAsia="zh-CN"/>
        </w:rPr>
        <w:t>目标1：确保人员经费及时足额发放。</w:t>
      </w:r>
    </w:p>
    <w:p w14:paraId="3631F1FE">
      <w:pPr>
        <w:widowControl/>
        <w:spacing w:line="600" w:lineRule="exact"/>
        <w:ind w:firstLine="645"/>
        <w:jc w:val="left"/>
        <w:rPr>
          <w:rFonts w:hint="eastAsia" w:eastAsia="仿宋_GB2312"/>
          <w:sz w:val="32"/>
          <w:szCs w:val="32"/>
          <w:lang w:val="en-US" w:eastAsia="zh-CN"/>
        </w:rPr>
      </w:pPr>
      <w:r>
        <w:rPr>
          <w:rFonts w:hint="eastAsia" w:eastAsia="仿宋_GB2312"/>
          <w:sz w:val="32"/>
          <w:szCs w:val="32"/>
          <w:lang w:val="en-US" w:eastAsia="zh-CN"/>
        </w:rPr>
        <w:t>目标2：组织好教育教学、科技制作活动，完成小学教育教学质量。</w:t>
      </w:r>
    </w:p>
    <w:p w14:paraId="6BEB33A2">
      <w:pPr>
        <w:widowControl/>
        <w:spacing w:line="600" w:lineRule="exact"/>
        <w:ind w:firstLine="645"/>
        <w:jc w:val="left"/>
        <w:rPr>
          <w:rFonts w:hint="default" w:ascii="楷体" w:hAnsi="楷体" w:eastAsia="楷体" w:cs="楷体"/>
          <w:b/>
          <w:bCs/>
          <w:sz w:val="32"/>
          <w:szCs w:val="32"/>
          <w:lang w:val="en-US" w:eastAsia="zh-CN"/>
        </w:rPr>
      </w:pPr>
      <w:r>
        <w:rPr>
          <w:rFonts w:hint="eastAsia" w:eastAsia="仿宋_GB2312"/>
          <w:sz w:val="32"/>
          <w:szCs w:val="32"/>
          <w:lang w:val="en-US" w:eastAsia="zh-CN"/>
        </w:rPr>
        <w:t>目标3：合理安排三公经费和日常运行办公费开支。</w:t>
      </w:r>
      <w:r>
        <w:rPr>
          <w:rFonts w:hint="eastAsia" w:ascii="楷体" w:hAnsi="楷体" w:eastAsia="楷体" w:cs="楷体"/>
          <w:b/>
          <w:bCs/>
          <w:sz w:val="32"/>
          <w:szCs w:val="32"/>
          <w:lang w:val="en-US" w:eastAsia="zh-CN"/>
        </w:rPr>
        <w:t xml:space="preserve">      </w:t>
      </w:r>
    </w:p>
    <w:p w14:paraId="5629B6CC">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14:paraId="3FE4E1E4">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14:paraId="3C1A4475">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14:paraId="74E203D0">
      <w:pPr>
        <w:widowControl/>
        <w:spacing w:line="600" w:lineRule="exact"/>
        <w:ind w:firstLine="645"/>
        <w:jc w:val="left"/>
        <w:rPr>
          <w:rFonts w:hint="eastAsia" w:eastAsia="仿宋_GB2312"/>
          <w:sz w:val="32"/>
          <w:szCs w:val="32"/>
        </w:rPr>
      </w:pPr>
      <w:r>
        <w:rPr>
          <w:rFonts w:hint="eastAsia" w:eastAsia="仿宋_GB2312"/>
          <w:sz w:val="32"/>
          <w:szCs w:val="32"/>
        </w:rPr>
        <w:t>1.基本支出情况</w:t>
      </w:r>
    </w:p>
    <w:p w14:paraId="387E5B50">
      <w:pPr>
        <w:widowControl/>
        <w:spacing w:line="600" w:lineRule="exact"/>
        <w:ind w:firstLine="645"/>
        <w:jc w:val="left"/>
        <w:rPr>
          <w:rFonts w:hint="eastAsia" w:eastAsia="仿宋_GB2312"/>
          <w:sz w:val="32"/>
          <w:szCs w:val="32"/>
        </w:rPr>
      </w:pPr>
      <w:r>
        <w:rPr>
          <w:rFonts w:hint="eastAsia" w:eastAsia="仿宋_GB2312"/>
          <w:sz w:val="32"/>
          <w:szCs w:val="32"/>
        </w:rPr>
        <w:t>我单位整体支出</w:t>
      </w:r>
      <w:r>
        <w:rPr>
          <w:rFonts w:hint="eastAsia" w:eastAsia="仿宋_GB2312"/>
          <w:sz w:val="32"/>
          <w:szCs w:val="32"/>
          <w:lang w:val="en-US" w:eastAsia="zh-CN"/>
        </w:rPr>
        <w:t>1098.05</w:t>
      </w:r>
      <w:r>
        <w:rPr>
          <w:rFonts w:hint="eastAsia" w:eastAsia="仿宋_GB2312"/>
          <w:sz w:val="32"/>
          <w:szCs w:val="32"/>
        </w:rPr>
        <w:t>万元：工资福利支出</w:t>
      </w:r>
      <w:r>
        <w:rPr>
          <w:rFonts w:hint="eastAsia" w:eastAsia="仿宋_GB2312"/>
          <w:sz w:val="32"/>
          <w:szCs w:val="32"/>
          <w:lang w:val="en-US" w:eastAsia="zh-CN"/>
        </w:rPr>
        <w:t>531.1</w:t>
      </w:r>
      <w:r>
        <w:rPr>
          <w:rFonts w:hint="eastAsia" w:eastAsia="仿宋_GB2312"/>
          <w:sz w:val="32"/>
          <w:szCs w:val="32"/>
        </w:rPr>
        <w:t>万元，占总支出</w:t>
      </w:r>
      <w:r>
        <w:rPr>
          <w:rFonts w:hint="eastAsia" w:eastAsia="仿宋_GB2312"/>
          <w:sz w:val="32"/>
          <w:szCs w:val="32"/>
          <w:lang w:val="en-US" w:eastAsia="zh-CN"/>
        </w:rPr>
        <w:t>48.37</w:t>
      </w:r>
      <w:r>
        <w:rPr>
          <w:rFonts w:hint="eastAsia" w:eastAsia="仿宋_GB2312"/>
          <w:sz w:val="32"/>
          <w:szCs w:val="32"/>
        </w:rPr>
        <w:t>%；商品和服务支出</w:t>
      </w:r>
      <w:r>
        <w:rPr>
          <w:rFonts w:hint="eastAsia" w:eastAsia="仿宋_GB2312"/>
          <w:sz w:val="32"/>
          <w:szCs w:val="32"/>
          <w:lang w:val="en-US" w:eastAsia="zh-CN"/>
        </w:rPr>
        <w:t>255.22</w:t>
      </w:r>
      <w:r>
        <w:rPr>
          <w:rFonts w:hint="eastAsia" w:eastAsia="仿宋_GB2312"/>
          <w:sz w:val="32"/>
          <w:szCs w:val="32"/>
        </w:rPr>
        <w:t>万元，占总支出</w:t>
      </w:r>
      <w:r>
        <w:rPr>
          <w:rFonts w:hint="eastAsia" w:eastAsia="仿宋_GB2312"/>
          <w:sz w:val="32"/>
          <w:szCs w:val="32"/>
          <w:lang w:val="en-US" w:eastAsia="zh-CN"/>
        </w:rPr>
        <w:t>23.24</w:t>
      </w:r>
      <w:r>
        <w:rPr>
          <w:rFonts w:hint="eastAsia" w:eastAsia="仿宋_GB2312"/>
          <w:sz w:val="32"/>
          <w:szCs w:val="32"/>
        </w:rPr>
        <w:t>%；对个人与家庭补助</w:t>
      </w:r>
      <w:r>
        <w:rPr>
          <w:rFonts w:hint="eastAsia" w:eastAsia="仿宋_GB2312"/>
          <w:sz w:val="32"/>
          <w:szCs w:val="32"/>
          <w:lang w:val="en-US" w:eastAsia="zh-CN"/>
        </w:rPr>
        <w:t>45.9</w:t>
      </w:r>
      <w:r>
        <w:rPr>
          <w:rFonts w:hint="eastAsia" w:eastAsia="仿宋_GB2312"/>
          <w:sz w:val="32"/>
          <w:szCs w:val="32"/>
        </w:rPr>
        <w:t>万元，占总支出</w:t>
      </w:r>
      <w:r>
        <w:rPr>
          <w:rFonts w:hint="eastAsia" w:eastAsia="仿宋_GB2312"/>
          <w:sz w:val="32"/>
          <w:szCs w:val="32"/>
          <w:lang w:val="en-US" w:eastAsia="zh-CN"/>
        </w:rPr>
        <w:t>4.18</w:t>
      </w:r>
      <w:r>
        <w:rPr>
          <w:rFonts w:hint="eastAsia" w:eastAsia="仿宋_GB2312"/>
          <w:sz w:val="32"/>
          <w:szCs w:val="32"/>
        </w:rPr>
        <w:t>%；资本性支出（基本建设）</w:t>
      </w:r>
      <w:r>
        <w:rPr>
          <w:rFonts w:hint="eastAsia" w:eastAsia="仿宋_GB2312"/>
          <w:sz w:val="32"/>
          <w:szCs w:val="32"/>
          <w:lang w:val="en-US" w:eastAsia="zh-CN"/>
        </w:rPr>
        <w:t>113.94</w:t>
      </w:r>
      <w:r>
        <w:rPr>
          <w:rFonts w:hint="eastAsia" w:eastAsia="仿宋_GB2312"/>
          <w:sz w:val="32"/>
          <w:szCs w:val="32"/>
        </w:rPr>
        <w:t>万元、其它资本性支出</w:t>
      </w:r>
      <w:r>
        <w:rPr>
          <w:rFonts w:hint="eastAsia" w:eastAsia="仿宋_GB2312"/>
          <w:sz w:val="32"/>
          <w:szCs w:val="32"/>
          <w:lang w:val="en-US" w:eastAsia="zh-CN"/>
        </w:rPr>
        <w:t>151.88</w:t>
      </w:r>
      <w:r>
        <w:rPr>
          <w:rFonts w:hint="eastAsia" w:eastAsia="仿宋_GB2312"/>
          <w:sz w:val="32"/>
          <w:szCs w:val="32"/>
        </w:rPr>
        <w:t>万元，占总支出</w:t>
      </w:r>
      <w:r>
        <w:rPr>
          <w:rFonts w:hint="eastAsia" w:eastAsia="仿宋_GB2312"/>
          <w:sz w:val="32"/>
          <w:szCs w:val="32"/>
          <w:lang w:val="en-US" w:eastAsia="zh-CN"/>
        </w:rPr>
        <w:t>24.21</w:t>
      </w:r>
      <w:r>
        <w:rPr>
          <w:rFonts w:hint="eastAsia" w:eastAsia="仿宋_GB2312"/>
          <w:sz w:val="32"/>
          <w:szCs w:val="32"/>
        </w:rPr>
        <w:t>%。</w:t>
      </w:r>
    </w:p>
    <w:p w14:paraId="48EF5DEA">
      <w:pPr>
        <w:widowControl/>
        <w:spacing w:line="600" w:lineRule="exact"/>
        <w:ind w:firstLine="645"/>
        <w:jc w:val="left"/>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年邵阳县蔡桥乡中心</w:t>
      </w:r>
      <w:r>
        <w:rPr>
          <w:rFonts w:hint="eastAsia" w:eastAsia="仿宋_GB2312"/>
          <w:sz w:val="32"/>
          <w:szCs w:val="32"/>
          <w:lang w:eastAsia="zh-CN"/>
        </w:rPr>
        <w:t>完小</w:t>
      </w:r>
      <w:r>
        <w:rPr>
          <w:rFonts w:hint="eastAsia" w:eastAsia="仿宋_GB2312"/>
          <w:sz w:val="32"/>
          <w:szCs w:val="32"/>
        </w:rPr>
        <w:t>预算支出为</w:t>
      </w:r>
      <w:r>
        <w:rPr>
          <w:rFonts w:hint="eastAsia" w:eastAsia="仿宋_GB2312"/>
          <w:sz w:val="32"/>
          <w:szCs w:val="32"/>
          <w:lang w:val="en-US" w:eastAsia="zh-CN"/>
        </w:rPr>
        <w:t>485.81</w:t>
      </w:r>
      <w:r>
        <w:rPr>
          <w:rFonts w:hint="eastAsia" w:eastAsia="仿宋_GB2312"/>
          <w:sz w:val="32"/>
          <w:szCs w:val="32"/>
        </w:rPr>
        <w:t>万元，主要包括工资福利支出、商品和服务支出、对个人和家庭的补助支出。</w:t>
      </w:r>
    </w:p>
    <w:p w14:paraId="6BDF0D5F">
      <w:pPr>
        <w:widowControl/>
        <w:spacing w:line="600" w:lineRule="exact"/>
        <w:ind w:firstLine="645"/>
        <w:jc w:val="left"/>
        <w:rPr>
          <w:rFonts w:hint="eastAsia" w:eastAsia="仿宋_GB2312"/>
          <w:sz w:val="32"/>
          <w:szCs w:val="32"/>
        </w:rPr>
      </w:pPr>
      <w:r>
        <w:rPr>
          <w:rFonts w:hint="eastAsia" w:eastAsia="仿宋_GB2312"/>
          <w:sz w:val="32"/>
          <w:szCs w:val="32"/>
        </w:rPr>
        <w:t>2.项目支出情况</w:t>
      </w:r>
    </w:p>
    <w:p w14:paraId="2B7BCEB8">
      <w:pPr>
        <w:widowControl/>
        <w:spacing w:line="600" w:lineRule="exact"/>
        <w:ind w:firstLine="645"/>
        <w:jc w:val="left"/>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年度县财政安排专项经费0万元。</w:t>
      </w:r>
    </w:p>
    <w:p w14:paraId="196BFB20">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14:paraId="37F7290F">
      <w:pPr>
        <w:widowControl/>
        <w:spacing w:line="600" w:lineRule="exact"/>
        <w:ind w:firstLine="645"/>
        <w:jc w:val="left"/>
        <w:rPr>
          <w:rFonts w:hint="eastAsia" w:eastAsia="仿宋_GB2312"/>
          <w:sz w:val="32"/>
          <w:szCs w:val="32"/>
          <w:lang w:eastAsia="zh-CN"/>
        </w:rPr>
      </w:pPr>
      <w:r>
        <w:rPr>
          <w:rFonts w:hint="eastAsia" w:eastAsia="仿宋_GB2312"/>
          <w:sz w:val="32"/>
          <w:szCs w:val="32"/>
        </w:rPr>
        <w:t>我单位认真贯彻落实厉行节约，严控三公经费，降低一般运行经费，加强项目支出管理等方面取得了一定成绩。202</w:t>
      </w:r>
      <w:r>
        <w:rPr>
          <w:rFonts w:hint="eastAsia" w:eastAsia="仿宋_GB2312"/>
          <w:sz w:val="32"/>
          <w:szCs w:val="32"/>
          <w:lang w:val="en-US" w:eastAsia="zh-CN"/>
        </w:rPr>
        <w:t>3</w:t>
      </w:r>
      <w:r>
        <w:rPr>
          <w:rFonts w:hint="eastAsia" w:eastAsia="仿宋_GB2312"/>
          <w:sz w:val="32"/>
          <w:szCs w:val="32"/>
        </w:rPr>
        <w:t>年实际支出没有超出预算规模、范围和标准，所有的三公”经费合法、合规。</w:t>
      </w:r>
    </w:p>
    <w:p w14:paraId="23DEBA5A">
      <w:pPr>
        <w:widowControl/>
        <w:spacing w:line="600" w:lineRule="exact"/>
        <w:ind w:firstLine="645"/>
        <w:jc w:val="left"/>
        <w:rPr>
          <w:rFonts w:hint="eastAsia" w:ascii="楷体" w:hAnsi="楷体" w:eastAsia="仿宋_GB2312" w:cs="楷体"/>
          <w:b/>
          <w:bCs/>
          <w:sz w:val="32"/>
          <w:szCs w:val="32"/>
          <w:lang w:eastAsia="zh-CN"/>
        </w:rPr>
      </w:pPr>
      <w:r>
        <w:rPr>
          <w:rFonts w:hint="eastAsia" w:eastAsia="仿宋_GB2312"/>
          <w:sz w:val="32"/>
          <w:szCs w:val="32"/>
        </w:rPr>
        <w:t>严格控制公务接待。我单位公务接待按照务实节约、杜绝浪费的原则管理和规范公务接待工作，并明确招待用餐档次和限额，要求出具接待函、介绍信和参加人员明细清单方可报销招待费。202</w:t>
      </w:r>
      <w:r>
        <w:rPr>
          <w:rFonts w:hint="eastAsia" w:eastAsia="仿宋_GB2312"/>
          <w:sz w:val="32"/>
          <w:szCs w:val="32"/>
          <w:lang w:val="en-US" w:eastAsia="zh-CN"/>
        </w:rPr>
        <w:t>3</w:t>
      </w:r>
      <w:r>
        <w:rPr>
          <w:rFonts w:hint="eastAsia" w:eastAsia="仿宋_GB2312"/>
          <w:sz w:val="32"/>
          <w:szCs w:val="32"/>
        </w:rPr>
        <w:t>年三公经费开支0.</w:t>
      </w:r>
      <w:r>
        <w:rPr>
          <w:rFonts w:hint="eastAsia" w:eastAsia="仿宋_GB2312"/>
          <w:sz w:val="32"/>
          <w:szCs w:val="32"/>
          <w:lang w:val="en-US" w:eastAsia="zh-CN"/>
        </w:rPr>
        <w:t>54</w:t>
      </w:r>
      <w:r>
        <w:rPr>
          <w:rFonts w:hint="eastAsia" w:eastAsia="仿宋_GB2312"/>
          <w:sz w:val="32"/>
          <w:szCs w:val="32"/>
        </w:rPr>
        <w:t>万元，严格按照财政相关部门规定没有超标</w:t>
      </w:r>
      <w:r>
        <w:rPr>
          <w:rFonts w:hint="eastAsia" w:eastAsia="仿宋_GB2312"/>
          <w:sz w:val="32"/>
          <w:szCs w:val="32"/>
          <w:lang w:eastAsia="zh-CN"/>
        </w:rPr>
        <w:t>。</w:t>
      </w:r>
    </w:p>
    <w:p w14:paraId="20891F17">
      <w:pPr>
        <w:widowControl/>
        <w:numPr>
          <w:ilvl w:val="0"/>
          <w:numId w:val="0"/>
        </w:numPr>
        <w:spacing w:line="600" w:lineRule="exact"/>
        <w:ind w:left="645" w:leftChars="0"/>
        <w:jc w:val="left"/>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资金结转和结余情况</w:t>
      </w:r>
    </w:p>
    <w:p w14:paraId="60BC8A20">
      <w:pPr>
        <w:widowControl/>
        <w:numPr>
          <w:ilvl w:val="0"/>
          <w:numId w:val="0"/>
        </w:numPr>
        <w:spacing w:line="600" w:lineRule="exact"/>
        <w:ind w:left="645" w:leftChars="0"/>
        <w:jc w:val="left"/>
        <w:rPr>
          <w:rFonts w:hint="eastAsia" w:ascii="楷体" w:hAnsi="楷体" w:eastAsia="楷体" w:cs="楷体"/>
          <w:b/>
          <w:bCs/>
          <w:sz w:val="32"/>
          <w:szCs w:val="32"/>
        </w:rPr>
      </w:pPr>
      <w:r>
        <w:rPr>
          <w:rFonts w:hint="eastAsia" w:ascii="Calibri" w:hAnsi="Calibri" w:eastAsia="仿宋_GB2312" w:cs="Times New Roman"/>
          <w:kern w:val="2"/>
          <w:sz w:val="32"/>
          <w:szCs w:val="32"/>
          <w:lang w:val="en-US" w:eastAsia="zh-CN" w:bidi="ar-SA"/>
        </w:rPr>
        <w:t>2023年度我单位无</w:t>
      </w:r>
      <w:r>
        <w:rPr>
          <w:rFonts w:hint="eastAsia" w:eastAsia="仿宋_GB2312" w:cs="Times New Roman"/>
          <w:kern w:val="2"/>
          <w:sz w:val="32"/>
          <w:szCs w:val="32"/>
          <w:lang w:val="en-US" w:eastAsia="zh-CN" w:bidi="ar-SA"/>
        </w:rPr>
        <w:t>资金结转和结余情况</w:t>
      </w:r>
      <w:r>
        <w:rPr>
          <w:rFonts w:hint="eastAsia" w:ascii="Calibri" w:hAnsi="Calibri" w:eastAsia="仿宋_GB2312" w:cs="Times New Roman"/>
          <w:kern w:val="2"/>
          <w:sz w:val="32"/>
          <w:szCs w:val="32"/>
          <w:lang w:val="en-US" w:eastAsia="zh-CN" w:bidi="ar-SA"/>
        </w:rPr>
        <w:t>。</w:t>
      </w:r>
    </w:p>
    <w:p w14:paraId="059D05D6">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14:paraId="093153B2">
      <w:pPr>
        <w:widowControl/>
        <w:spacing w:line="600" w:lineRule="exact"/>
        <w:ind w:firstLine="645"/>
        <w:jc w:val="left"/>
        <w:rPr>
          <w:rFonts w:hint="eastAsia" w:eastAsia="仿宋_GB2312"/>
          <w:sz w:val="32"/>
          <w:szCs w:val="32"/>
          <w:lang w:val="en-US" w:eastAsia="zh-CN"/>
        </w:rPr>
      </w:pPr>
      <w:r>
        <w:rPr>
          <w:rFonts w:hint="eastAsia" w:eastAsia="仿宋_GB2312"/>
          <w:sz w:val="32"/>
          <w:szCs w:val="32"/>
        </w:rPr>
        <w:t>2023年度我单位整体</w:t>
      </w:r>
      <w:r>
        <w:rPr>
          <w:rFonts w:hint="eastAsia" w:eastAsia="仿宋_GB2312"/>
          <w:sz w:val="32"/>
          <w:szCs w:val="32"/>
          <w:lang w:eastAsia="zh-CN"/>
        </w:rPr>
        <w:t>支出</w:t>
      </w:r>
      <w:r>
        <w:rPr>
          <w:rFonts w:hint="eastAsia" w:eastAsia="仿宋_GB2312"/>
          <w:sz w:val="32"/>
          <w:szCs w:val="32"/>
        </w:rPr>
        <w:t>绩效良好，建立健全的《专项经费管理暂行规定》、《财务支出会审制度》等内部制度，各项目标达到了相应时期执行进度，使财政收支预算执行都得到了良好制度保障和实施的效果。</w:t>
      </w:r>
    </w:p>
    <w:p w14:paraId="22DDD853">
      <w:pPr>
        <w:widowControl/>
        <w:spacing w:line="600" w:lineRule="exact"/>
        <w:ind w:firstLine="645"/>
        <w:jc w:val="left"/>
        <w:rPr>
          <w:rFonts w:hint="eastAsia" w:eastAsia="黑体"/>
          <w:sz w:val="32"/>
          <w:szCs w:val="32"/>
        </w:rPr>
      </w:pPr>
      <w:r>
        <w:rPr>
          <w:rFonts w:hint="eastAsia" w:eastAsia="黑体"/>
          <w:sz w:val="32"/>
          <w:szCs w:val="32"/>
        </w:rPr>
        <w:t>三、政府性基金预算支出情况</w:t>
      </w:r>
    </w:p>
    <w:p w14:paraId="7D508754">
      <w:pPr>
        <w:pStyle w:val="10"/>
        <w:spacing w:line="560" w:lineRule="exact"/>
        <w:ind w:left="640" w:firstLine="0" w:firstLineChars="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2023年度我单位无政府性基金预算支出。</w:t>
      </w:r>
    </w:p>
    <w:p w14:paraId="71EB030C">
      <w:pPr>
        <w:widowControl/>
        <w:numPr>
          <w:ilvl w:val="0"/>
          <w:numId w:val="2"/>
        </w:numPr>
        <w:spacing w:line="600" w:lineRule="exact"/>
        <w:ind w:firstLine="645"/>
        <w:jc w:val="left"/>
        <w:rPr>
          <w:rFonts w:hint="eastAsia" w:eastAsia="黑体"/>
          <w:sz w:val="32"/>
          <w:szCs w:val="32"/>
        </w:rPr>
      </w:pPr>
      <w:r>
        <w:rPr>
          <w:rFonts w:hint="eastAsia" w:eastAsia="黑体"/>
          <w:sz w:val="32"/>
          <w:szCs w:val="32"/>
        </w:rPr>
        <w:t>国有资本经营预算支出情况</w:t>
      </w:r>
    </w:p>
    <w:p w14:paraId="0F77F589">
      <w:pPr>
        <w:widowControl/>
        <w:numPr>
          <w:ilvl w:val="0"/>
          <w:numId w:val="0"/>
        </w:numPr>
        <w:spacing w:line="600" w:lineRule="exact"/>
        <w:jc w:val="left"/>
        <w:rPr>
          <w:rFonts w:hint="default" w:eastAsia="黑体"/>
          <w:sz w:val="32"/>
          <w:szCs w:val="32"/>
          <w:lang w:val="en-US" w:eastAsia="zh-CN"/>
        </w:rPr>
      </w:pPr>
      <w:r>
        <w:rPr>
          <w:rFonts w:hint="eastAsia" w:eastAsia="黑体"/>
          <w:sz w:val="32"/>
          <w:szCs w:val="32"/>
          <w:lang w:val="en-US" w:eastAsia="zh-CN"/>
        </w:rPr>
        <w:t xml:space="preserve">    </w:t>
      </w:r>
      <w:r>
        <w:rPr>
          <w:rFonts w:hint="eastAsia" w:ascii="Calibri" w:hAnsi="Calibri"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eastAsia" w:ascii="Calibri" w:hAnsi="Calibri" w:eastAsia="仿宋_GB2312" w:cs="Times New Roman"/>
          <w:kern w:val="2"/>
          <w:sz w:val="32"/>
          <w:szCs w:val="32"/>
          <w:lang w:val="en-US" w:eastAsia="zh-CN" w:bidi="ar-SA"/>
        </w:rPr>
        <w:t>年度我单位无国有资本经营预算支出。</w:t>
      </w:r>
    </w:p>
    <w:p w14:paraId="7A65D141">
      <w:pPr>
        <w:widowControl/>
        <w:numPr>
          <w:ilvl w:val="0"/>
          <w:numId w:val="2"/>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14:paraId="517E1958">
      <w:pPr>
        <w:widowControl/>
        <w:numPr>
          <w:ilvl w:val="0"/>
          <w:numId w:val="0"/>
        </w:numPr>
        <w:spacing w:line="600" w:lineRule="exact"/>
        <w:ind w:left="645" w:leftChars="0"/>
        <w:jc w:val="left"/>
        <w:rPr>
          <w:rFonts w:hint="eastAsia" w:eastAsia="黑体"/>
          <w:sz w:val="32"/>
          <w:szCs w:val="32"/>
        </w:rPr>
      </w:pPr>
      <w:r>
        <w:rPr>
          <w:rFonts w:hint="eastAsia" w:ascii="Calibri" w:hAnsi="Calibri"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eastAsia" w:ascii="Calibri" w:hAnsi="Calibri" w:eastAsia="仿宋_GB2312" w:cs="Times New Roman"/>
          <w:kern w:val="2"/>
          <w:sz w:val="32"/>
          <w:szCs w:val="32"/>
          <w:lang w:val="en-US" w:eastAsia="zh-CN" w:bidi="ar-SA"/>
        </w:rPr>
        <w:t>年度我单位无社会保险基金预算支出。</w:t>
      </w:r>
    </w:p>
    <w:p w14:paraId="2447EBE6">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14:paraId="4FBADAFE">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从预算配置情况看，预算资金覆盖所有工作的各个需求方面，“三公”经费预算没有超过上年预算安排。2023年预算资金能保障单位正常运转需要，考虑的因素必要合理，分配的结果合理，能基本保证人员经费支出和单位全年工作任务的完成。</w:t>
      </w:r>
    </w:p>
    <w:p w14:paraId="6D96D7BF">
      <w:pPr>
        <w:widowControl/>
        <w:spacing w:line="560" w:lineRule="exact"/>
        <w:ind w:firstLine="640" w:firstLineChars="200"/>
        <w:jc w:val="left"/>
        <w:rPr>
          <w:rFonts w:hint="eastAsia" w:eastAsia="仿宋_GB2312"/>
          <w:sz w:val="32"/>
          <w:szCs w:val="32"/>
        </w:rPr>
      </w:pPr>
      <w:r>
        <w:rPr>
          <w:rFonts w:hint="eastAsia" w:eastAsia="仿宋_GB2312"/>
          <w:sz w:val="32"/>
          <w:szCs w:val="32"/>
          <w:lang w:val="en-US" w:eastAsia="zh-CN"/>
        </w:rPr>
        <w:t>从预算执行情况看，我单位结转资金已按照规定上报，“三公”经费支出控制在年初预算内。从预算管理看，建立健全的《专项经费管理暂行规定》、《财务支出会审制度》等内部制度。从资产管理看，固定资产做到帐帐、帐证、帐实相符，无闲置浪费现象。</w:t>
      </w:r>
    </w:p>
    <w:p w14:paraId="7EA8294A">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2F1CF3C3">
      <w:pPr>
        <w:widowControl/>
        <w:spacing w:line="600" w:lineRule="exact"/>
        <w:ind w:firstLine="645"/>
        <w:jc w:val="left"/>
        <w:rPr>
          <w:rFonts w:hint="eastAsia" w:eastAsia="仿宋_GB2312"/>
          <w:sz w:val="32"/>
          <w:szCs w:val="32"/>
        </w:rPr>
      </w:pPr>
      <w:r>
        <w:rPr>
          <w:rFonts w:hint="eastAsia" w:eastAsia="仿宋_GB2312"/>
          <w:sz w:val="32"/>
          <w:szCs w:val="32"/>
        </w:rPr>
        <w:t>通过对我单位整体支出情况的分析，反映出目前在整体支出的预算编制、执行和管理过程中，依然存在一些不足。主要是对于绩效评价的认识不够深入，实际工作中存在把预算绩效简单等同于工作目标、工作考核，绩效目标和指标往往根据项目实际完成情况制定，对项目执行过程有效约束不够，存在一定的偏差。</w:t>
      </w:r>
    </w:p>
    <w:p w14:paraId="28EAEAFE">
      <w:pPr>
        <w:widowControl/>
        <w:numPr>
          <w:ilvl w:val="0"/>
          <w:numId w:val="3"/>
        </w:numPr>
        <w:spacing w:line="600" w:lineRule="exact"/>
        <w:ind w:firstLine="645"/>
        <w:jc w:val="left"/>
        <w:rPr>
          <w:rFonts w:hint="eastAsia" w:eastAsia="黑体"/>
          <w:sz w:val="32"/>
          <w:szCs w:val="32"/>
        </w:rPr>
      </w:pPr>
      <w:r>
        <w:rPr>
          <w:rFonts w:hint="eastAsia" w:eastAsia="黑体"/>
          <w:sz w:val="32"/>
          <w:szCs w:val="32"/>
        </w:rPr>
        <w:t>下一步改进措施</w:t>
      </w:r>
    </w:p>
    <w:p w14:paraId="686EFCE3">
      <w:pPr>
        <w:widowControl/>
        <w:numPr>
          <w:ilvl w:val="0"/>
          <w:numId w:val="0"/>
        </w:numPr>
        <w:spacing w:line="600" w:lineRule="exact"/>
        <w:jc w:val="left"/>
        <w:rPr>
          <w:rFonts w:hint="eastAsia" w:eastAsia="黑体"/>
          <w:sz w:val="32"/>
          <w:szCs w:val="32"/>
        </w:rPr>
      </w:pPr>
      <w:r>
        <w:rPr>
          <w:rFonts w:hint="eastAsia" w:eastAsia="仿宋_GB2312"/>
          <w:sz w:val="32"/>
          <w:szCs w:val="32"/>
          <w:lang w:val="en-US" w:eastAsia="zh-CN"/>
        </w:rPr>
        <w:t>规范账务处理，提高财务信息质量；完善管理制度，进一步加强资产管理；加强新行政事业单位会计制度和新预算法的学习及培训</w:t>
      </w:r>
    </w:p>
    <w:p w14:paraId="44AA45E9">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14:paraId="7E7DC273">
      <w:pPr>
        <w:adjustRightInd w:val="0"/>
        <w:snapToGrid w:val="0"/>
        <w:spacing w:line="560" w:lineRule="exact"/>
        <w:rPr>
          <w:rFonts w:hint="eastAsia" w:ascii="黑体" w:hAnsi="黑体" w:eastAsia="黑体" w:cs="黑体"/>
          <w:sz w:val="32"/>
          <w:szCs w:val="32"/>
        </w:rPr>
      </w:pPr>
    </w:p>
    <w:p w14:paraId="171F95A6">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0C033E77">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558D5017">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11D86442">
      <w:pPr>
        <w:rPr>
          <w:rFonts w:ascii="仿宋" w:hAnsi="仿宋" w:eastAsia="仿宋" w:cs="仿宋"/>
          <w:sz w:val="32"/>
          <w:szCs w:val="32"/>
        </w:rPr>
      </w:pPr>
    </w:p>
    <w:p w14:paraId="1A865471">
      <w:pPr>
        <w:rPr>
          <w:rFonts w:ascii="仿宋" w:hAnsi="仿宋" w:eastAsia="仿宋" w:cs="仿宋"/>
          <w:sz w:val="32"/>
          <w:szCs w:val="32"/>
        </w:rPr>
      </w:pPr>
    </w:p>
    <w:p w14:paraId="0946F07D">
      <w:pPr>
        <w:rPr>
          <w:rFonts w:ascii="仿宋" w:hAnsi="仿宋" w:eastAsia="仿宋" w:cs="仿宋"/>
          <w:sz w:val="32"/>
          <w:szCs w:val="32"/>
        </w:rPr>
      </w:pPr>
    </w:p>
    <w:p w14:paraId="57B0084B">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24768EA3">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23964DAD">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60EB2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79872415">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2787D18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094BEEA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0DC9D00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0551D73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2E6C762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3ABCAB6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56C8533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2662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61933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投入</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14</w:t>
            </w:r>
            <w:r>
              <w:rPr>
                <w:rStyle w:val="12"/>
                <w:lang w:val="en-US" w:eastAsia="zh-CN" w:bidi="ar"/>
              </w:rPr>
              <w:t>分）</w:t>
            </w:r>
          </w:p>
        </w:tc>
        <w:tc>
          <w:tcPr>
            <w:tcW w:w="870" w:type="dxa"/>
            <w:vMerge w:val="restart"/>
            <w:tcBorders>
              <w:tl2br w:val="nil"/>
              <w:tr2bl w:val="nil"/>
            </w:tcBorders>
            <w:noWrap w:val="0"/>
            <w:vAlign w:val="center"/>
          </w:tcPr>
          <w:p w14:paraId="093E71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目标</w:t>
            </w:r>
            <w:r>
              <w:rPr>
                <w:rStyle w:val="13"/>
                <w:rFonts w:eastAsia="宋体"/>
                <w:lang w:val="en-US" w:eastAsia="zh-CN" w:bidi="ar"/>
              </w:rPr>
              <w:br w:type="textWrapping"/>
            </w:r>
            <w:r>
              <w:rPr>
                <w:rStyle w:val="12"/>
                <w:lang w:val="en-US" w:eastAsia="zh-CN" w:bidi="ar"/>
              </w:rPr>
              <w:t>设定</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14:paraId="16A57D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w:t>
            </w:r>
            <w:r>
              <w:rPr>
                <w:rStyle w:val="13"/>
                <w:rFonts w:eastAsia="宋体"/>
                <w:lang w:val="en-US" w:eastAsia="zh-CN" w:bidi="ar"/>
              </w:rPr>
              <w:br w:type="textWrapping"/>
            </w:r>
            <w:r>
              <w:rPr>
                <w:rStyle w:val="12"/>
                <w:lang w:val="en-US" w:eastAsia="zh-CN" w:bidi="ar"/>
              </w:rPr>
              <w:t>合理性</w:t>
            </w:r>
          </w:p>
        </w:tc>
        <w:tc>
          <w:tcPr>
            <w:tcW w:w="495" w:type="dxa"/>
            <w:tcBorders>
              <w:tl2br w:val="nil"/>
              <w:tr2bl w:val="nil"/>
            </w:tcBorders>
            <w:noWrap w:val="0"/>
            <w:vAlign w:val="center"/>
          </w:tcPr>
          <w:p w14:paraId="4F9AB4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477F37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74426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①是否符合国家法律法规、国民经济和社会发展总体规划；</w:t>
            </w:r>
            <w:r>
              <w:rPr>
                <w:rStyle w:val="13"/>
                <w:rFonts w:eastAsia="宋体"/>
                <w:lang w:val="en-US" w:eastAsia="zh-CN" w:bidi="ar"/>
              </w:rPr>
              <w:br w:type="textWrapping"/>
            </w:r>
            <w:r>
              <w:rPr>
                <w:rStyle w:val="12"/>
                <w:lang w:val="en-US" w:eastAsia="zh-CN" w:bidi="ar"/>
              </w:rPr>
              <w:t>②是否符合部门</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方案确定的职责；</w:t>
            </w:r>
            <w:r>
              <w:rPr>
                <w:rStyle w:val="13"/>
                <w:rFonts w:eastAsia="宋体"/>
                <w:lang w:val="en-US" w:eastAsia="zh-CN" w:bidi="ar"/>
              </w:rPr>
              <w:br w:type="textWrapping"/>
            </w:r>
            <w:r>
              <w:rPr>
                <w:rStyle w:val="12"/>
                <w:lang w:val="en-US" w:eastAsia="zh-CN" w:bidi="ar"/>
              </w:rPr>
              <w:t>③是否符合部门制定的中长期实施规划。</w:t>
            </w:r>
            <w:r>
              <w:rPr>
                <w:rStyle w:val="13"/>
                <w:rFonts w:eastAsia="宋体"/>
                <w:lang w:val="en-US" w:eastAsia="zh-CN" w:bidi="ar"/>
              </w:rPr>
              <w:br w:type="textWrapping"/>
            </w:r>
            <w:r>
              <w:rPr>
                <w:rStyle w:val="12"/>
                <w:lang w:val="en-US" w:eastAsia="zh-CN" w:bidi="ar"/>
              </w:rPr>
              <w:t>以上各项每发现一起不符合要求扣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14:paraId="21BE8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方案；部门职责；部门制定的中长期实施规划等。</w:t>
            </w:r>
          </w:p>
        </w:tc>
        <w:tc>
          <w:tcPr>
            <w:tcW w:w="586" w:type="dxa"/>
            <w:tcBorders>
              <w:tl2br w:val="nil"/>
              <w:tr2bl w:val="nil"/>
            </w:tcBorders>
            <w:noWrap w:val="0"/>
            <w:vAlign w:val="center"/>
          </w:tcPr>
          <w:p w14:paraId="7C30F97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304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4705E3B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94E332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77384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绩效指标</w:t>
            </w:r>
            <w:r>
              <w:rPr>
                <w:rStyle w:val="13"/>
                <w:rFonts w:eastAsia="宋体"/>
                <w:lang w:val="en-US" w:eastAsia="zh-CN" w:bidi="ar"/>
              </w:rPr>
              <w:br w:type="textWrapping"/>
            </w:r>
            <w:r>
              <w:rPr>
                <w:rStyle w:val="12"/>
                <w:lang w:val="en-US" w:eastAsia="zh-CN" w:bidi="ar"/>
              </w:rPr>
              <w:t>明确性</w:t>
            </w:r>
          </w:p>
        </w:tc>
        <w:tc>
          <w:tcPr>
            <w:tcW w:w="495" w:type="dxa"/>
            <w:tcBorders>
              <w:tl2br w:val="nil"/>
              <w:tr2bl w:val="nil"/>
            </w:tcBorders>
            <w:noWrap w:val="0"/>
            <w:vAlign w:val="center"/>
          </w:tcPr>
          <w:p w14:paraId="727973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22A08D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4F2C17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①有目标，计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②目标明确，细化量化良好，个性指标中量化指标超过</w:t>
            </w:r>
            <w:r>
              <w:rPr>
                <w:rStyle w:val="13"/>
                <w:rFonts w:eastAsia="宋体"/>
                <w:lang w:val="en-US" w:eastAsia="zh-CN" w:bidi="ar"/>
              </w:rPr>
              <w:t>3</w:t>
            </w:r>
            <w:r>
              <w:rPr>
                <w:rStyle w:val="12"/>
                <w:lang w:val="en-US" w:eastAsia="zh-CN" w:bidi="ar"/>
              </w:rPr>
              <w:t>个，计</w:t>
            </w:r>
            <w:r>
              <w:rPr>
                <w:rStyle w:val="13"/>
                <w:rFonts w:eastAsia="宋体"/>
                <w:lang w:val="en-US" w:eastAsia="zh-CN" w:bidi="ar"/>
              </w:rPr>
              <w:t>1</w:t>
            </w:r>
            <w:r>
              <w:rPr>
                <w:rStyle w:val="12"/>
                <w:lang w:val="en-US" w:eastAsia="zh-CN" w:bidi="ar"/>
              </w:rPr>
              <w:t>分，量化指标为</w:t>
            </w:r>
            <w:r>
              <w:rPr>
                <w:rStyle w:val="13"/>
                <w:rFonts w:eastAsia="宋体"/>
                <w:lang w:val="en-US" w:eastAsia="zh-CN" w:bidi="ar"/>
              </w:rPr>
              <w:t>2</w:t>
            </w:r>
            <w:r>
              <w:rPr>
                <w:rStyle w:val="12"/>
                <w:lang w:val="en-US" w:eastAsia="zh-CN" w:bidi="ar"/>
              </w:rPr>
              <w:t>个，计</w:t>
            </w:r>
            <w:r>
              <w:rPr>
                <w:rStyle w:val="13"/>
                <w:rFonts w:eastAsia="宋体"/>
                <w:lang w:val="en-US" w:eastAsia="zh-CN" w:bidi="ar"/>
              </w:rPr>
              <w:t>0.5</w:t>
            </w:r>
            <w:r>
              <w:rPr>
                <w:rStyle w:val="12"/>
                <w:lang w:val="en-US" w:eastAsia="zh-CN" w:bidi="ar"/>
              </w:rPr>
              <w:t>分，</w:t>
            </w:r>
            <w:r>
              <w:rPr>
                <w:rStyle w:val="13"/>
                <w:rFonts w:eastAsia="宋体"/>
                <w:lang w:val="en-US" w:eastAsia="zh-CN" w:bidi="ar"/>
              </w:rPr>
              <w:t>2</w:t>
            </w:r>
            <w:r>
              <w:rPr>
                <w:rStyle w:val="12"/>
                <w:lang w:val="en-US" w:eastAsia="zh-CN" w:bidi="ar"/>
              </w:rPr>
              <w:t>个以下不得分；</w:t>
            </w:r>
            <w:r>
              <w:rPr>
                <w:rStyle w:val="13"/>
                <w:rFonts w:eastAsia="宋体"/>
                <w:lang w:val="en-US" w:eastAsia="zh-CN" w:bidi="ar"/>
              </w:rPr>
              <w:br w:type="textWrapping"/>
            </w:r>
            <w:r>
              <w:rPr>
                <w:rStyle w:val="12"/>
                <w:lang w:val="en-US" w:eastAsia="zh-CN" w:bidi="ar"/>
              </w:rPr>
              <w:t>③与年度任务数或计划数相对应，计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50%</w:t>
            </w:r>
            <w:r>
              <w:rPr>
                <w:rStyle w:val="12"/>
                <w:lang w:val="en-US" w:eastAsia="zh-CN" w:bidi="ar"/>
              </w:rPr>
              <w:t>计</w:t>
            </w:r>
            <w:r>
              <w:rPr>
                <w:rStyle w:val="13"/>
                <w:rFonts w:eastAsia="宋体"/>
                <w:lang w:val="en-US" w:eastAsia="zh-CN" w:bidi="ar"/>
              </w:rPr>
              <w:t>0.5</w:t>
            </w:r>
            <w:r>
              <w:rPr>
                <w:rStyle w:val="12"/>
                <w:lang w:val="en-US" w:eastAsia="zh-CN" w:bidi="ar"/>
              </w:rPr>
              <w:t>分，对应低于</w:t>
            </w:r>
            <w:r>
              <w:rPr>
                <w:rStyle w:val="13"/>
                <w:rFonts w:eastAsia="宋体"/>
                <w:lang w:val="en-US" w:eastAsia="zh-CN" w:bidi="ar"/>
              </w:rPr>
              <w:t>50%</w:t>
            </w:r>
            <w:r>
              <w:rPr>
                <w:rStyle w:val="12"/>
                <w:lang w:val="en-US" w:eastAsia="zh-CN" w:bidi="ar"/>
              </w:rPr>
              <w:t>不计分；</w:t>
            </w:r>
            <w:r>
              <w:rPr>
                <w:rStyle w:val="13"/>
                <w:rFonts w:eastAsia="宋体"/>
                <w:lang w:val="en-US" w:eastAsia="zh-CN" w:bidi="ar"/>
              </w:rPr>
              <w:br w:type="textWrapping"/>
            </w:r>
            <w:r>
              <w:rPr>
                <w:rStyle w:val="12"/>
                <w:lang w:val="en-US" w:eastAsia="zh-CN" w:bidi="ar"/>
              </w:rPr>
              <w:t>④目标与资金匹配良好，逻辑关系明确，计</w:t>
            </w:r>
            <w:r>
              <w:rPr>
                <w:rStyle w:val="13"/>
                <w:rFonts w:eastAsia="宋体"/>
                <w:lang w:val="en-US" w:eastAsia="zh-CN" w:bidi="ar"/>
              </w:rPr>
              <w:t>1</w:t>
            </w:r>
            <w:r>
              <w:rPr>
                <w:rStyle w:val="12"/>
                <w:lang w:val="en-US" w:eastAsia="zh-CN" w:bidi="ar"/>
              </w:rPr>
              <w:t>分，否则不得分。</w:t>
            </w:r>
          </w:p>
        </w:tc>
        <w:tc>
          <w:tcPr>
            <w:tcW w:w="2115" w:type="dxa"/>
            <w:tcBorders>
              <w:tl2br w:val="nil"/>
              <w:tr2bl w:val="nil"/>
            </w:tcBorders>
            <w:noWrap w:val="0"/>
            <w:vAlign w:val="center"/>
          </w:tcPr>
          <w:p w14:paraId="741B99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绩效目标申报表；年度任务数或计划数；预算批复等。</w:t>
            </w:r>
          </w:p>
        </w:tc>
        <w:tc>
          <w:tcPr>
            <w:tcW w:w="586" w:type="dxa"/>
            <w:tcBorders>
              <w:tl2br w:val="nil"/>
              <w:tr2bl w:val="nil"/>
            </w:tcBorders>
            <w:noWrap w:val="0"/>
            <w:vAlign w:val="center"/>
          </w:tcPr>
          <w:p w14:paraId="2BEB284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DBD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038BE8A2">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E31D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配置</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14:paraId="76085D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人员</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14:paraId="0424C0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5B67F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324138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w:t>
            </w:r>
            <w:r>
              <w:rPr>
                <w:rStyle w:val="12"/>
                <w:lang w:val="en-US" w:eastAsia="zh-CN" w:bidi="ar"/>
              </w:rPr>
              <w:t>（在职人员数</w:t>
            </w:r>
            <w:r>
              <w:rPr>
                <w:rStyle w:val="13"/>
                <w:rFonts w:eastAsia="宋体"/>
                <w:lang w:val="en-US" w:eastAsia="zh-CN" w:bidi="ar"/>
              </w:rPr>
              <w:t>/</w:t>
            </w:r>
            <w:r>
              <w:rPr>
                <w:rStyle w:val="12"/>
                <w:lang w:val="en-US" w:eastAsia="zh-CN" w:bidi="ar"/>
              </w:rPr>
              <w:t>编制数）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在职人员数：部门（单位）实际在职人数</w:t>
            </w:r>
            <w:r>
              <w:rPr>
                <w:rStyle w:val="13"/>
                <w:rFonts w:eastAsia="宋体"/>
                <w:lang w:val="en-US" w:eastAsia="zh-CN" w:bidi="ar"/>
              </w:rPr>
              <w:t>,</w:t>
            </w:r>
            <w:r>
              <w:rPr>
                <w:rStyle w:val="12"/>
                <w:lang w:val="en-US" w:eastAsia="zh-CN" w:bidi="ar"/>
              </w:rPr>
              <w:t>以财政部门确定的部门决算编制口径为准。</w:t>
            </w:r>
            <w:r>
              <w:rPr>
                <w:rStyle w:val="13"/>
                <w:rFonts w:eastAsia="宋体"/>
                <w:lang w:val="en-US" w:eastAsia="zh-CN" w:bidi="ar"/>
              </w:rPr>
              <w:br w:type="textWrapping"/>
            </w:r>
            <w:r>
              <w:rPr>
                <w:rStyle w:val="12"/>
                <w:lang w:val="en-US" w:eastAsia="zh-CN" w:bidi="ar"/>
              </w:rPr>
              <w:t>编制数：机构编制部门核定批复的部门（单位）人员编制数。</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1%</w:t>
            </w:r>
            <w:r>
              <w:rPr>
                <w:rStyle w:val="12"/>
                <w:lang w:val="en-US" w:eastAsia="zh-CN" w:bidi="ar"/>
              </w:rPr>
              <w:t>扣</w:t>
            </w:r>
            <w:r>
              <w:rPr>
                <w:rStyle w:val="13"/>
                <w:rFonts w:eastAsia="宋体"/>
                <w:lang w:val="en-US" w:eastAsia="zh-CN" w:bidi="ar"/>
              </w:rPr>
              <w:t>0.2</w:t>
            </w:r>
            <w:r>
              <w:rPr>
                <w:rStyle w:val="12"/>
                <w:lang w:val="en-US" w:eastAsia="zh-CN" w:bidi="ar"/>
              </w:rPr>
              <w:t>分，扣完为止。</w:t>
            </w:r>
          </w:p>
        </w:tc>
        <w:tc>
          <w:tcPr>
            <w:tcW w:w="2115" w:type="dxa"/>
            <w:tcBorders>
              <w:tl2br w:val="nil"/>
              <w:tr2bl w:val="nil"/>
            </w:tcBorders>
            <w:noWrap w:val="0"/>
            <w:vAlign w:val="center"/>
          </w:tcPr>
          <w:p w14:paraId="5E1F8C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部门（单位）决算报表；机构编制部门核定批复的部门（单位）的人员编制数。</w:t>
            </w:r>
          </w:p>
        </w:tc>
        <w:tc>
          <w:tcPr>
            <w:tcW w:w="586" w:type="dxa"/>
            <w:tcBorders>
              <w:tl2br w:val="nil"/>
              <w:tr2bl w:val="nil"/>
            </w:tcBorders>
            <w:noWrap w:val="0"/>
            <w:vAlign w:val="center"/>
          </w:tcPr>
          <w:p w14:paraId="3ADC49BE">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9CD2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1D04385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31E693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0CC02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变动率</w:t>
            </w:r>
          </w:p>
        </w:tc>
        <w:tc>
          <w:tcPr>
            <w:tcW w:w="495" w:type="dxa"/>
            <w:tcBorders>
              <w:tl2br w:val="nil"/>
              <w:tr2bl w:val="nil"/>
            </w:tcBorders>
            <w:noWrap w:val="0"/>
            <w:vAlign w:val="center"/>
          </w:tcPr>
          <w:p w14:paraId="4B9C81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CCE7F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预算数与上年度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5CEE69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变动率</w:t>
            </w:r>
            <w:r>
              <w:rPr>
                <w:rStyle w:val="13"/>
                <w:rFonts w:eastAsia="宋体"/>
                <w:lang w:val="en-US" w:eastAsia="zh-CN" w:bidi="ar"/>
              </w:rPr>
              <w:t>=[</w:t>
            </w:r>
            <w:r>
              <w:rPr>
                <w:rStyle w:val="12"/>
                <w:lang w:val="en-US" w:eastAsia="zh-CN" w:bidi="ar"/>
              </w:rPr>
              <w:t>（本年度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]×100%</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：年度预算安排的因公出国（境）费、公务车辆购置及运行费和公务招待费。</w:t>
            </w:r>
            <w:r>
              <w:rPr>
                <w:rStyle w:val="13"/>
                <w:rFonts w:eastAsia="宋体"/>
                <w:lang w:val="en-US" w:eastAsia="zh-CN" w:bidi="ar"/>
              </w:rPr>
              <w:br w:type="textWrapping"/>
            </w:r>
            <w:r>
              <w:rPr>
                <w:rStyle w:val="12"/>
                <w:lang w:val="en-US" w:eastAsia="zh-CN" w:bidi="ar"/>
              </w:rPr>
              <w:t>该项得分，变动率为负数，计</w:t>
            </w:r>
            <w:r>
              <w:rPr>
                <w:rStyle w:val="13"/>
                <w:rFonts w:eastAsia="宋体"/>
                <w:lang w:val="en-US" w:eastAsia="zh-CN" w:bidi="ar"/>
              </w:rPr>
              <w:t>2</w:t>
            </w:r>
            <w:r>
              <w:rPr>
                <w:rStyle w:val="12"/>
                <w:lang w:val="en-US" w:eastAsia="zh-CN" w:bidi="ar"/>
              </w:rPr>
              <w:t>分，变动率为正数，计</w:t>
            </w:r>
            <w:r>
              <w:rPr>
                <w:rStyle w:val="13"/>
                <w:rFonts w:eastAsia="宋体"/>
                <w:lang w:val="en-US" w:eastAsia="zh-CN" w:bidi="ar"/>
              </w:rPr>
              <w:t>0</w:t>
            </w:r>
            <w:r>
              <w:rPr>
                <w:rStyle w:val="12"/>
                <w:lang w:val="en-US" w:eastAsia="zh-CN" w:bidi="ar"/>
              </w:rPr>
              <w:t>分。年度内</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完成数超过预算数，则该项计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029930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本年度和上年度部门（单位）预算</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报表；</w:t>
            </w:r>
          </w:p>
        </w:tc>
        <w:tc>
          <w:tcPr>
            <w:tcW w:w="586" w:type="dxa"/>
            <w:tcBorders>
              <w:tl2br w:val="nil"/>
              <w:tr2bl w:val="nil"/>
            </w:tcBorders>
            <w:noWrap w:val="0"/>
            <w:vAlign w:val="center"/>
          </w:tcPr>
          <w:p w14:paraId="2B0DB436">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F86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35777FC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902C92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ECE57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w:t>
            </w:r>
            <w:r>
              <w:rPr>
                <w:rStyle w:val="13"/>
                <w:rFonts w:eastAsia="宋体"/>
                <w:lang w:val="en-US" w:eastAsia="zh-CN" w:bidi="ar"/>
              </w:rPr>
              <w:br w:type="textWrapping"/>
            </w:r>
            <w:r>
              <w:rPr>
                <w:rStyle w:val="12"/>
                <w:lang w:val="en-US" w:eastAsia="zh-CN" w:bidi="ar"/>
              </w:rPr>
              <w:t>支出</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14:paraId="2A11AC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9795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163A6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重点支出安排率</w:t>
            </w:r>
            <w:r>
              <w:rPr>
                <w:rStyle w:val="13"/>
                <w:rFonts w:eastAsia="宋体"/>
                <w:lang w:val="en-US" w:eastAsia="zh-CN" w:bidi="ar"/>
              </w:rPr>
              <w:t>=</w:t>
            </w:r>
            <w:r>
              <w:rPr>
                <w:rStyle w:val="12"/>
                <w:lang w:val="en-US" w:eastAsia="zh-CN" w:bidi="ar"/>
              </w:rPr>
              <w:t>（重点实际支出</w:t>
            </w:r>
            <w:r>
              <w:rPr>
                <w:rStyle w:val="13"/>
                <w:rFonts w:eastAsia="宋体"/>
                <w:lang w:val="en-US" w:eastAsia="zh-CN" w:bidi="ar"/>
              </w:rPr>
              <w:t>/</w:t>
            </w:r>
            <w:r>
              <w:rPr>
                <w:rStyle w:val="12"/>
                <w:lang w:val="en-US" w:eastAsia="zh-CN" w:bidi="ar"/>
              </w:rPr>
              <w:t>重点预算支出）</w:t>
            </w:r>
            <w:r>
              <w:rPr>
                <w:rStyle w:val="13"/>
                <w:rFonts w:eastAsia="宋体"/>
                <w:lang w:val="en-US" w:eastAsia="zh-CN" w:bidi="ar"/>
              </w:rPr>
              <w:t>×100%</w:t>
            </w:r>
            <w:r>
              <w:rPr>
                <w:rStyle w:val="12"/>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安排率</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5</w:t>
            </w:r>
            <w:r>
              <w:rPr>
                <w:rStyle w:val="12"/>
                <w:lang w:val="en-US" w:eastAsia="zh-CN" w:bidi="ar"/>
              </w:rPr>
              <w:t>%扣</w:t>
            </w:r>
            <w:r>
              <w:rPr>
                <w:rStyle w:val="13"/>
                <w:rFonts w:eastAsia="宋体"/>
                <w:lang w:val="en-US" w:eastAsia="zh-CN" w:bidi="ar"/>
              </w:rPr>
              <w:t>0.5</w:t>
            </w:r>
            <w:r>
              <w:rPr>
                <w:rStyle w:val="12"/>
                <w:lang w:val="en-US" w:eastAsia="zh-CN" w:bidi="ar"/>
              </w:rPr>
              <w:t>分，扣完为止。</w:t>
            </w:r>
          </w:p>
        </w:tc>
        <w:tc>
          <w:tcPr>
            <w:tcW w:w="2115" w:type="dxa"/>
            <w:tcBorders>
              <w:tl2br w:val="nil"/>
              <w:tr2bl w:val="nil"/>
            </w:tcBorders>
            <w:noWrap w:val="0"/>
            <w:vAlign w:val="center"/>
          </w:tcPr>
          <w:p w14:paraId="1C79C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A19709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0A3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76DB659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7007F6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A1BD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w:t>
            </w:r>
            <w:r>
              <w:rPr>
                <w:rStyle w:val="13"/>
                <w:rFonts w:eastAsia="宋体"/>
                <w:lang w:val="en-US" w:eastAsia="zh-CN" w:bidi="ar"/>
              </w:rPr>
              <w:br w:type="textWrapping"/>
            </w:r>
            <w:r>
              <w:rPr>
                <w:rStyle w:val="12"/>
                <w:lang w:val="en-US" w:eastAsia="zh-CN" w:bidi="ar"/>
              </w:rPr>
              <w:t>收入</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14:paraId="4772BD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9DE487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反映部门本年度非税收入完成情况。</w:t>
            </w:r>
          </w:p>
        </w:tc>
        <w:tc>
          <w:tcPr>
            <w:tcW w:w="5112" w:type="dxa"/>
            <w:tcBorders>
              <w:tl2br w:val="nil"/>
              <w:tr2bl w:val="nil"/>
            </w:tcBorders>
            <w:noWrap w:val="0"/>
            <w:vAlign w:val="center"/>
          </w:tcPr>
          <w:p w14:paraId="497166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非税收入完成率</w:t>
            </w:r>
            <w:r>
              <w:rPr>
                <w:rStyle w:val="13"/>
                <w:rFonts w:eastAsia="宋体"/>
                <w:lang w:val="en-US" w:eastAsia="zh-CN" w:bidi="ar"/>
              </w:rPr>
              <w:t>=</w:t>
            </w:r>
            <w:r>
              <w:rPr>
                <w:rStyle w:val="12"/>
                <w:lang w:val="en-US" w:eastAsia="zh-CN" w:bidi="ar"/>
              </w:rPr>
              <w:t>（非税实际收入完成数</w:t>
            </w:r>
            <w:r>
              <w:rPr>
                <w:rStyle w:val="13"/>
                <w:rFonts w:eastAsia="宋体"/>
                <w:lang w:val="en-US" w:eastAsia="zh-CN" w:bidi="ar"/>
              </w:rPr>
              <w:t>/</w:t>
            </w:r>
            <w:r>
              <w:rPr>
                <w:rStyle w:val="12"/>
                <w:lang w:val="en-US" w:eastAsia="zh-CN" w:bidi="ar"/>
              </w:rPr>
              <w:t>非税收入预算数）</w:t>
            </w:r>
            <w:r>
              <w:rPr>
                <w:rStyle w:val="13"/>
                <w:rFonts w:eastAsia="宋体"/>
                <w:lang w:val="en-US" w:eastAsia="zh-CN" w:bidi="ar"/>
              </w:rPr>
              <w:t>×100%</w:t>
            </w:r>
            <w:r>
              <w:rPr>
                <w:rStyle w:val="12"/>
                <w:lang w:val="en-US" w:eastAsia="zh-CN" w:bidi="ar"/>
              </w:rPr>
              <w:t>，有减免因素的，以财政事务中心确定的为准。</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14:paraId="40B1C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6456ECA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0C7B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2DA3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过程</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47</w:t>
            </w:r>
            <w:r>
              <w:rPr>
                <w:rStyle w:val="12"/>
                <w:lang w:val="en-US" w:eastAsia="zh-CN" w:bidi="ar"/>
              </w:rPr>
              <w:t>分）</w:t>
            </w:r>
          </w:p>
        </w:tc>
        <w:tc>
          <w:tcPr>
            <w:tcW w:w="870" w:type="dxa"/>
            <w:vMerge w:val="restart"/>
            <w:tcBorders>
              <w:tl2br w:val="nil"/>
              <w:tr2bl w:val="nil"/>
            </w:tcBorders>
            <w:noWrap w:val="0"/>
            <w:vAlign w:val="center"/>
          </w:tcPr>
          <w:p w14:paraId="6A1CC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w:t>
            </w:r>
            <w:r>
              <w:rPr>
                <w:rStyle w:val="13"/>
                <w:rFonts w:eastAsia="宋体"/>
                <w:lang w:val="en-US" w:eastAsia="zh-CN" w:bidi="ar"/>
              </w:rPr>
              <w:br w:type="textWrapping"/>
            </w:r>
            <w:r>
              <w:rPr>
                <w:rStyle w:val="13"/>
                <w:rFonts w:eastAsia="宋体"/>
                <w:lang w:val="en-US" w:eastAsia="zh-CN" w:bidi="ar"/>
              </w:rPr>
              <w:t>(13</w:t>
            </w:r>
            <w:r>
              <w:rPr>
                <w:rStyle w:val="12"/>
                <w:lang w:val="en-US" w:eastAsia="zh-CN" w:bidi="ar"/>
              </w:rPr>
              <w:t>分）</w:t>
            </w:r>
          </w:p>
        </w:tc>
        <w:tc>
          <w:tcPr>
            <w:tcW w:w="1050" w:type="dxa"/>
            <w:tcBorders>
              <w:tl2br w:val="nil"/>
              <w:tr2bl w:val="nil"/>
            </w:tcBorders>
            <w:noWrap w:val="0"/>
            <w:vAlign w:val="center"/>
          </w:tcPr>
          <w:p w14:paraId="02913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执行率</w:t>
            </w:r>
          </w:p>
        </w:tc>
        <w:tc>
          <w:tcPr>
            <w:tcW w:w="495" w:type="dxa"/>
            <w:tcBorders>
              <w:tl2br w:val="nil"/>
              <w:tr2bl w:val="nil"/>
            </w:tcBorders>
            <w:noWrap w:val="0"/>
            <w:vAlign w:val="center"/>
          </w:tcPr>
          <w:p w14:paraId="7DD56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86D7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051996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①预算执行率</w:t>
            </w:r>
            <w:r>
              <w:rPr>
                <w:rStyle w:val="13"/>
                <w:rFonts w:eastAsia="宋体"/>
                <w:lang w:val="en-US" w:eastAsia="zh-CN" w:bidi="ar"/>
              </w:rPr>
              <w:t>=</w:t>
            </w:r>
            <w:r>
              <w:rPr>
                <w:rStyle w:val="12"/>
                <w:lang w:val="en-US" w:eastAsia="zh-CN" w:bidi="ar"/>
              </w:rPr>
              <w:t>（预算完成数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预算执行数：部门（单位）本年度实际完成的预算数。</w:t>
            </w:r>
            <w:r>
              <w:rPr>
                <w:rStyle w:val="13"/>
                <w:rFonts w:eastAsia="宋体"/>
                <w:lang w:val="en-US" w:eastAsia="zh-CN" w:bidi="ar"/>
              </w:rPr>
              <w:br w:type="textWrapping"/>
            </w:r>
            <w:r>
              <w:rPr>
                <w:rStyle w:val="12"/>
                <w:lang w:val="en-US" w:eastAsia="zh-CN" w:bidi="ar"/>
              </w:rPr>
              <w:t>预算数：财政部门批复的本年度部门（单位）预算数及追加的预算数。</w:t>
            </w:r>
            <w:r>
              <w:rPr>
                <w:rStyle w:val="13"/>
                <w:rFonts w:eastAsia="宋体"/>
                <w:lang w:val="en-US" w:eastAsia="zh-CN" w:bidi="ar"/>
              </w:rPr>
              <w:br w:type="textWrapping"/>
            </w:r>
            <w:r>
              <w:rPr>
                <w:rStyle w:val="12"/>
                <w:lang w:val="en-US" w:eastAsia="zh-CN" w:bidi="ar"/>
              </w:rPr>
              <w:t>该项得分，全年预算执行率</w:t>
            </w:r>
            <w:r>
              <w:rPr>
                <w:rStyle w:val="13"/>
                <w:rFonts w:eastAsia="宋体"/>
                <w:lang w:val="en-US" w:eastAsia="zh-CN" w:bidi="ar"/>
              </w:rPr>
              <w:t>95%</w:t>
            </w:r>
            <w:r>
              <w:rPr>
                <w:rStyle w:val="12"/>
                <w:lang w:val="en-US" w:eastAsia="zh-CN" w:bidi="ar"/>
              </w:rPr>
              <w:t>以上计</w:t>
            </w:r>
            <w:r>
              <w:rPr>
                <w:rStyle w:val="13"/>
                <w:rFonts w:eastAsia="宋体"/>
                <w:lang w:val="en-US" w:eastAsia="zh-CN" w:bidi="ar"/>
              </w:rPr>
              <w:t>2</w:t>
            </w:r>
            <w:r>
              <w:rPr>
                <w:rStyle w:val="12"/>
                <w:lang w:val="en-US" w:eastAsia="zh-CN" w:bidi="ar"/>
              </w:rPr>
              <w:t>分，</w:t>
            </w:r>
            <w:r>
              <w:rPr>
                <w:rStyle w:val="13"/>
                <w:rFonts w:eastAsia="宋体"/>
                <w:lang w:val="en-US" w:eastAsia="zh-CN" w:bidi="ar"/>
              </w:rPr>
              <w:t>95-90%</w:t>
            </w:r>
            <w:r>
              <w:rPr>
                <w:rStyle w:val="12"/>
                <w:lang w:val="en-US" w:eastAsia="zh-CN" w:bidi="ar"/>
              </w:rPr>
              <w:t>（含），计</w:t>
            </w:r>
            <w:r>
              <w:rPr>
                <w:rStyle w:val="13"/>
                <w:rFonts w:eastAsia="宋体"/>
                <w:lang w:val="en-US" w:eastAsia="zh-CN" w:bidi="ar"/>
              </w:rPr>
              <w:t>1</w:t>
            </w:r>
            <w:r>
              <w:rPr>
                <w:rStyle w:val="12"/>
                <w:lang w:val="en-US" w:eastAsia="zh-CN" w:bidi="ar"/>
              </w:rPr>
              <w:t>分，</w:t>
            </w:r>
            <w:r>
              <w:rPr>
                <w:rStyle w:val="13"/>
                <w:rFonts w:eastAsia="宋体"/>
                <w:lang w:val="en-US" w:eastAsia="zh-CN" w:bidi="ar"/>
              </w:rPr>
              <w:t>90-80%</w:t>
            </w:r>
            <w:r>
              <w:rPr>
                <w:rStyle w:val="12"/>
                <w:lang w:val="en-US" w:eastAsia="zh-CN" w:bidi="ar"/>
              </w:rPr>
              <w:t>（含），计</w:t>
            </w:r>
            <w:r>
              <w:rPr>
                <w:rStyle w:val="13"/>
                <w:rFonts w:eastAsia="宋体"/>
                <w:lang w:val="en-US" w:eastAsia="zh-CN" w:bidi="ar"/>
              </w:rPr>
              <w:t>0.5</w:t>
            </w:r>
            <w:r>
              <w:rPr>
                <w:rStyle w:val="12"/>
                <w:lang w:val="en-US" w:eastAsia="zh-CN" w:bidi="ar"/>
              </w:rPr>
              <w:t>分，小于</w:t>
            </w:r>
            <w:r>
              <w:rPr>
                <w:rStyle w:val="13"/>
                <w:rFonts w:eastAsia="宋体"/>
                <w:lang w:val="en-US" w:eastAsia="zh-CN" w:bidi="ar"/>
              </w:rPr>
              <w:t>80%</w:t>
            </w:r>
            <w:r>
              <w:rPr>
                <w:rStyle w:val="12"/>
                <w:lang w:val="en-US" w:eastAsia="zh-CN" w:bidi="ar"/>
              </w:rPr>
              <w:t>不得分；</w:t>
            </w:r>
            <w:r>
              <w:rPr>
                <w:rStyle w:val="13"/>
                <w:rFonts w:eastAsia="宋体"/>
                <w:lang w:val="en-US" w:eastAsia="zh-CN" w:bidi="ar"/>
              </w:rPr>
              <w:br w:type="textWrapping"/>
            </w:r>
            <w:r>
              <w:rPr>
                <w:rStyle w:val="12"/>
                <w:lang w:val="en-US" w:eastAsia="zh-CN" w:bidi="ar"/>
              </w:rPr>
              <w:t>②绩效目标执行监控是否按要求完成。</w:t>
            </w:r>
            <w:r>
              <w:rPr>
                <w:rStyle w:val="13"/>
                <w:rFonts w:eastAsia="宋体"/>
                <w:lang w:val="en-US" w:eastAsia="zh-CN" w:bidi="ar"/>
              </w:rPr>
              <w:br w:type="textWrapping"/>
            </w:r>
            <w:r>
              <w:rPr>
                <w:rStyle w:val="12"/>
                <w:lang w:val="en-US" w:eastAsia="zh-CN" w:bidi="ar"/>
              </w:rPr>
              <w:t>该项得分，实施项目资金运行监控的得</w:t>
            </w:r>
            <w:r>
              <w:rPr>
                <w:rStyle w:val="13"/>
                <w:rFonts w:eastAsia="宋体"/>
                <w:lang w:val="en-US" w:eastAsia="zh-CN" w:bidi="ar"/>
              </w:rPr>
              <w:t>2</w:t>
            </w:r>
            <w:r>
              <w:rPr>
                <w:rStyle w:val="12"/>
                <w:lang w:val="en-US" w:eastAsia="zh-CN" w:bidi="ar"/>
              </w:rPr>
              <w:t>分，未实施的不得分。</w:t>
            </w:r>
          </w:p>
        </w:tc>
        <w:tc>
          <w:tcPr>
            <w:tcW w:w="2115" w:type="dxa"/>
            <w:tcBorders>
              <w:tl2br w:val="nil"/>
              <w:tr2bl w:val="nil"/>
            </w:tcBorders>
            <w:noWrap w:val="0"/>
            <w:vAlign w:val="center"/>
          </w:tcPr>
          <w:p w14:paraId="67ACD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1AF0AC3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895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64A8E7E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486C87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0E45F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调整率</w:t>
            </w:r>
          </w:p>
        </w:tc>
        <w:tc>
          <w:tcPr>
            <w:tcW w:w="495" w:type="dxa"/>
            <w:tcBorders>
              <w:tl2br w:val="nil"/>
              <w:tr2bl w:val="nil"/>
            </w:tcBorders>
            <w:noWrap w:val="0"/>
            <w:vAlign w:val="center"/>
          </w:tcPr>
          <w:p w14:paraId="41A397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5BDAC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422459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预算调整率</w:t>
            </w:r>
            <w:r>
              <w:rPr>
                <w:rStyle w:val="13"/>
                <w:rFonts w:eastAsia="宋体"/>
                <w:lang w:val="en-US" w:eastAsia="zh-CN" w:bidi="ar"/>
              </w:rPr>
              <w:t>=</w:t>
            </w:r>
            <w:r>
              <w:rPr>
                <w:rStyle w:val="12"/>
                <w:lang w:val="en-US" w:eastAsia="zh-CN" w:bidi="ar"/>
              </w:rPr>
              <w:t>（预算调整数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3"/>
                <w:rFonts w:eastAsia="宋体"/>
                <w:lang w:val="en-US" w:eastAsia="zh-CN" w:bidi="ar"/>
              </w:rPr>
              <w:br w:type="textWrapping"/>
            </w:r>
            <w:r>
              <w:rPr>
                <w:rStyle w:val="12"/>
                <w:lang w:val="en-US" w:eastAsia="zh-CN" w:bidi="ar"/>
              </w:rPr>
              <w:t>该项得分，预算调整率</w:t>
            </w:r>
            <w:r>
              <w:rPr>
                <w:rStyle w:val="13"/>
                <w:rFonts w:eastAsia="宋体"/>
                <w:lang w:val="en-US" w:eastAsia="zh-CN" w:bidi="ar"/>
              </w:rPr>
              <w:t>&lt;5%</w:t>
            </w:r>
            <w:r>
              <w:rPr>
                <w:rStyle w:val="12"/>
                <w:lang w:val="en-US" w:eastAsia="zh-CN" w:bidi="ar"/>
              </w:rPr>
              <w:t>，计</w:t>
            </w:r>
            <w:r>
              <w:rPr>
                <w:rStyle w:val="13"/>
                <w:rFonts w:eastAsia="宋体"/>
                <w:lang w:val="en-US" w:eastAsia="zh-CN" w:bidi="ar"/>
              </w:rPr>
              <w:t>2</w:t>
            </w:r>
            <w:r>
              <w:rPr>
                <w:rStyle w:val="12"/>
                <w:lang w:val="en-US" w:eastAsia="zh-CN" w:bidi="ar"/>
              </w:rPr>
              <w:t>分；</w:t>
            </w:r>
            <w:r>
              <w:rPr>
                <w:rStyle w:val="13"/>
                <w:rFonts w:eastAsia="宋体"/>
                <w:lang w:val="en-US" w:eastAsia="zh-CN" w:bidi="ar"/>
              </w:rPr>
              <w:t>5-10%</w:t>
            </w:r>
            <w:r>
              <w:rPr>
                <w:rStyle w:val="12"/>
                <w:lang w:val="en-US" w:eastAsia="zh-CN" w:bidi="ar"/>
              </w:rPr>
              <w:t>（含），计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10%</w:t>
            </w:r>
            <w:r>
              <w:rPr>
                <w:rStyle w:val="12"/>
                <w:lang w:val="en-US" w:eastAsia="zh-CN" w:bidi="ar"/>
              </w:rPr>
              <w:t>不得分。</w:t>
            </w:r>
          </w:p>
        </w:tc>
        <w:tc>
          <w:tcPr>
            <w:tcW w:w="2115" w:type="dxa"/>
            <w:tcBorders>
              <w:tl2br w:val="nil"/>
              <w:tr2bl w:val="nil"/>
            </w:tcBorders>
            <w:noWrap w:val="0"/>
            <w:vAlign w:val="center"/>
          </w:tcPr>
          <w:p w14:paraId="4BF2FA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00A68919">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2126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714109F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33FB6A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9AD58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结转</w:t>
            </w:r>
            <w:r>
              <w:rPr>
                <w:rStyle w:val="13"/>
                <w:rFonts w:eastAsia="宋体"/>
                <w:lang w:val="en-US" w:eastAsia="zh-CN" w:bidi="ar"/>
              </w:rPr>
              <w:br w:type="textWrapping"/>
            </w:r>
            <w:r>
              <w:rPr>
                <w:rStyle w:val="12"/>
                <w:lang w:val="en-US" w:eastAsia="zh-CN" w:bidi="ar"/>
              </w:rPr>
              <w:t>结余</w:t>
            </w:r>
          </w:p>
        </w:tc>
        <w:tc>
          <w:tcPr>
            <w:tcW w:w="495" w:type="dxa"/>
            <w:tcBorders>
              <w:tl2br w:val="nil"/>
              <w:tr2bl w:val="nil"/>
            </w:tcBorders>
            <w:noWrap w:val="0"/>
            <w:vAlign w:val="center"/>
          </w:tcPr>
          <w:p w14:paraId="3EDE89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2D599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07821911">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结转结余率</w:t>
            </w:r>
            <w:r>
              <w:rPr>
                <w:rStyle w:val="13"/>
                <w:rFonts w:eastAsia="宋体"/>
                <w:lang w:val="en-US" w:eastAsia="zh-CN" w:bidi="ar"/>
              </w:rPr>
              <w:t>=</w:t>
            </w:r>
            <w:r>
              <w:rPr>
                <w:rStyle w:val="12"/>
                <w:lang w:val="en-US" w:eastAsia="zh-CN" w:bidi="ar"/>
              </w:rPr>
              <w:t>结转结余总额</w:t>
            </w:r>
            <w:r>
              <w:rPr>
                <w:rStyle w:val="13"/>
                <w:rFonts w:eastAsia="宋体"/>
                <w:lang w:val="en-US" w:eastAsia="zh-CN" w:bidi="ar"/>
              </w:rPr>
              <w:t>/</w:t>
            </w:r>
            <w:r>
              <w:rPr>
                <w:rStyle w:val="12"/>
                <w:lang w:val="en-US" w:eastAsia="zh-CN" w:bidi="ar"/>
              </w:rPr>
              <w:t>支出预算数</w:t>
            </w:r>
            <w:r>
              <w:rPr>
                <w:rStyle w:val="13"/>
                <w:rFonts w:eastAsia="宋体"/>
                <w:lang w:val="en-US" w:eastAsia="zh-CN" w:bidi="ar"/>
              </w:rPr>
              <w:t>×100%</w:t>
            </w:r>
            <w:r>
              <w:rPr>
                <w:rStyle w:val="12"/>
                <w:lang w:val="en-US" w:eastAsia="zh-CN" w:bidi="ar"/>
              </w:rPr>
              <w:t>。结转结余总额：部门本年度的结转资金与结余资金之和（以决算数为准）。</w:t>
            </w:r>
            <w:r>
              <w:rPr>
                <w:rStyle w:val="13"/>
                <w:rFonts w:eastAsia="宋体"/>
                <w:lang w:val="en-US" w:eastAsia="zh-CN" w:bidi="ar"/>
              </w:rPr>
              <w:br w:type="textWrapping"/>
            </w:r>
            <w:r>
              <w:rPr>
                <w:rStyle w:val="12"/>
                <w:lang w:val="en-US" w:eastAsia="zh-CN" w:bidi="ar"/>
              </w:rPr>
              <w:t>该项得分，结余率</w:t>
            </w:r>
            <w:r>
              <w:rPr>
                <w:rStyle w:val="13"/>
                <w:rFonts w:eastAsia="宋体"/>
                <w:lang w:val="en-US" w:eastAsia="zh-CN" w:bidi="ar"/>
              </w:rPr>
              <w:t>≤10%</w:t>
            </w:r>
            <w:r>
              <w:rPr>
                <w:rStyle w:val="12"/>
                <w:lang w:val="en-US" w:eastAsia="zh-CN" w:bidi="ar"/>
              </w:rPr>
              <w:t>的，计</w:t>
            </w:r>
            <w:r>
              <w:rPr>
                <w:rStyle w:val="13"/>
                <w:rFonts w:eastAsia="宋体"/>
                <w:lang w:val="en-US" w:eastAsia="zh-CN" w:bidi="ar"/>
              </w:rPr>
              <w:t>1</w:t>
            </w:r>
            <w:r>
              <w:rPr>
                <w:rStyle w:val="12"/>
                <w:lang w:val="en-US" w:eastAsia="zh-CN" w:bidi="ar"/>
              </w:rPr>
              <w:t>分；结余率</w:t>
            </w:r>
            <w:r>
              <w:rPr>
                <w:rStyle w:val="13"/>
                <w:rFonts w:eastAsia="宋体"/>
                <w:lang w:val="en-US" w:eastAsia="zh-CN" w:bidi="ar"/>
              </w:rPr>
              <w:t>&gt;10%</w:t>
            </w:r>
            <w:r>
              <w:rPr>
                <w:rStyle w:val="12"/>
                <w:lang w:val="en-US" w:eastAsia="zh-CN" w:bidi="ar"/>
              </w:rPr>
              <w:t>（不含），</w:t>
            </w:r>
            <w:r>
              <w:rPr>
                <w:rStyle w:val="13"/>
                <w:rFonts w:eastAsia="宋体"/>
                <w:lang w:val="en-US" w:eastAsia="zh-CN" w:bidi="ar"/>
              </w:rPr>
              <w:t>0.5</w:t>
            </w:r>
            <w:r>
              <w:rPr>
                <w:rStyle w:val="12"/>
                <w:lang w:val="en-US" w:eastAsia="zh-CN" w:bidi="ar"/>
              </w:rPr>
              <w:t>分；本年超支的，计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783B9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2CFD4C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5742E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23907B6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A2B405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A1A14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公用经费</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14:paraId="686125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49C6E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0F2F7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公用经费控制率</w:t>
            </w:r>
            <w:r>
              <w:rPr>
                <w:rStyle w:val="13"/>
                <w:rFonts w:eastAsia="宋体"/>
                <w:lang w:val="en-US" w:eastAsia="zh-CN" w:bidi="ar"/>
              </w:rPr>
              <w:t>=</w:t>
            </w:r>
            <w:r>
              <w:rPr>
                <w:rStyle w:val="12"/>
                <w:lang w:val="en-US" w:eastAsia="zh-CN" w:bidi="ar"/>
              </w:rPr>
              <w:t>（实际支出公用经费总额</w:t>
            </w:r>
            <w:r>
              <w:rPr>
                <w:rStyle w:val="13"/>
                <w:rFonts w:eastAsia="宋体"/>
                <w:lang w:val="en-US" w:eastAsia="zh-CN" w:bidi="ar"/>
              </w:rPr>
              <w:t>/</w:t>
            </w:r>
            <w:r>
              <w:rPr>
                <w:rStyle w:val="12"/>
                <w:lang w:val="en-US" w:eastAsia="zh-CN" w:bidi="ar"/>
              </w:rPr>
              <w:t>预算安排公用经费总额）</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31253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742E263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BE1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73BF982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122947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FFAD7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14:paraId="42F390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B3F8B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实际支出数与预算安排数的比率，用以反映和考核部门（单位）对</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的实际控制程度。</w:t>
            </w:r>
          </w:p>
        </w:tc>
        <w:tc>
          <w:tcPr>
            <w:tcW w:w="5112" w:type="dxa"/>
            <w:tcBorders>
              <w:tl2br w:val="nil"/>
              <w:tr2bl w:val="nil"/>
            </w:tcBorders>
            <w:noWrap w:val="0"/>
            <w:vAlign w:val="center"/>
          </w:tcPr>
          <w:p w14:paraId="2634E1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控制率</w:t>
            </w:r>
            <w:r>
              <w:rPr>
                <w:rStyle w:val="13"/>
                <w:rFonts w:eastAsia="宋体"/>
                <w:lang w:val="en-US" w:eastAsia="zh-CN" w:bidi="ar"/>
              </w:rPr>
              <w:t>=</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预算安排数）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4E2AB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ACFF14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9EF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5FB53A9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7B0836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729DD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政府采购</w:t>
            </w:r>
            <w:r>
              <w:rPr>
                <w:rStyle w:val="13"/>
                <w:rFonts w:eastAsia="宋体"/>
                <w:lang w:val="en-US" w:eastAsia="zh-CN" w:bidi="ar"/>
              </w:rPr>
              <w:br w:type="textWrapping"/>
            </w:r>
            <w:r>
              <w:rPr>
                <w:rStyle w:val="12"/>
                <w:lang w:val="en-US" w:eastAsia="zh-CN" w:bidi="ar"/>
              </w:rPr>
              <w:t>执行率和</w:t>
            </w:r>
            <w:r>
              <w:rPr>
                <w:rStyle w:val="13"/>
                <w:rFonts w:eastAsia="宋体"/>
                <w:lang w:val="en-US" w:eastAsia="zh-CN" w:bidi="ar"/>
              </w:rPr>
              <w:br w:type="textWrapping"/>
            </w:r>
            <w:r>
              <w:rPr>
                <w:rStyle w:val="12"/>
                <w:lang w:val="en-US" w:eastAsia="zh-CN" w:bidi="ar"/>
              </w:rPr>
              <w:t>规范性</w:t>
            </w:r>
          </w:p>
        </w:tc>
        <w:tc>
          <w:tcPr>
            <w:tcW w:w="495" w:type="dxa"/>
            <w:tcBorders>
              <w:tl2br w:val="nil"/>
              <w:tr2bl w:val="nil"/>
            </w:tcBorders>
            <w:noWrap w:val="0"/>
            <w:vAlign w:val="center"/>
          </w:tcPr>
          <w:p w14:paraId="75F182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7DA82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583DE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①政府采购预算执行率</w:t>
            </w:r>
            <w:r>
              <w:rPr>
                <w:rStyle w:val="13"/>
                <w:rFonts w:eastAsia="宋体"/>
                <w:lang w:val="en-US" w:eastAsia="zh-CN" w:bidi="ar"/>
              </w:rPr>
              <w:t>=</w:t>
            </w:r>
            <w:r>
              <w:rPr>
                <w:rStyle w:val="12"/>
                <w:lang w:val="en-US" w:eastAsia="zh-CN" w:bidi="ar"/>
              </w:rPr>
              <w:t>（实际政府采购金额</w:t>
            </w:r>
            <w:r>
              <w:rPr>
                <w:rStyle w:val="13"/>
                <w:rFonts w:eastAsia="宋体"/>
                <w:lang w:val="en-US" w:eastAsia="zh-CN" w:bidi="ar"/>
              </w:rPr>
              <w:t>/</w:t>
            </w:r>
            <w:r>
              <w:rPr>
                <w:rStyle w:val="12"/>
                <w:lang w:val="en-US" w:eastAsia="zh-CN" w:bidi="ar"/>
              </w:rPr>
              <w:t>政府采购预算数）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政府采购预算：采购机关根据事业发展计划和行政任务编制的、并经过规定程序批准的年度政府采购计划。</w:t>
            </w:r>
            <w:r>
              <w:rPr>
                <w:rStyle w:val="13"/>
                <w:rFonts w:eastAsia="宋体"/>
                <w:lang w:val="en-US" w:eastAsia="zh-CN" w:bidi="ar"/>
              </w:rPr>
              <w:br w:type="textWrapping"/>
            </w:r>
            <w:r>
              <w:rPr>
                <w:rStyle w:val="12"/>
                <w:lang w:val="en-US" w:eastAsia="zh-CN" w:bidi="ar"/>
              </w:rPr>
              <w:t>该项得分，完成本年度采购计划的，政府采购执行率≤</w:t>
            </w:r>
            <w:r>
              <w:rPr>
                <w:rStyle w:val="13"/>
                <w:rFonts w:eastAsia="宋体"/>
                <w:lang w:val="en-US" w:eastAsia="zh-CN" w:bidi="ar"/>
              </w:rPr>
              <w:t>100%</w:t>
            </w:r>
            <w:r>
              <w:rPr>
                <w:rStyle w:val="12"/>
                <w:lang w:val="en-US" w:eastAsia="zh-CN" w:bidi="ar"/>
              </w:rPr>
              <w:t>，计</w:t>
            </w:r>
            <w:r>
              <w:rPr>
                <w:rStyle w:val="13"/>
                <w:rFonts w:eastAsia="宋体"/>
                <w:lang w:val="en-US" w:eastAsia="zh-CN" w:bidi="ar"/>
              </w:rPr>
              <w:t>1</w:t>
            </w:r>
            <w:r>
              <w:rPr>
                <w:rStyle w:val="12"/>
                <w:lang w:val="en-US" w:eastAsia="zh-CN" w:bidi="ar"/>
              </w:rPr>
              <w:t>分，每超过</w:t>
            </w:r>
            <w:r>
              <w:rPr>
                <w:rStyle w:val="13"/>
                <w:rFonts w:eastAsia="宋体"/>
                <w:lang w:val="en-US" w:eastAsia="zh-CN" w:bidi="ar"/>
              </w:rPr>
              <w:t>1%</w:t>
            </w:r>
            <w:r>
              <w:rPr>
                <w:rStyle w:val="12"/>
                <w:lang w:val="en-US" w:eastAsia="zh-CN" w:bidi="ar"/>
              </w:rPr>
              <w:t>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②所有项目依法采购，无规避政府采购或化整为零进行政府采购的行为，并履行验收手续，计0.5分，否则不得分；</w:t>
            </w:r>
            <w:r>
              <w:rPr>
                <w:rStyle w:val="13"/>
                <w:rFonts w:eastAsia="宋体"/>
                <w:lang w:val="en-US" w:eastAsia="zh-CN" w:bidi="ar"/>
              </w:rPr>
              <w:br w:type="textWrapping"/>
            </w:r>
            <w:r>
              <w:rPr>
                <w:rStyle w:val="12"/>
                <w:lang w:val="en-US" w:eastAsia="zh-CN" w:bidi="ar"/>
              </w:rPr>
              <w:t>③预算单位建立了政府采购内控制度，计0.5分，否则不得分。</w:t>
            </w:r>
          </w:p>
        </w:tc>
        <w:tc>
          <w:tcPr>
            <w:tcW w:w="2115" w:type="dxa"/>
            <w:tcBorders>
              <w:tl2br w:val="nil"/>
              <w:tr2bl w:val="nil"/>
            </w:tcBorders>
            <w:noWrap w:val="0"/>
            <w:vAlign w:val="center"/>
          </w:tcPr>
          <w:p w14:paraId="194379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6723822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862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78E51521">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907C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29</w:t>
            </w:r>
            <w:r>
              <w:rPr>
                <w:rStyle w:val="12"/>
                <w:lang w:val="en-US" w:eastAsia="zh-CN" w:bidi="ar"/>
              </w:rPr>
              <w:t>分）</w:t>
            </w:r>
          </w:p>
        </w:tc>
        <w:tc>
          <w:tcPr>
            <w:tcW w:w="1050" w:type="dxa"/>
            <w:tcBorders>
              <w:tl2br w:val="nil"/>
              <w:tr2bl w:val="nil"/>
            </w:tcBorders>
            <w:noWrap w:val="0"/>
            <w:vAlign w:val="center"/>
          </w:tcPr>
          <w:p w14:paraId="627926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管理制度</w:t>
            </w:r>
            <w:r>
              <w:rPr>
                <w:rStyle w:val="13"/>
                <w:rFonts w:eastAsia="宋体"/>
                <w:lang w:val="en-US" w:eastAsia="zh-CN" w:bidi="ar"/>
              </w:rPr>
              <w:br w:type="textWrapping"/>
            </w:r>
            <w:r>
              <w:rPr>
                <w:rStyle w:val="12"/>
                <w:lang w:val="en-US" w:eastAsia="zh-CN" w:bidi="ar"/>
              </w:rPr>
              <w:t>健全性</w:t>
            </w:r>
          </w:p>
        </w:tc>
        <w:tc>
          <w:tcPr>
            <w:tcW w:w="495" w:type="dxa"/>
            <w:tcBorders>
              <w:tl2br w:val="nil"/>
              <w:tr2bl w:val="nil"/>
            </w:tcBorders>
            <w:noWrap w:val="0"/>
            <w:vAlign w:val="center"/>
          </w:tcPr>
          <w:p w14:paraId="773C26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7628AD9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7B96E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①是否已制定或具有预算资金管理办法、内部财务管理制度、会计核算制度等管理制度；</w:t>
            </w:r>
            <w:r>
              <w:rPr>
                <w:rStyle w:val="13"/>
                <w:rFonts w:eastAsia="宋体"/>
                <w:lang w:val="en-US" w:eastAsia="zh-CN" w:bidi="ar"/>
              </w:rPr>
              <w:br w:type="textWrapping"/>
            </w:r>
            <w:r>
              <w:rPr>
                <w:rStyle w:val="12"/>
                <w:lang w:val="en-US" w:eastAsia="zh-CN" w:bidi="ar"/>
              </w:rPr>
              <w:t>②相关管理制度是否合法、合规、完整；</w:t>
            </w:r>
            <w:r>
              <w:rPr>
                <w:rStyle w:val="13"/>
                <w:rFonts w:eastAsia="宋体"/>
                <w:lang w:val="en-US" w:eastAsia="zh-CN" w:bidi="ar"/>
              </w:rPr>
              <w:br w:type="textWrapping"/>
            </w:r>
            <w:r>
              <w:rPr>
                <w:rStyle w:val="12"/>
                <w:lang w:val="en-US" w:eastAsia="zh-CN" w:bidi="ar"/>
              </w:rPr>
              <w:t>③相关管理制度是否得到有效执行。</w:t>
            </w:r>
            <w:r>
              <w:rPr>
                <w:rStyle w:val="13"/>
                <w:rFonts w:eastAsia="宋体"/>
                <w:lang w:val="en-US" w:eastAsia="zh-CN" w:bidi="ar"/>
              </w:rPr>
              <w:br w:type="textWrapping"/>
            </w:r>
            <w:r>
              <w:rPr>
                <w:rStyle w:val="12"/>
                <w:lang w:val="en-US" w:eastAsia="zh-CN" w:bidi="ar"/>
              </w:rPr>
              <w:t>④会计人员、机构是否按规定设置；</w:t>
            </w:r>
            <w:r>
              <w:rPr>
                <w:rStyle w:val="13"/>
                <w:rFonts w:eastAsia="宋体"/>
                <w:lang w:val="en-US" w:eastAsia="zh-CN" w:bidi="ar"/>
              </w:rPr>
              <w:br w:type="textWrapping"/>
            </w:r>
            <w:r>
              <w:rPr>
                <w:rStyle w:val="12"/>
                <w:lang w:val="en-US" w:eastAsia="zh-CN" w:bidi="ar"/>
              </w:rPr>
              <w:t>⑤会计基础工作是否健全；</w:t>
            </w:r>
            <w:r>
              <w:rPr>
                <w:rStyle w:val="13"/>
                <w:rFonts w:eastAsia="宋体"/>
                <w:lang w:val="en-US" w:eastAsia="zh-CN" w:bidi="ar"/>
              </w:rPr>
              <w:br w:type="textWrapping"/>
            </w:r>
            <w:r>
              <w:rPr>
                <w:rStyle w:val="12"/>
                <w:lang w:val="en-US" w:eastAsia="zh-CN" w:bidi="ar"/>
              </w:rPr>
              <w:t>⑥会计档案是否符合规定要求；</w:t>
            </w:r>
            <w:r>
              <w:rPr>
                <w:rStyle w:val="13"/>
                <w:rFonts w:eastAsia="宋体"/>
                <w:lang w:val="en-US" w:eastAsia="zh-CN" w:bidi="ar"/>
              </w:rPr>
              <w:br w:type="textWrapping"/>
            </w:r>
            <w:r>
              <w:rPr>
                <w:rStyle w:val="12"/>
                <w:lang w:val="en-US" w:eastAsia="zh-CN" w:bidi="ar"/>
              </w:rPr>
              <w:t>⑦项目管理是否规范（包括项目立项、申报、招投标、合同或协议要素、制度建立、按时完工等）。</w:t>
            </w:r>
            <w:r>
              <w:rPr>
                <w:rStyle w:val="13"/>
                <w:rFonts w:eastAsia="宋体"/>
                <w:lang w:val="en-US" w:eastAsia="zh-CN" w:bidi="ar"/>
              </w:rPr>
              <w:br w:type="textWrapping"/>
            </w:r>
            <w:r>
              <w:rPr>
                <w:rStyle w:val="12"/>
                <w:lang w:val="en-US" w:eastAsia="zh-CN" w:bidi="ar"/>
              </w:rPr>
              <w:t>以上情况每发现一例不符合要求的扣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14:paraId="78F410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部门（单位）管理制度。</w:t>
            </w:r>
          </w:p>
        </w:tc>
        <w:tc>
          <w:tcPr>
            <w:tcW w:w="586" w:type="dxa"/>
            <w:tcBorders>
              <w:tl2br w:val="nil"/>
              <w:tr2bl w:val="nil"/>
            </w:tcBorders>
            <w:noWrap w:val="0"/>
            <w:vAlign w:val="center"/>
          </w:tcPr>
          <w:p w14:paraId="3BC60414">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14:paraId="0EE8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3F88FF1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A5A804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64EE3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w:t>
            </w:r>
            <w:r>
              <w:rPr>
                <w:rStyle w:val="13"/>
                <w:rFonts w:eastAsia="宋体"/>
                <w:lang w:val="en-US" w:eastAsia="zh-CN" w:bidi="ar"/>
              </w:rPr>
              <w:br w:type="textWrapping"/>
            </w:r>
            <w:r>
              <w:rPr>
                <w:rStyle w:val="12"/>
                <w:lang w:val="en-US" w:eastAsia="zh-CN" w:bidi="ar"/>
              </w:rPr>
              <w:t>合规性</w:t>
            </w:r>
          </w:p>
        </w:tc>
        <w:tc>
          <w:tcPr>
            <w:tcW w:w="495" w:type="dxa"/>
            <w:tcBorders>
              <w:tl2br w:val="nil"/>
              <w:tr2bl w:val="nil"/>
            </w:tcBorders>
            <w:noWrap w:val="0"/>
            <w:vAlign w:val="center"/>
          </w:tcPr>
          <w:p w14:paraId="4F56C3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3FC640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1121C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①符合国家财经法规和财务管理制度以及有关专项资金管理办法的规定，计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②资金的支付有完整的审批程序和手续，计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③重大项目开支和大额资金使用经过单位党组集体研究决策，计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④符合项目预算批复或合同规定的用途，计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⑤没有截留、挤占、挪用、虚列支出等情况，计</w:t>
            </w:r>
            <w:r>
              <w:rPr>
                <w:rStyle w:val="13"/>
                <w:rFonts w:eastAsia="宋体"/>
                <w:lang w:val="en-US" w:eastAsia="zh-CN" w:bidi="ar"/>
              </w:rPr>
              <w:t>1</w:t>
            </w:r>
            <w:r>
              <w:rPr>
                <w:rStyle w:val="12"/>
                <w:lang w:val="en-US" w:eastAsia="zh-CN" w:bidi="ar"/>
              </w:rPr>
              <w:t>分，发生</w:t>
            </w:r>
            <w:r>
              <w:rPr>
                <w:rStyle w:val="13"/>
                <w:rFonts w:eastAsia="宋体"/>
                <w:lang w:val="en-US" w:eastAsia="zh-CN" w:bidi="ar"/>
              </w:rPr>
              <w:t>1</w:t>
            </w:r>
            <w:r>
              <w:rPr>
                <w:rStyle w:val="12"/>
                <w:lang w:val="en-US" w:eastAsia="zh-CN" w:bidi="ar"/>
              </w:rPr>
              <w:t>例不符合本指标的现象</w:t>
            </w:r>
            <w:r>
              <w:rPr>
                <w:rStyle w:val="13"/>
                <w:rFonts w:eastAsia="宋体"/>
                <w:lang w:val="en-US" w:eastAsia="zh-CN" w:bidi="ar"/>
              </w:rPr>
              <w:t>7</w:t>
            </w:r>
            <w:r>
              <w:rPr>
                <w:rStyle w:val="12"/>
                <w:lang w:val="en-US" w:eastAsia="zh-CN" w:bidi="ar"/>
              </w:rPr>
              <w:t>分全扣；</w:t>
            </w:r>
            <w:r>
              <w:rPr>
                <w:rStyle w:val="13"/>
                <w:rFonts w:eastAsia="宋体"/>
                <w:lang w:val="en-US" w:eastAsia="zh-CN" w:bidi="ar"/>
              </w:rPr>
              <w:br w:type="textWrapping"/>
            </w:r>
            <w:r>
              <w:rPr>
                <w:rStyle w:val="12"/>
                <w:lang w:val="en-US" w:eastAsia="zh-CN" w:bidi="ar"/>
              </w:rPr>
              <w:t>⑥原始凭证的取得真实有效，计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⑦无超标准发放津补贴、奖金、无用公款支付应个人支付的款项，计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2"/>
                <w:lang w:val="en-US" w:eastAsia="zh-CN" w:bidi="ar"/>
              </w:rPr>
              <w:br w:type="textWrapping"/>
            </w:r>
            <w:r>
              <w:rPr>
                <w:rStyle w:val="12"/>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3CB1E3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7DEC01A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320A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498B3FE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758159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962B6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信息</w:t>
            </w:r>
            <w:r>
              <w:rPr>
                <w:rStyle w:val="13"/>
                <w:rFonts w:eastAsia="宋体"/>
                <w:lang w:val="en-US" w:eastAsia="zh-CN" w:bidi="ar"/>
              </w:rPr>
              <w:br w:type="textWrapping"/>
            </w:r>
            <w:r>
              <w:rPr>
                <w:rStyle w:val="12"/>
                <w:lang w:val="en-US" w:eastAsia="zh-CN" w:bidi="ar"/>
              </w:rPr>
              <w:t>公开性</w:t>
            </w:r>
          </w:p>
        </w:tc>
        <w:tc>
          <w:tcPr>
            <w:tcW w:w="495" w:type="dxa"/>
            <w:tcBorders>
              <w:tl2br w:val="nil"/>
              <w:tr2bl w:val="nil"/>
            </w:tcBorders>
            <w:noWrap w:val="0"/>
            <w:vAlign w:val="center"/>
          </w:tcPr>
          <w:p w14:paraId="392D66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5DF79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3D4B3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①无涉密情况的预算单位按规定及时、准确、完整的公开预决算和绩效管理信息，计</w:t>
            </w:r>
            <w:r>
              <w:rPr>
                <w:rStyle w:val="13"/>
                <w:rFonts w:eastAsia="宋体"/>
                <w:lang w:val="en-US" w:eastAsia="zh-CN" w:bidi="ar"/>
              </w:rPr>
              <w:t>1</w:t>
            </w:r>
            <w:r>
              <w:rPr>
                <w:rStyle w:val="12"/>
                <w:lang w:val="en-US" w:eastAsia="zh-CN" w:bidi="ar"/>
              </w:rPr>
              <w:t>分，否则，酌情扣分；</w:t>
            </w:r>
            <w:r>
              <w:rPr>
                <w:rStyle w:val="13"/>
                <w:rFonts w:eastAsia="宋体"/>
                <w:lang w:val="en-US" w:eastAsia="zh-CN" w:bidi="ar"/>
              </w:rPr>
              <w:br w:type="textWrapping"/>
            </w:r>
            <w:r>
              <w:rPr>
                <w:rStyle w:val="12"/>
                <w:lang w:val="en-US" w:eastAsia="zh-CN" w:bidi="ar"/>
              </w:rPr>
              <w:t>②基础数据信息和会计信息资料真实、准确、完整，计</w:t>
            </w:r>
            <w:r>
              <w:rPr>
                <w:rStyle w:val="13"/>
                <w:rFonts w:eastAsia="宋体"/>
                <w:lang w:val="en-US" w:eastAsia="zh-CN" w:bidi="ar"/>
              </w:rPr>
              <w:t>1</w:t>
            </w:r>
            <w:r>
              <w:rPr>
                <w:rStyle w:val="12"/>
                <w:lang w:val="en-US" w:eastAsia="zh-CN" w:bidi="ar"/>
              </w:rPr>
              <w:t>分，否则，酌情扣分。</w:t>
            </w:r>
            <w:r>
              <w:rPr>
                <w:rStyle w:val="12"/>
                <w:lang w:val="en-US" w:eastAsia="zh-CN" w:bidi="ar"/>
              </w:rPr>
              <w:br w:type="textWrapping"/>
            </w:r>
            <w:r>
              <w:rPr>
                <w:rStyle w:val="12"/>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076EF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52AD39D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63BC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69DA3EB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90DF51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B7363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非税收入</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管理</w:t>
            </w:r>
          </w:p>
        </w:tc>
        <w:tc>
          <w:tcPr>
            <w:tcW w:w="495" w:type="dxa"/>
            <w:tcBorders>
              <w:tl2br w:val="nil"/>
              <w:tr2bl w:val="nil"/>
            </w:tcBorders>
            <w:noWrap w:val="0"/>
            <w:vAlign w:val="center"/>
          </w:tcPr>
          <w:p w14:paraId="0497E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3F92A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反映部门非税收入的使用、管理情况。</w:t>
            </w:r>
          </w:p>
        </w:tc>
        <w:tc>
          <w:tcPr>
            <w:tcW w:w="5112" w:type="dxa"/>
            <w:tcBorders>
              <w:tl2br w:val="nil"/>
              <w:tr2bl w:val="nil"/>
            </w:tcBorders>
            <w:noWrap w:val="0"/>
            <w:vAlign w:val="center"/>
          </w:tcPr>
          <w:p w14:paraId="3E98F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①实行收支两条线，计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r>
              <w:rPr>
                <w:rStyle w:val="13"/>
                <w:rFonts w:eastAsia="宋体"/>
                <w:lang w:val="en-US" w:eastAsia="zh-CN" w:bidi="ar"/>
              </w:rPr>
              <w:br w:type="textWrapping"/>
            </w:r>
            <w:r>
              <w:rPr>
                <w:rStyle w:val="12"/>
                <w:lang w:val="en-US" w:eastAsia="zh-CN" w:bidi="ar"/>
              </w:rPr>
              <w:t>②未发生截留、坐支或转移，计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0CB15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3E2469E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727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256B987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5F784F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7CD14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绩效自评</w:t>
            </w:r>
            <w:r>
              <w:rPr>
                <w:rStyle w:val="13"/>
                <w:rFonts w:eastAsia="宋体"/>
                <w:lang w:val="en-US" w:eastAsia="zh-CN" w:bidi="ar"/>
              </w:rPr>
              <w:br w:type="textWrapping"/>
            </w:r>
            <w:r>
              <w:rPr>
                <w:rStyle w:val="12"/>
                <w:lang w:val="en-US" w:eastAsia="zh-CN" w:bidi="ar"/>
              </w:rPr>
              <w:t>管理情况</w:t>
            </w:r>
          </w:p>
        </w:tc>
        <w:tc>
          <w:tcPr>
            <w:tcW w:w="495" w:type="dxa"/>
            <w:tcBorders>
              <w:tl2br w:val="nil"/>
              <w:tr2bl w:val="nil"/>
            </w:tcBorders>
            <w:noWrap w:val="0"/>
            <w:vAlign w:val="center"/>
          </w:tcPr>
          <w:p w14:paraId="6C018E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5B2A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1A2F27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①是否按要求开展部门（单位）整体支出绩效自评和专项资金支出自评工作。</w:t>
            </w:r>
            <w:r>
              <w:rPr>
                <w:rStyle w:val="13"/>
                <w:rFonts w:eastAsia="宋体"/>
                <w:lang w:val="en-US" w:eastAsia="zh-CN" w:bidi="ar"/>
              </w:rPr>
              <w:br w:type="textWrapping"/>
            </w:r>
            <w:r>
              <w:rPr>
                <w:rStyle w:val="12"/>
                <w:lang w:val="en-US" w:eastAsia="zh-CN" w:bidi="ar"/>
              </w:rPr>
              <w:t>②是否及时报送绩效自评报告；</w:t>
            </w:r>
            <w:r>
              <w:rPr>
                <w:rStyle w:val="13"/>
                <w:rFonts w:eastAsia="宋体"/>
                <w:lang w:val="en-US" w:eastAsia="zh-CN" w:bidi="ar"/>
              </w:rPr>
              <w:br w:type="textWrapping"/>
            </w:r>
            <w:r>
              <w:rPr>
                <w:rStyle w:val="12"/>
                <w:lang w:val="en-US" w:eastAsia="zh-CN" w:bidi="ar"/>
              </w:rPr>
              <w:t>③绩效自评报告是否完整，数据是否全面、真实、准确，绩效指标是否细化量化和科学合理；</w:t>
            </w:r>
            <w:r>
              <w:rPr>
                <w:rStyle w:val="13"/>
                <w:rFonts w:eastAsia="宋体"/>
                <w:lang w:val="en-US" w:eastAsia="zh-CN" w:bidi="ar"/>
              </w:rPr>
              <w:br w:type="textWrapping"/>
            </w:r>
            <w:r>
              <w:rPr>
                <w:rStyle w:val="12"/>
                <w:lang w:val="en-US" w:eastAsia="zh-CN" w:bidi="ar"/>
              </w:rPr>
              <w:t>④绩效自评反映的问题是否具体，意见是否可行，自评发现的问题是否整改；</w:t>
            </w:r>
            <w:r>
              <w:rPr>
                <w:rStyle w:val="13"/>
                <w:rFonts w:eastAsia="宋体"/>
                <w:lang w:val="en-US" w:eastAsia="zh-CN" w:bidi="ar"/>
              </w:rPr>
              <w:br w:type="textWrapping"/>
            </w:r>
            <w:r>
              <w:rPr>
                <w:rStyle w:val="12"/>
                <w:lang w:val="en-US" w:eastAsia="zh-CN" w:bidi="ar"/>
              </w:rPr>
              <w:t>该项得分，①、②、③、④各计</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14:paraId="7BE17B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6D2B7B4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375BA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6A8D1DA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025BFE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8D6CC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重点绩效</w:t>
            </w:r>
            <w:r>
              <w:rPr>
                <w:rStyle w:val="13"/>
                <w:rFonts w:eastAsia="宋体"/>
                <w:lang w:val="en-US" w:eastAsia="zh-CN" w:bidi="ar"/>
              </w:rPr>
              <w:br w:type="textWrapping"/>
            </w:r>
            <w:r>
              <w:rPr>
                <w:rStyle w:val="12"/>
                <w:lang w:val="en-US" w:eastAsia="zh-CN" w:bidi="ar"/>
              </w:rPr>
              <w:t>评价整改</w:t>
            </w:r>
            <w:r>
              <w:rPr>
                <w:rStyle w:val="13"/>
                <w:rFonts w:eastAsia="宋体"/>
                <w:lang w:val="en-US" w:eastAsia="zh-CN" w:bidi="ar"/>
              </w:rPr>
              <w:br w:type="textWrapping"/>
            </w:r>
            <w:r>
              <w:rPr>
                <w:rStyle w:val="12"/>
                <w:lang w:val="en-US" w:eastAsia="zh-CN" w:bidi="ar"/>
              </w:rPr>
              <w:t>情况</w:t>
            </w:r>
          </w:p>
        </w:tc>
        <w:tc>
          <w:tcPr>
            <w:tcW w:w="495" w:type="dxa"/>
            <w:tcBorders>
              <w:tl2br w:val="nil"/>
              <w:tr2bl w:val="nil"/>
            </w:tcBorders>
            <w:noWrap w:val="0"/>
            <w:vAlign w:val="center"/>
          </w:tcPr>
          <w:p w14:paraId="11AD66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15FD3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40FC1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上轮重点评价问题全部整改，计3分；上轮重点评价问题部分整改，计</w:t>
            </w:r>
            <w:r>
              <w:rPr>
                <w:rStyle w:val="13"/>
                <w:rFonts w:eastAsia="宋体"/>
                <w:lang w:val="en-US" w:eastAsia="zh-CN" w:bidi="ar"/>
              </w:rPr>
              <w:t>1</w:t>
            </w:r>
            <w:r>
              <w:rPr>
                <w:rStyle w:val="12"/>
                <w:lang w:val="en-US" w:eastAsia="zh-CN" w:bidi="ar"/>
              </w:rPr>
              <w:t>分；上轮重点评价问题未整改且无整改情况说明的不计分。</w:t>
            </w:r>
          </w:p>
        </w:tc>
        <w:tc>
          <w:tcPr>
            <w:tcW w:w="2115" w:type="dxa"/>
            <w:tcBorders>
              <w:tl2br w:val="nil"/>
              <w:tr2bl w:val="nil"/>
            </w:tcBorders>
            <w:noWrap w:val="0"/>
            <w:vAlign w:val="center"/>
          </w:tcPr>
          <w:p w14:paraId="1F627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939A20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A31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36F7AD8A">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4A5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资产</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（5分）</w:t>
            </w:r>
          </w:p>
        </w:tc>
        <w:tc>
          <w:tcPr>
            <w:tcW w:w="1050" w:type="dxa"/>
            <w:tcBorders>
              <w:tl2br w:val="nil"/>
              <w:tr2bl w:val="nil"/>
            </w:tcBorders>
            <w:noWrap w:val="0"/>
            <w:vAlign w:val="center"/>
          </w:tcPr>
          <w:p w14:paraId="156EFD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制度健全性</w:t>
            </w:r>
          </w:p>
        </w:tc>
        <w:tc>
          <w:tcPr>
            <w:tcW w:w="495" w:type="dxa"/>
            <w:tcBorders>
              <w:tl2br w:val="nil"/>
              <w:tr2bl w:val="nil"/>
            </w:tcBorders>
            <w:noWrap w:val="0"/>
            <w:vAlign w:val="center"/>
          </w:tcPr>
          <w:p w14:paraId="1D5F20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CECFC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62759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①已制定合法、合规、完整的资产管理制度，计</w:t>
            </w:r>
            <w:r>
              <w:rPr>
                <w:rStyle w:val="13"/>
                <w:rFonts w:eastAsia="宋体"/>
                <w:lang w:val="en-US" w:eastAsia="zh-CN" w:bidi="ar"/>
              </w:rPr>
              <w:t>0.5</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②相关资产管理制度得到有效执行，计</w:t>
            </w:r>
            <w:r>
              <w:rPr>
                <w:rStyle w:val="13"/>
                <w:rFonts w:eastAsia="宋体"/>
                <w:lang w:val="en-US" w:eastAsia="zh-CN" w:bidi="ar"/>
              </w:rPr>
              <w:t>0.5</w:t>
            </w:r>
            <w:r>
              <w:rPr>
                <w:rStyle w:val="12"/>
                <w:lang w:val="en-US" w:eastAsia="zh-CN" w:bidi="ar"/>
              </w:rPr>
              <w:t>分，否则不得分；</w:t>
            </w:r>
          </w:p>
        </w:tc>
        <w:tc>
          <w:tcPr>
            <w:tcW w:w="2115" w:type="dxa"/>
            <w:tcBorders>
              <w:tl2br w:val="nil"/>
              <w:tr2bl w:val="nil"/>
            </w:tcBorders>
            <w:noWrap w:val="0"/>
            <w:vAlign w:val="center"/>
          </w:tcPr>
          <w:p w14:paraId="158D7B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部门（单位）资产管理制度；采购资产相关资料。</w:t>
            </w:r>
          </w:p>
        </w:tc>
        <w:tc>
          <w:tcPr>
            <w:tcW w:w="586" w:type="dxa"/>
            <w:tcBorders>
              <w:tl2br w:val="nil"/>
              <w:tr2bl w:val="nil"/>
            </w:tcBorders>
            <w:noWrap w:val="0"/>
            <w:vAlign w:val="center"/>
          </w:tcPr>
          <w:p w14:paraId="7D5BA705">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14:paraId="5367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59E83FB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DB2C7F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11192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安全性</w:t>
            </w:r>
          </w:p>
        </w:tc>
        <w:tc>
          <w:tcPr>
            <w:tcW w:w="495" w:type="dxa"/>
            <w:tcBorders>
              <w:tl2br w:val="nil"/>
              <w:tr2bl w:val="nil"/>
            </w:tcBorders>
            <w:noWrap w:val="0"/>
            <w:vAlign w:val="center"/>
          </w:tcPr>
          <w:p w14:paraId="3D89AB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9AD8B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12537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①资产配置合理符合标准、保管完整，账务管理规范，定期盘点并有台账，账实相符的，计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②资产处置规范，计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③资产有偿使用或处置收入及时足额上缴，计</w:t>
            </w:r>
            <w:r>
              <w:rPr>
                <w:rStyle w:val="13"/>
                <w:rFonts w:eastAsia="宋体"/>
                <w:lang w:val="en-US" w:eastAsia="zh-CN" w:bidi="ar"/>
              </w:rPr>
              <w:t>0.5</w:t>
            </w:r>
            <w:r>
              <w:rPr>
                <w:rStyle w:val="12"/>
                <w:lang w:val="en-US" w:eastAsia="zh-CN" w:bidi="ar"/>
              </w:rPr>
              <w:t>分，发现未上缴，本项不得分；</w:t>
            </w:r>
            <w:r>
              <w:rPr>
                <w:rStyle w:val="13"/>
                <w:rFonts w:eastAsia="宋体"/>
                <w:lang w:val="en-US" w:eastAsia="zh-CN" w:bidi="ar"/>
              </w:rPr>
              <w:br w:type="textWrapping"/>
            </w:r>
            <w:r>
              <w:rPr>
                <w:rStyle w:val="12"/>
                <w:lang w:val="en-US" w:eastAsia="zh-CN" w:bidi="ar"/>
              </w:rPr>
              <w:t>④资产购置履行政府采购手续，计</w:t>
            </w:r>
            <w:r>
              <w:rPr>
                <w:rStyle w:val="13"/>
                <w:rFonts w:eastAsia="宋体"/>
                <w:lang w:val="en-US" w:eastAsia="zh-CN" w:bidi="ar"/>
              </w:rPr>
              <w:t>0.3</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分，扣完为止；外租资产全部走合规程序，计</w:t>
            </w:r>
            <w:r>
              <w:rPr>
                <w:rStyle w:val="13"/>
                <w:rFonts w:eastAsia="宋体"/>
                <w:lang w:val="en-US" w:eastAsia="zh-CN" w:bidi="ar"/>
              </w:rPr>
              <w:t>0.2</w:t>
            </w:r>
            <w:r>
              <w:rPr>
                <w:rStyle w:val="12"/>
                <w:lang w:val="en-US" w:eastAsia="zh-CN" w:bidi="ar"/>
              </w:rPr>
              <w:t>分，发现一例不合规，扣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14:paraId="45C42B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488F2F38">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4875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19A3BF8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609E8C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EF04F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固定资产</w:t>
            </w:r>
            <w:r>
              <w:rPr>
                <w:rStyle w:val="13"/>
                <w:rFonts w:eastAsia="宋体"/>
                <w:lang w:val="en-US" w:eastAsia="zh-CN" w:bidi="ar"/>
              </w:rPr>
              <w:br w:type="textWrapping"/>
            </w:r>
            <w:r>
              <w:rPr>
                <w:rStyle w:val="12"/>
                <w:lang w:val="en-US" w:eastAsia="zh-CN" w:bidi="ar"/>
              </w:rPr>
              <w:t>保管和使用情况</w:t>
            </w:r>
          </w:p>
        </w:tc>
        <w:tc>
          <w:tcPr>
            <w:tcW w:w="495" w:type="dxa"/>
            <w:tcBorders>
              <w:tl2br w:val="nil"/>
              <w:tr2bl w:val="nil"/>
            </w:tcBorders>
            <w:noWrap w:val="0"/>
            <w:vAlign w:val="center"/>
          </w:tcPr>
          <w:p w14:paraId="3F5CAC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1C2CF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掌握预算单位固定资产配置管理使用情况。</w:t>
            </w:r>
          </w:p>
        </w:tc>
        <w:tc>
          <w:tcPr>
            <w:tcW w:w="5112" w:type="dxa"/>
            <w:tcBorders>
              <w:tl2br w:val="nil"/>
              <w:tr2bl w:val="nil"/>
            </w:tcBorders>
            <w:noWrap w:val="0"/>
            <w:vAlign w:val="center"/>
          </w:tcPr>
          <w:p w14:paraId="5A414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①建了固定资产台账实行编码管理，且编码与实物完全匹配计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②建立了固定资产增减变化审批程序的计0.5分，否则不得分；</w:t>
            </w:r>
            <w:r>
              <w:rPr>
                <w:rStyle w:val="13"/>
                <w:rFonts w:eastAsia="宋体"/>
                <w:lang w:val="en-US" w:eastAsia="zh-CN" w:bidi="ar"/>
              </w:rPr>
              <w:br w:type="textWrapping"/>
            </w:r>
            <w:r>
              <w:rPr>
                <w:rStyle w:val="12"/>
                <w:lang w:val="en-US" w:eastAsia="zh-CN" w:bidi="ar"/>
              </w:rPr>
              <w:t>③固定资产无闲置浪费现象计0.5分，发现一处扣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14:paraId="22EE0F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部门（单位）固定资产实际使用情况；固定资产账。</w:t>
            </w:r>
          </w:p>
        </w:tc>
        <w:tc>
          <w:tcPr>
            <w:tcW w:w="586" w:type="dxa"/>
            <w:tcBorders>
              <w:tl2br w:val="nil"/>
              <w:tr2bl w:val="nil"/>
            </w:tcBorders>
            <w:noWrap w:val="0"/>
            <w:vAlign w:val="center"/>
          </w:tcPr>
          <w:p w14:paraId="2DC0BF6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B8A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150DDD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产出</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22</w:t>
            </w:r>
            <w:r>
              <w:rPr>
                <w:rStyle w:val="12"/>
                <w:lang w:val="en-US" w:eastAsia="zh-CN" w:bidi="ar"/>
              </w:rPr>
              <w:t>分）</w:t>
            </w:r>
          </w:p>
        </w:tc>
        <w:tc>
          <w:tcPr>
            <w:tcW w:w="870" w:type="dxa"/>
            <w:vMerge w:val="restart"/>
            <w:tcBorders>
              <w:tl2br w:val="nil"/>
              <w:tr2bl w:val="nil"/>
            </w:tcBorders>
            <w:noWrap w:val="0"/>
            <w:vAlign w:val="center"/>
          </w:tcPr>
          <w:p w14:paraId="64CCCE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职责履行（</w:t>
            </w:r>
            <w:r>
              <w:rPr>
                <w:rStyle w:val="13"/>
                <w:rFonts w:eastAsia="宋体"/>
                <w:lang w:val="en-US" w:eastAsia="zh-CN" w:bidi="ar"/>
              </w:rPr>
              <w:t>22</w:t>
            </w:r>
            <w:r>
              <w:rPr>
                <w:rStyle w:val="12"/>
                <w:lang w:val="en-US" w:eastAsia="zh-CN" w:bidi="ar"/>
              </w:rPr>
              <w:t>分）</w:t>
            </w:r>
          </w:p>
        </w:tc>
        <w:tc>
          <w:tcPr>
            <w:tcW w:w="1050" w:type="dxa"/>
            <w:tcBorders>
              <w:tl2br w:val="nil"/>
              <w:tr2bl w:val="nil"/>
            </w:tcBorders>
            <w:noWrap w:val="0"/>
            <w:vAlign w:val="center"/>
          </w:tcPr>
          <w:p w14:paraId="197716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部门整体</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工作质量</w:t>
            </w:r>
          </w:p>
        </w:tc>
        <w:tc>
          <w:tcPr>
            <w:tcW w:w="495" w:type="dxa"/>
            <w:tcBorders>
              <w:tl2br w:val="nil"/>
              <w:tr2bl w:val="nil"/>
            </w:tcBorders>
            <w:noWrap w:val="0"/>
            <w:vAlign w:val="center"/>
          </w:tcPr>
          <w:p w14:paraId="7AE084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438DD5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反映部门党委政府绩效考核评估等级</w:t>
            </w:r>
          </w:p>
        </w:tc>
        <w:tc>
          <w:tcPr>
            <w:tcW w:w="5112" w:type="dxa"/>
            <w:tcBorders>
              <w:tl2br w:val="nil"/>
              <w:tr2bl w:val="nil"/>
            </w:tcBorders>
            <w:noWrap w:val="0"/>
            <w:vAlign w:val="center"/>
          </w:tcPr>
          <w:p w14:paraId="0557B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以市委、市政府绩效效考核评估结果为依据：优秀，计</w:t>
            </w:r>
            <w:r>
              <w:rPr>
                <w:rStyle w:val="13"/>
                <w:rFonts w:eastAsia="宋体"/>
                <w:lang w:val="en-US" w:eastAsia="zh-CN" w:bidi="ar"/>
              </w:rPr>
              <w:t>6</w:t>
            </w:r>
            <w:r>
              <w:rPr>
                <w:rStyle w:val="12"/>
                <w:lang w:val="en-US" w:eastAsia="zh-CN" w:bidi="ar"/>
              </w:rPr>
              <w:t>分；良好，</w:t>
            </w:r>
            <w:r>
              <w:rPr>
                <w:rStyle w:val="13"/>
                <w:rFonts w:eastAsia="宋体"/>
                <w:lang w:val="en-US" w:eastAsia="zh-CN" w:bidi="ar"/>
              </w:rPr>
              <w:t>4</w:t>
            </w:r>
            <w:r>
              <w:rPr>
                <w:rStyle w:val="12"/>
                <w:lang w:val="en-US" w:eastAsia="zh-CN" w:bidi="ar"/>
              </w:rPr>
              <w:t>分；合格，</w:t>
            </w:r>
            <w:r>
              <w:rPr>
                <w:rStyle w:val="13"/>
                <w:rFonts w:eastAsia="宋体"/>
                <w:lang w:val="en-US" w:eastAsia="zh-CN" w:bidi="ar"/>
              </w:rPr>
              <w:t>2</w:t>
            </w:r>
            <w:r>
              <w:rPr>
                <w:rStyle w:val="12"/>
                <w:lang w:val="en-US" w:eastAsia="zh-CN" w:bidi="ar"/>
              </w:rPr>
              <w:t>分；不合格，</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14:paraId="404AE02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C84780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084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379B1FE">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89EAC8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1F83A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实际</w:t>
            </w:r>
            <w:r>
              <w:rPr>
                <w:rStyle w:val="15"/>
                <w:rFonts w:eastAsia="宋体"/>
                <w:lang w:val="en-US" w:eastAsia="zh-CN" w:bidi="ar"/>
              </w:rPr>
              <w:br w:type="textWrapping"/>
            </w:r>
            <w:r>
              <w:rPr>
                <w:rStyle w:val="14"/>
                <w:lang w:val="en-US" w:eastAsia="zh-CN" w:bidi="ar"/>
              </w:rPr>
              <w:t>完成率</w:t>
            </w:r>
          </w:p>
        </w:tc>
        <w:tc>
          <w:tcPr>
            <w:tcW w:w="495" w:type="dxa"/>
            <w:tcBorders>
              <w:tl2br w:val="nil"/>
              <w:tr2bl w:val="nil"/>
            </w:tcBorders>
            <w:noWrap w:val="0"/>
            <w:vAlign w:val="center"/>
          </w:tcPr>
          <w:p w14:paraId="3B818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F2E2F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2B97F24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实际完成率</w:t>
            </w:r>
            <w:r>
              <w:rPr>
                <w:rStyle w:val="15"/>
                <w:rFonts w:eastAsia="宋体"/>
                <w:lang w:val="en-US" w:eastAsia="zh-CN" w:bidi="ar"/>
              </w:rPr>
              <w:t>=</w:t>
            </w:r>
            <w:r>
              <w:rPr>
                <w:rStyle w:val="14"/>
                <w:lang w:val="en-US" w:eastAsia="zh-CN" w:bidi="ar"/>
              </w:rPr>
              <w:t>（实际完成工作数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。实际完成工作数：一定时期（年度或规划期）内部门实际完成工作任务的数量。计划工作数：部门整体绩效目标确定的一定时期（年度或规划期）内预计完成工作任务的数量。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14:paraId="1D3AFDB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01C475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7663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238E2084">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0A4D78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F78B1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完成</w:t>
            </w:r>
            <w:r>
              <w:rPr>
                <w:rStyle w:val="15"/>
                <w:rFonts w:eastAsia="宋体"/>
                <w:lang w:val="en-US" w:eastAsia="zh-CN" w:bidi="ar"/>
              </w:rPr>
              <w:br w:type="textWrapping"/>
            </w:r>
            <w:r>
              <w:rPr>
                <w:rStyle w:val="14"/>
                <w:lang w:val="en-US" w:eastAsia="zh-CN" w:bidi="ar"/>
              </w:rPr>
              <w:t>及时性</w:t>
            </w:r>
          </w:p>
        </w:tc>
        <w:tc>
          <w:tcPr>
            <w:tcW w:w="495" w:type="dxa"/>
            <w:tcBorders>
              <w:tl2br w:val="nil"/>
              <w:tr2bl w:val="nil"/>
            </w:tcBorders>
            <w:noWrap w:val="0"/>
            <w:vAlign w:val="center"/>
          </w:tcPr>
          <w:p w14:paraId="65743E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BD04AD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57D73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完成及时率</w:t>
            </w:r>
            <w:r>
              <w:rPr>
                <w:rStyle w:val="15"/>
                <w:rFonts w:eastAsia="宋体"/>
                <w:lang w:val="en-US" w:eastAsia="zh-CN" w:bidi="ar"/>
              </w:rPr>
              <w:t>=</w:t>
            </w:r>
            <w:r>
              <w:rPr>
                <w:rStyle w:val="14"/>
                <w:lang w:val="en-US" w:eastAsia="zh-CN" w:bidi="ar"/>
              </w:rPr>
              <w:t>（及时完成实际工作数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。及时完成实际工作数：部门按照整体绩效目标确定的时限实际完成的工作任务数量。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完成及时率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14:paraId="5169ED4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87B9BC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DBF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D31F0A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A2D4F3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6A83E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质量</w:t>
            </w:r>
            <w:r>
              <w:rPr>
                <w:rStyle w:val="15"/>
                <w:rFonts w:eastAsia="宋体"/>
                <w:lang w:val="en-US" w:eastAsia="zh-CN" w:bidi="ar"/>
              </w:rPr>
              <w:br w:type="textWrapping"/>
            </w:r>
            <w:r>
              <w:rPr>
                <w:rStyle w:val="14"/>
                <w:lang w:val="en-US" w:eastAsia="zh-CN" w:bidi="ar"/>
              </w:rPr>
              <w:t>达标率</w:t>
            </w:r>
          </w:p>
        </w:tc>
        <w:tc>
          <w:tcPr>
            <w:tcW w:w="495" w:type="dxa"/>
            <w:tcBorders>
              <w:tl2br w:val="nil"/>
              <w:tr2bl w:val="nil"/>
            </w:tcBorders>
            <w:noWrap w:val="0"/>
            <w:vAlign w:val="center"/>
          </w:tcPr>
          <w:p w14:paraId="7338B2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75A115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达到质量标准（绩效标准值）的实际工作数与计划工作数的比率</w:t>
            </w:r>
            <w:r>
              <w:rPr>
                <w:rStyle w:val="15"/>
                <w:rFonts w:eastAsia="宋体"/>
                <w:lang w:val="en-US" w:eastAsia="zh-CN" w:bidi="ar"/>
              </w:rPr>
              <w:t>,</w:t>
            </w:r>
            <w:r>
              <w:rPr>
                <w:rStyle w:val="14"/>
                <w:lang w:val="en-US" w:eastAsia="zh-CN" w:bidi="ar"/>
              </w:rPr>
              <w:t>用以反映和考核部门履职质量目标的实现程度。</w:t>
            </w:r>
          </w:p>
        </w:tc>
        <w:tc>
          <w:tcPr>
            <w:tcW w:w="5112" w:type="dxa"/>
            <w:tcBorders>
              <w:tl2br w:val="nil"/>
              <w:tr2bl w:val="nil"/>
            </w:tcBorders>
            <w:noWrap w:val="0"/>
            <w:vAlign w:val="center"/>
          </w:tcPr>
          <w:p w14:paraId="5E31B8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质量达标率</w:t>
            </w:r>
            <w:r>
              <w:rPr>
                <w:rStyle w:val="15"/>
                <w:rFonts w:eastAsia="宋体"/>
                <w:lang w:val="en-US" w:eastAsia="zh-CN" w:bidi="ar"/>
              </w:rPr>
              <w:t>=</w:t>
            </w:r>
            <w:r>
              <w:rPr>
                <w:rStyle w:val="14"/>
                <w:lang w:val="en-US" w:eastAsia="zh-CN" w:bidi="ar"/>
              </w:rPr>
              <w:t>（质量达标实际工作数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。质量达标实际工作数：一定时期（年度或规划期）内部门实际完成工作数中达到部门绩效目标要求（绩效标准值）的工作任务数量。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达标率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14:paraId="7191EAE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ED4E38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401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565125D5">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B1DC63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D14DE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w:t>
            </w:r>
            <w:r>
              <w:rPr>
                <w:rStyle w:val="15"/>
                <w:rFonts w:eastAsia="宋体"/>
                <w:lang w:val="en-US" w:eastAsia="zh-CN" w:bidi="ar"/>
              </w:rPr>
              <w:br w:type="textWrapping"/>
            </w:r>
            <w:r>
              <w:rPr>
                <w:rStyle w:val="14"/>
                <w:lang w:val="en-US" w:eastAsia="zh-CN" w:bidi="ar"/>
              </w:rPr>
              <w:t>办结率</w:t>
            </w:r>
          </w:p>
        </w:tc>
        <w:tc>
          <w:tcPr>
            <w:tcW w:w="495" w:type="dxa"/>
            <w:tcBorders>
              <w:tl2br w:val="nil"/>
              <w:tr2bl w:val="nil"/>
            </w:tcBorders>
            <w:noWrap w:val="0"/>
            <w:vAlign w:val="center"/>
          </w:tcPr>
          <w:p w14:paraId="449007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422B9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749846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重点工作办结率</w:t>
            </w:r>
            <w:r>
              <w:rPr>
                <w:rStyle w:val="15"/>
                <w:rFonts w:eastAsia="宋体"/>
                <w:lang w:val="en-US" w:eastAsia="zh-CN" w:bidi="ar"/>
              </w:rPr>
              <w:t>=</w:t>
            </w:r>
            <w:r>
              <w:rPr>
                <w:rStyle w:val="14"/>
                <w:lang w:val="en-US" w:eastAsia="zh-CN" w:bidi="ar"/>
              </w:rPr>
              <w:t>（重点工作实际完成数</w:t>
            </w:r>
            <w:r>
              <w:rPr>
                <w:rStyle w:val="15"/>
                <w:rFonts w:eastAsia="宋体"/>
                <w:lang w:val="en-US" w:eastAsia="zh-CN" w:bidi="ar"/>
              </w:rPr>
              <w:t>/</w:t>
            </w:r>
            <w:r>
              <w:rPr>
                <w:rStyle w:val="14"/>
                <w:lang w:val="en-US" w:eastAsia="zh-CN" w:bidi="ar"/>
              </w:rPr>
              <w:t>交办或下达数）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重点工作是指党委、政府、人大、相关部门交办或下达的工作任务。</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办结率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14:paraId="60EC3B62">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22906D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83A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3A4C93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效果</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17</w:t>
            </w:r>
            <w:r>
              <w:rPr>
                <w:rStyle w:val="12"/>
                <w:lang w:val="en-US" w:eastAsia="zh-CN" w:bidi="ar"/>
              </w:rPr>
              <w:t>分）</w:t>
            </w:r>
          </w:p>
        </w:tc>
        <w:tc>
          <w:tcPr>
            <w:tcW w:w="870" w:type="dxa"/>
            <w:vMerge w:val="restart"/>
            <w:tcBorders>
              <w:tl2br w:val="nil"/>
              <w:tr2bl w:val="nil"/>
            </w:tcBorders>
            <w:noWrap w:val="0"/>
            <w:vAlign w:val="center"/>
          </w:tcPr>
          <w:p w14:paraId="4AFEE7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履职效益（</w:t>
            </w:r>
            <w:r>
              <w:rPr>
                <w:rStyle w:val="15"/>
                <w:rFonts w:eastAsia="宋体"/>
                <w:lang w:val="en-US" w:eastAsia="zh-CN" w:bidi="ar"/>
              </w:rPr>
              <w:t>17</w:t>
            </w:r>
            <w:r>
              <w:rPr>
                <w:rStyle w:val="14"/>
                <w:lang w:val="en-US" w:eastAsia="zh-CN" w:bidi="ar"/>
              </w:rPr>
              <w:t>分）</w:t>
            </w:r>
          </w:p>
        </w:tc>
        <w:tc>
          <w:tcPr>
            <w:tcW w:w="1050" w:type="dxa"/>
            <w:tcBorders>
              <w:tl2br w:val="nil"/>
              <w:tr2bl w:val="nil"/>
            </w:tcBorders>
            <w:noWrap w:val="0"/>
            <w:vAlign w:val="center"/>
          </w:tcPr>
          <w:p w14:paraId="560205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经济</w:t>
            </w:r>
            <w:r>
              <w:rPr>
                <w:rStyle w:val="15"/>
                <w:rFonts w:eastAsia="宋体"/>
                <w:lang w:val="en-US" w:eastAsia="zh-CN" w:bidi="ar"/>
              </w:rPr>
              <w:br w:type="textWrapping"/>
            </w:r>
            <w:r>
              <w:rPr>
                <w:rStyle w:val="14"/>
                <w:lang w:val="en-US" w:eastAsia="zh-CN" w:bidi="ar"/>
              </w:rPr>
              <w:t>效益</w:t>
            </w:r>
          </w:p>
        </w:tc>
        <w:tc>
          <w:tcPr>
            <w:tcW w:w="495" w:type="dxa"/>
            <w:vMerge w:val="restart"/>
            <w:tcBorders>
              <w:tl2br w:val="nil"/>
              <w:tr2bl w:val="nil"/>
            </w:tcBorders>
            <w:noWrap w:val="0"/>
            <w:vAlign w:val="center"/>
          </w:tcPr>
          <w:p w14:paraId="44CD94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710207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4C2B9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此三项指标可根据部门实际并结合部门整体支出绩效目标设立情况有选择的进行评价。</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依据评价内容相应计分。</w:t>
            </w:r>
          </w:p>
        </w:tc>
        <w:tc>
          <w:tcPr>
            <w:tcW w:w="2115" w:type="dxa"/>
            <w:tcBorders>
              <w:tl2br w:val="nil"/>
              <w:tr2bl w:val="nil"/>
            </w:tcBorders>
            <w:noWrap w:val="0"/>
            <w:vAlign w:val="center"/>
          </w:tcPr>
          <w:p w14:paraId="0069CE3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95F99E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363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20C2688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DD9E21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096BC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14:paraId="3ECF6FC0">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3C6220A">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50B5BCE9">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6C4F0F9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E52CBE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15A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1107463D">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AA2B1F8">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B8854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生态</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14:paraId="4052CE7C">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90A84E8">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67B1CEF8">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5741010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B8DE1E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2295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5928BA95">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85D049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1F3B9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社会公众或服务对象满意度</w:t>
            </w:r>
          </w:p>
        </w:tc>
        <w:tc>
          <w:tcPr>
            <w:tcW w:w="495" w:type="dxa"/>
            <w:tcBorders>
              <w:tl2br w:val="nil"/>
              <w:tr2bl w:val="nil"/>
            </w:tcBorders>
            <w:noWrap w:val="0"/>
            <w:vAlign w:val="center"/>
          </w:tcPr>
          <w:p w14:paraId="32F809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53630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社会公众或部门的服务对象对部门履职效果的满意程度。</w:t>
            </w:r>
          </w:p>
        </w:tc>
        <w:tc>
          <w:tcPr>
            <w:tcW w:w="5112" w:type="dxa"/>
            <w:tcBorders>
              <w:tl2br w:val="nil"/>
              <w:tr2bl w:val="nil"/>
            </w:tcBorders>
            <w:noWrap w:val="0"/>
            <w:vAlign w:val="center"/>
          </w:tcPr>
          <w:p w14:paraId="1C66F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社会公众或服务对象是指部门履行职责而影响到的部门、群体或个人。一般采取社会调查的方式</w:t>
            </w:r>
            <w:r>
              <w:rPr>
                <w:rStyle w:val="15"/>
                <w:rFonts w:eastAsia="宋体"/>
                <w:lang w:val="en-US" w:eastAsia="zh-CN" w:bidi="ar"/>
              </w:rPr>
              <w:t>(</w:t>
            </w:r>
            <w:r>
              <w:rPr>
                <w:rStyle w:val="14"/>
                <w:lang w:val="en-US" w:eastAsia="zh-CN" w:bidi="ar"/>
              </w:rPr>
              <w:t>不少于</w:t>
            </w:r>
            <w:r>
              <w:rPr>
                <w:rStyle w:val="15"/>
                <w:rFonts w:eastAsia="宋体"/>
                <w:lang w:val="en-US" w:eastAsia="zh-CN" w:bidi="ar"/>
              </w:rPr>
              <w:t>30</w:t>
            </w:r>
            <w:r>
              <w:rPr>
                <w:rStyle w:val="14"/>
                <w:lang w:val="en-US" w:eastAsia="zh-CN" w:bidi="ar"/>
              </w:rPr>
              <w:t>份</w:t>
            </w:r>
            <w:r>
              <w:rPr>
                <w:rStyle w:val="15"/>
                <w:rFonts w:eastAsia="宋体"/>
                <w:lang w:val="en-US" w:eastAsia="zh-CN" w:bidi="ar"/>
              </w:rPr>
              <w:t>)</w:t>
            </w:r>
            <w:r>
              <w:rPr>
                <w:rStyle w:val="14"/>
                <w:lang w:val="en-US" w:eastAsia="zh-CN" w:bidi="ar"/>
              </w:rPr>
              <w:t>。</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满意率</w:t>
            </w:r>
            <w:r>
              <w:rPr>
                <w:rStyle w:val="15"/>
                <w:rFonts w:eastAsia="宋体"/>
                <w:lang w:val="en-US" w:eastAsia="zh-CN" w:bidi="ar"/>
              </w:rPr>
              <w:t>×8</w:t>
            </w:r>
            <w:r>
              <w:rPr>
                <w:rStyle w:val="14"/>
                <w:lang w:val="en-US" w:eastAsia="zh-CN" w:bidi="ar"/>
              </w:rPr>
              <w:t>分。</w:t>
            </w:r>
          </w:p>
        </w:tc>
        <w:tc>
          <w:tcPr>
            <w:tcW w:w="2115" w:type="dxa"/>
            <w:tcBorders>
              <w:tl2br w:val="nil"/>
              <w:tr2bl w:val="nil"/>
            </w:tcBorders>
            <w:noWrap w:val="0"/>
            <w:vAlign w:val="center"/>
          </w:tcPr>
          <w:p w14:paraId="2A117620">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783790B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675F5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7FFA0B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合</w:t>
            </w:r>
            <w:r>
              <w:rPr>
                <w:rStyle w:val="17"/>
                <w:rFonts w:eastAsia="宋体"/>
                <w:lang w:val="en-US" w:eastAsia="zh-CN" w:bidi="ar"/>
              </w:rPr>
              <w:t xml:space="preserve">  </w:t>
            </w:r>
            <w:r>
              <w:rPr>
                <w:rStyle w:val="16"/>
                <w:lang w:val="en-US" w:eastAsia="zh-CN" w:bidi="ar"/>
              </w:rPr>
              <w:t>计</w:t>
            </w:r>
          </w:p>
        </w:tc>
        <w:tc>
          <w:tcPr>
            <w:tcW w:w="0" w:type="auto"/>
            <w:tcBorders>
              <w:tl2br w:val="nil"/>
              <w:tr2bl w:val="nil"/>
            </w:tcBorders>
            <w:noWrap/>
            <w:vAlign w:val="center"/>
          </w:tcPr>
          <w:p w14:paraId="1B7674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04E8AF12">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77CDA21E">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03B36F3B">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336CF791">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96.5</w:t>
            </w:r>
          </w:p>
        </w:tc>
      </w:tr>
    </w:tbl>
    <w:p w14:paraId="3733E6B3">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2D8966C2">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9BAFE53">
      <w:pPr>
        <w:pStyle w:val="5"/>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840"/>
        <w:gridCol w:w="1273"/>
        <w:gridCol w:w="2852"/>
        <w:gridCol w:w="2617"/>
      </w:tblGrid>
      <w:tr w14:paraId="07BC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5C4DD">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35D63D9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22157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BD57A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5137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1225B">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192998AE">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6B03B4">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43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0FF84D8">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14:paraId="7737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00F51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AE42C6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CE25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0B91F9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6555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93D4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85930A">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643226">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A6AF0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AFC9848">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0.5489</w:t>
            </w:r>
          </w:p>
        </w:tc>
      </w:tr>
      <w:tr w14:paraId="5C65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75FE9B3">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06595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FA1F9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897E58">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0D8DD16">
            <w:pPr>
              <w:rPr>
                <w:rFonts w:hint="eastAsia" w:ascii="仿宋" w:hAnsi="仿宋" w:eastAsia="仿宋" w:cs="仿宋"/>
                <w:i w:val="0"/>
                <w:iCs w:val="0"/>
                <w:color w:val="000000"/>
                <w:sz w:val="21"/>
                <w:szCs w:val="21"/>
                <w:u w:val="none"/>
              </w:rPr>
            </w:pPr>
          </w:p>
        </w:tc>
      </w:tr>
      <w:tr w14:paraId="10F1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33533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BB9791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09D91E">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386D2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E846002">
            <w:pPr>
              <w:rPr>
                <w:rFonts w:hint="eastAsia" w:ascii="仿宋" w:hAnsi="仿宋" w:eastAsia="仿宋" w:cs="仿宋"/>
                <w:i w:val="0"/>
                <w:iCs w:val="0"/>
                <w:color w:val="000000"/>
                <w:sz w:val="21"/>
                <w:szCs w:val="21"/>
                <w:u w:val="none"/>
              </w:rPr>
            </w:pPr>
          </w:p>
        </w:tc>
      </w:tr>
      <w:tr w14:paraId="42D0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13149D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6A5C1F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8C8305">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2A10F2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0609FF4">
            <w:pPr>
              <w:rPr>
                <w:rFonts w:hint="eastAsia" w:ascii="仿宋" w:hAnsi="仿宋" w:eastAsia="仿宋" w:cs="仿宋"/>
                <w:i w:val="0"/>
                <w:iCs w:val="0"/>
                <w:color w:val="000000"/>
                <w:sz w:val="21"/>
                <w:szCs w:val="21"/>
                <w:u w:val="none"/>
              </w:rPr>
            </w:pPr>
          </w:p>
        </w:tc>
      </w:tr>
      <w:tr w14:paraId="2C27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3E1099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50A7DC">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BB01CC">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D5BC2ED">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C1E8E37">
            <w:pPr>
              <w:rPr>
                <w:rFonts w:hint="eastAsia" w:ascii="仿宋" w:hAnsi="仿宋" w:eastAsia="仿宋" w:cs="仿宋"/>
                <w:i w:val="0"/>
                <w:iCs w:val="0"/>
                <w:color w:val="000000"/>
                <w:sz w:val="21"/>
                <w:szCs w:val="21"/>
                <w:u w:val="none"/>
              </w:rPr>
            </w:pPr>
          </w:p>
        </w:tc>
      </w:tr>
      <w:tr w14:paraId="751E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29E5316">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F409A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E093F7">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2A6CD3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CACC8A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0.5489</w:t>
            </w:r>
          </w:p>
        </w:tc>
      </w:tr>
      <w:tr w14:paraId="41F9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D6357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DCD038">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F2BD15">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8CE599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69F305E">
            <w:pPr>
              <w:rPr>
                <w:rFonts w:hint="eastAsia" w:ascii="仿宋" w:hAnsi="仿宋" w:eastAsia="仿宋" w:cs="仿宋"/>
                <w:i w:val="0"/>
                <w:iCs w:val="0"/>
                <w:color w:val="000000"/>
                <w:sz w:val="21"/>
                <w:szCs w:val="21"/>
                <w:u w:val="none"/>
              </w:rPr>
            </w:pPr>
          </w:p>
        </w:tc>
      </w:tr>
      <w:tr w14:paraId="3383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31EC96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6CA5B4D">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ED5AEC">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E8083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B76913A">
            <w:pPr>
              <w:rPr>
                <w:rFonts w:hint="eastAsia" w:ascii="仿宋" w:hAnsi="仿宋" w:eastAsia="仿宋" w:cs="仿宋"/>
                <w:i w:val="0"/>
                <w:iCs w:val="0"/>
                <w:color w:val="000000"/>
                <w:sz w:val="21"/>
                <w:szCs w:val="21"/>
                <w:u w:val="none"/>
              </w:rPr>
            </w:pPr>
          </w:p>
        </w:tc>
      </w:tr>
      <w:tr w14:paraId="1F9B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169F21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4D163B">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14676F">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B2EB413">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9D2AC67">
            <w:pPr>
              <w:rPr>
                <w:rFonts w:hint="eastAsia" w:ascii="仿宋" w:hAnsi="仿宋" w:eastAsia="仿宋" w:cs="仿宋"/>
                <w:i w:val="0"/>
                <w:iCs w:val="0"/>
                <w:color w:val="000000"/>
                <w:sz w:val="21"/>
                <w:szCs w:val="21"/>
                <w:u w:val="none"/>
              </w:rPr>
            </w:pPr>
          </w:p>
        </w:tc>
      </w:tr>
      <w:tr w14:paraId="6D5A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A9F7B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5282B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958CBD">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E9353CB">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7E1294D">
            <w:pPr>
              <w:rPr>
                <w:rFonts w:hint="eastAsia" w:ascii="仿宋" w:hAnsi="仿宋" w:eastAsia="仿宋" w:cs="仿宋"/>
                <w:i w:val="0"/>
                <w:iCs w:val="0"/>
                <w:color w:val="000000"/>
                <w:sz w:val="21"/>
                <w:szCs w:val="21"/>
                <w:u w:val="none"/>
              </w:rPr>
            </w:pPr>
          </w:p>
        </w:tc>
      </w:tr>
      <w:tr w14:paraId="5B27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221848">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93565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03D59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A7A076E">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1B7AB72">
            <w:pPr>
              <w:rPr>
                <w:rFonts w:hint="eastAsia" w:ascii="仿宋" w:hAnsi="仿宋" w:eastAsia="仿宋" w:cs="仿宋"/>
                <w:i w:val="0"/>
                <w:iCs w:val="0"/>
                <w:color w:val="000000"/>
                <w:sz w:val="21"/>
                <w:szCs w:val="21"/>
                <w:u w:val="none"/>
              </w:rPr>
            </w:pPr>
          </w:p>
        </w:tc>
      </w:tr>
      <w:tr w14:paraId="5DCD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114FD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3AD18C">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6CFE27">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1BD7A3">
            <w:pPr>
              <w:rPr>
                <w:rFonts w:hint="default" w:ascii="仿宋" w:hAnsi="仿宋" w:eastAsia="仿宋" w:cs="仿宋"/>
                <w:i w:val="0"/>
                <w:iCs w:val="0"/>
                <w:color w:val="000000"/>
                <w:sz w:val="21"/>
                <w:szCs w:val="21"/>
                <w:u w:val="none"/>
                <w:lang w:val="en-US" w:eastAsia="zh-CN"/>
              </w:rPr>
            </w:pPr>
            <w:bookmarkStart w:id="1" w:name="_GoBack"/>
            <w:bookmarkEnd w:id="1"/>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BA6E07C">
            <w:pPr>
              <w:rPr>
                <w:rFonts w:hint="default" w:ascii="仿宋" w:hAnsi="仿宋" w:eastAsia="仿宋" w:cs="仿宋"/>
                <w:i w:val="0"/>
                <w:iCs w:val="0"/>
                <w:color w:val="000000"/>
                <w:sz w:val="21"/>
                <w:szCs w:val="21"/>
                <w:u w:val="none"/>
                <w:lang w:val="en-US" w:eastAsia="zh-CN"/>
              </w:rPr>
            </w:pPr>
          </w:p>
        </w:tc>
      </w:tr>
      <w:tr w14:paraId="3B32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FE76A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C2C1E9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B271C6">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75EF78D">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CC2E515">
            <w:pPr>
              <w:rPr>
                <w:rFonts w:hint="default" w:ascii="仿宋" w:hAnsi="仿宋" w:eastAsia="仿宋" w:cs="仿宋"/>
                <w:i w:val="0"/>
                <w:iCs w:val="0"/>
                <w:color w:val="000000"/>
                <w:sz w:val="21"/>
                <w:szCs w:val="21"/>
                <w:u w:val="none"/>
                <w:lang w:val="en-US" w:eastAsia="zh-CN"/>
              </w:rPr>
            </w:pPr>
          </w:p>
        </w:tc>
      </w:tr>
      <w:tr w14:paraId="0BE9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BAE76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B09F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869D83">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31616AA">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DDE26E2">
            <w:pPr>
              <w:rPr>
                <w:rFonts w:hint="default" w:ascii="仿宋" w:hAnsi="仿宋" w:eastAsia="仿宋" w:cs="仿宋"/>
                <w:i w:val="0"/>
                <w:iCs w:val="0"/>
                <w:color w:val="000000"/>
                <w:sz w:val="21"/>
                <w:szCs w:val="21"/>
                <w:u w:val="none"/>
                <w:lang w:val="en-US" w:eastAsia="zh-CN"/>
              </w:rPr>
            </w:pPr>
          </w:p>
        </w:tc>
      </w:tr>
      <w:tr w14:paraId="2ABF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38F5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022FF4">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0CD0A3">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5F5527">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6F2449E">
            <w:pPr>
              <w:rPr>
                <w:rFonts w:hint="default" w:ascii="仿宋" w:hAnsi="仿宋" w:eastAsia="仿宋" w:cs="仿宋"/>
                <w:i w:val="0"/>
                <w:iCs w:val="0"/>
                <w:color w:val="000000"/>
                <w:sz w:val="21"/>
                <w:szCs w:val="21"/>
                <w:u w:val="none"/>
                <w:lang w:val="en-US" w:eastAsia="zh-CN"/>
              </w:rPr>
            </w:pPr>
          </w:p>
        </w:tc>
      </w:tr>
      <w:tr w14:paraId="3F09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1F327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93EA82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881ED1">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1EAE1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8.351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F6FC49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8.351</w:t>
            </w:r>
          </w:p>
        </w:tc>
      </w:tr>
      <w:tr w14:paraId="7939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186C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2ECE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404B81">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DA006C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226.454</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CAB7BE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226.454</w:t>
            </w:r>
          </w:p>
        </w:tc>
      </w:tr>
      <w:tr w14:paraId="2569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A16C1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B8EF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0656C8">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938AEF">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4711C0F">
            <w:pPr>
              <w:rPr>
                <w:rFonts w:hint="eastAsia" w:ascii="仿宋" w:hAnsi="仿宋" w:eastAsia="仿宋" w:cs="仿宋"/>
                <w:i w:val="0"/>
                <w:iCs w:val="0"/>
                <w:color w:val="000000"/>
                <w:sz w:val="21"/>
                <w:szCs w:val="21"/>
                <w:u w:val="none"/>
              </w:rPr>
            </w:pPr>
          </w:p>
        </w:tc>
      </w:tr>
      <w:tr w14:paraId="2475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68C2C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5B7693D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进一步完善了预决算管理、收入管理、支出管理、采购管理、资产管理、合同管理等方面的制度，同时加强了会议费、培训费、差旅费、公务接待费等专项经费的管理，严格控制“三公”经费支出，确保我部门各项经济活动合法，合规、有序开展。</w:t>
            </w:r>
          </w:p>
          <w:p w14:paraId="05FE015F">
            <w:pPr>
              <w:rPr>
                <w:rFonts w:hint="eastAsia" w:ascii="宋体" w:hAnsi="宋体" w:eastAsia="宋体" w:cs="宋体"/>
                <w:i w:val="0"/>
                <w:iCs w:val="0"/>
                <w:color w:val="000000"/>
                <w:sz w:val="24"/>
                <w:szCs w:val="24"/>
                <w:u w:val="none"/>
                <w:lang w:eastAsia="zh-CN"/>
              </w:rPr>
            </w:pPr>
          </w:p>
          <w:p w14:paraId="5169160F">
            <w:pPr>
              <w:rPr>
                <w:rFonts w:hint="eastAsia" w:ascii="宋体" w:hAnsi="宋体" w:eastAsia="宋体" w:cs="宋体"/>
                <w:i w:val="0"/>
                <w:iCs w:val="0"/>
                <w:color w:val="000000"/>
                <w:sz w:val="24"/>
                <w:szCs w:val="24"/>
                <w:u w:val="none"/>
                <w:lang w:eastAsia="zh-CN"/>
              </w:rPr>
            </w:pPr>
          </w:p>
        </w:tc>
      </w:tr>
    </w:tbl>
    <w:p w14:paraId="6016DA03">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59FAE1D4">
      <w:pPr>
        <w:pStyle w:val="5"/>
        <w:ind w:left="0" w:leftChars="0" w:firstLine="0" w:firstLineChars="0"/>
        <w:rPr>
          <w:rFonts w:hint="eastAsia" w:ascii="仿宋" w:hAnsi="仿宋" w:eastAsia="仿宋" w:cs="仿宋"/>
          <w:sz w:val="24"/>
          <w:szCs w:val="24"/>
          <w:lang w:val="en-US" w:eastAsia="zh-CN"/>
        </w:rPr>
      </w:pPr>
    </w:p>
    <w:p w14:paraId="13B9692E">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         填报日期：       联系电话：        单位负责人签字：</w:t>
      </w:r>
    </w:p>
    <w:p w14:paraId="0D05B48E">
      <w:pPr>
        <w:adjustRightInd w:val="0"/>
        <w:spacing w:line="600" w:lineRule="exact"/>
        <w:ind w:right="641"/>
        <w:rPr>
          <w:rFonts w:hint="eastAsia" w:ascii="黑体" w:eastAsia="黑体"/>
          <w:sz w:val="32"/>
          <w:szCs w:val="32"/>
        </w:rPr>
      </w:pPr>
    </w:p>
    <w:p w14:paraId="1B1DBD18">
      <w:pPr>
        <w:adjustRightInd w:val="0"/>
        <w:spacing w:line="600" w:lineRule="exact"/>
        <w:ind w:right="641"/>
        <w:rPr>
          <w:rFonts w:hint="eastAsia" w:ascii="黑体" w:eastAsia="黑体"/>
          <w:sz w:val="32"/>
          <w:szCs w:val="32"/>
        </w:rPr>
      </w:pPr>
    </w:p>
    <w:p w14:paraId="760EE725">
      <w:pPr>
        <w:adjustRightInd w:val="0"/>
        <w:spacing w:line="600" w:lineRule="exact"/>
        <w:ind w:right="641"/>
        <w:rPr>
          <w:rFonts w:hint="eastAsia" w:ascii="黑体" w:eastAsia="黑体"/>
          <w:sz w:val="32"/>
          <w:szCs w:val="32"/>
        </w:rPr>
      </w:pPr>
    </w:p>
    <w:p w14:paraId="535FE3BF">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14:paraId="738262E5">
      <w:pPr>
        <w:pStyle w:val="5"/>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14:paraId="6E62BBC2">
      <w:pPr>
        <w:pStyle w:val="5"/>
        <w:ind w:left="0" w:leftChars="0" w:firstLine="0" w:firstLineChars="0"/>
        <w:jc w:val="center"/>
        <w:rPr>
          <w:rFonts w:hint="eastAsia" w:ascii="黑体" w:hAnsi="黑体" w:eastAsia="黑体" w:cs="黑体"/>
          <w:sz w:val="32"/>
          <w:szCs w:val="32"/>
          <w:lang w:val="en-US" w:eastAsia="zh-CN"/>
        </w:rPr>
      </w:pPr>
    </w:p>
    <w:p w14:paraId="0ECC7C5C">
      <w:pPr>
        <w:pStyle w:val="5"/>
        <w:ind w:left="0" w:leftChars="0" w:firstLine="0" w:firstLineChars="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（参考提纲）</w:t>
      </w:r>
    </w:p>
    <w:p w14:paraId="0EDA7150">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524D6A80">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14:paraId="6A61D86E">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（一）项目实施单位基本情况。</w:t>
      </w:r>
    </w:p>
    <w:p w14:paraId="0524098E">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（二）项目资金基本情况</w:t>
      </w:r>
    </w:p>
    <w:p w14:paraId="5C444D42">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包括项目资金基本性质、用途和主要内容、涉及范围等。</w:t>
      </w:r>
    </w:p>
    <w:p w14:paraId="3EB630CE">
      <w:pPr>
        <w:pStyle w:val="5"/>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14:paraId="4F4FDBEB">
      <w:pPr>
        <w:pStyle w:val="5"/>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包括总体目标和年度目标。</w:t>
      </w:r>
    </w:p>
    <w:p w14:paraId="6542E7B8">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14:paraId="5D99AF12">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（一）项目资金及自筹资金的安排落实、总投入等情况。</w:t>
      </w:r>
    </w:p>
    <w:p w14:paraId="6C9AEA32">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（二）项目资金实际使用情况。</w:t>
      </w:r>
    </w:p>
    <w:p w14:paraId="1011C3FC">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（三）项目资金管理情况分析</w:t>
      </w:r>
    </w:p>
    <w:p w14:paraId="2A82AB39">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主要包括管理制度、办法的制订及执行情况。</w:t>
      </w:r>
    </w:p>
    <w:p w14:paraId="178AF562">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三、项目支出组织实施情况</w:t>
      </w:r>
    </w:p>
    <w:p w14:paraId="62F494EB">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（一）资金使用管理情况</w:t>
      </w:r>
    </w:p>
    <w:p w14:paraId="0783FB77">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主要包括项目资金及项目管理制度建设、日常检查监督管理等情况。</w:t>
      </w:r>
    </w:p>
    <w:p w14:paraId="18AE5E78">
      <w:pPr>
        <w:pStyle w:val="5"/>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项目组织实施情况</w:t>
      </w:r>
    </w:p>
    <w:p w14:paraId="34BE28F2">
      <w:pPr>
        <w:pStyle w:val="5"/>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主要包括项目招投标、调整、竣工验收等情况。</w:t>
      </w:r>
    </w:p>
    <w:p w14:paraId="525D5775">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四、项目支出绩效情况</w:t>
      </w:r>
    </w:p>
    <w:p w14:paraId="065934BF">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（一）项目支出决策情况</w:t>
      </w:r>
    </w:p>
    <w:p w14:paraId="1BDA4E89">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（二）项目支出过程情况</w:t>
      </w:r>
    </w:p>
    <w:p w14:paraId="0DB452DE">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（三）项目支出产出情况</w:t>
      </w:r>
    </w:p>
    <w:p w14:paraId="48046F75">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（四）项目支出效益情况</w:t>
      </w:r>
    </w:p>
    <w:p w14:paraId="3B530451">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五、主要经验做法、存在的问题及原因分析</w:t>
      </w:r>
    </w:p>
    <w:p w14:paraId="3AD40F32">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14:paraId="67063679">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14:paraId="141E3CDD">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14:paraId="33C8ABD4">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项目支出绩效自评表（一个项目支出一张表）</w:t>
      </w:r>
    </w:p>
    <w:p w14:paraId="60F92B74">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14:paraId="756C0747">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267B443C">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6"/>
        <w:tblW w:w="9322" w:type="dxa"/>
        <w:jc w:val="center"/>
        <w:tblLayout w:type="autofit"/>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14:paraId="24BB5296">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14:paraId="6710F36D">
            <w:pPr>
              <w:widowControl/>
              <w:spacing w:line="0" w:lineRule="atLeast"/>
              <w:jc w:val="center"/>
              <w:rPr>
                <w:rFonts w:eastAsia="仿宋_GB2312"/>
                <w:kern w:val="0"/>
                <w:szCs w:val="21"/>
              </w:rPr>
            </w:pPr>
            <w:r>
              <w:rPr>
                <w:rFonts w:hint="eastAsia" w:eastAsia="仿宋_GB2312"/>
                <w:kern w:val="0"/>
                <w:szCs w:val="21"/>
              </w:rPr>
              <w:t>项目支</w:t>
            </w:r>
          </w:p>
          <w:p w14:paraId="55D5F38F">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14:paraId="54B1EC87">
            <w:pPr>
              <w:widowControl/>
              <w:spacing w:line="0" w:lineRule="atLeast"/>
              <w:jc w:val="center"/>
              <w:rPr>
                <w:rFonts w:eastAsia="仿宋_GB2312"/>
                <w:kern w:val="0"/>
                <w:szCs w:val="21"/>
              </w:rPr>
            </w:pPr>
            <w:r>
              <w:rPr>
                <w:rFonts w:hint="eastAsia" w:eastAsia="仿宋_GB2312"/>
                <w:kern w:val="0"/>
                <w:szCs w:val="21"/>
              </w:rPr>
              <w:t>　</w:t>
            </w:r>
          </w:p>
        </w:tc>
      </w:tr>
      <w:tr w14:paraId="1010BF00">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14:paraId="7D711753">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14:paraId="34FEAF29">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14:paraId="378597B0">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14:paraId="5B7DECE0">
            <w:pPr>
              <w:widowControl/>
              <w:spacing w:line="0" w:lineRule="atLeast"/>
              <w:jc w:val="left"/>
              <w:rPr>
                <w:rFonts w:eastAsia="仿宋_GB2312"/>
                <w:kern w:val="0"/>
                <w:szCs w:val="21"/>
              </w:rPr>
            </w:pPr>
            <w:r>
              <w:rPr>
                <w:rFonts w:hint="eastAsia" w:eastAsia="仿宋_GB2312"/>
                <w:kern w:val="0"/>
                <w:szCs w:val="21"/>
              </w:rPr>
              <w:t>　</w:t>
            </w:r>
          </w:p>
        </w:tc>
      </w:tr>
      <w:tr w14:paraId="46D08807">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14:paraId="666BD86A">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14:paraId="244FE8E8">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14:paraId="0CE0D083">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14:paraId="1FFD21D8">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14:paraId="1FAD1F88">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14:paraId="5C62F60A">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14:paraId="16E5E417">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14:paraId="09940096">
            <w:pPr>
              <w:spacing w:line="0" w:lineRule="atLeast"/>
              <w:jc w:val="center"/>
              <w:rPr>
                <w:rFonts w:eastAsia="仿宋_GB2312"/>
                <w:szCs w:val="21"/>
              </w:rPr>
            </w:pPr>
            <w:r>
              <w:rPr>
                <w:rFonts w:hint="eastAsia" w:eastAsia="仿宋_GB2312"/>
                <w:szCs w:val="21"/>
              </w:rPr>
              <w:t>得分</w:t>
            </w:r>
          </w:p>
        </w:tc>
      </w:tr>
      <w:tr w14:paraId="6AE94028">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71047627">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14:paraId="27246198">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14:paraId="12A66918">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3EA2AB02">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1369A3A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7F806771">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14:paraId="014515B1">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14:paraId="737CDD77">
            <w:pPr>
              <w:widowControl/>
              <w:spacing w:line="0" w:lineRule="atLeast"/>
              <w:jc w:val="left"/>
              <w:rPr>
                <w:rFonts w:eastAsia="仿宋_GB2312"/>
                <w:kern w:val="0"/>
                <w:szCs w:val="21"/>
              </w:rPr>
            </w:pPr>
            <w:r>
              <w:rPr>
                <w:rFonts w:hint="eastAsia" w:eastAsia="仿宋_GB2312"/>
                <w:kern w:val="0"/>
                <w:szCs w:val="21"/>
              </w:rPr>
              <w:t>　</w:t>
            </w:r>
          </w:p>
        </w:tc>
      </w:tr>
      <w:tr w14:paraId="7EAC050D">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2D28C5CA">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14:paraId="2A663400">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14:paraId="30291EDB">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35C20834">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02C4D76E">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1CA903AF">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14:paraId="5B5D8952">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14:paraId="68E07798">
            <w:pPr>
              <w:widowControl/>
              <w:spacing w:line="0" w:lineRule="atLeast"/>
              <w:jc w:val="left"/>
              <w:rPr>
                <w:rFonts w:eastAsia="仿宋_GB2312"/>
                <w:kern w:val="0"/>
                <w:szCs w:val="21"/>
              </w:rPr>
            </w:pPr>
            <w:r>
              <w:rPr>
                <w:rFonts w:hint="eastAsia" w:eastAsia="仿宋_GB2312"/>
                <w:kern w:val="0"/>
                <w:szCs w:val="21"/>
              </w:rPr>
              <w:t>　</w:t>
            </w:r>
          </w:p>
        </w:tc>
      </w:tr>
      <w:tr w14:paraId="5B7F625A">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6C35D121">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14:paraId="7E8F5849">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14:paraId="4F6E00BD">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400BB5B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7988E25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793EEF2E">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14:paraId="64331068">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14:paraId="39064075">
            <w:pPr>
              <w:widowControl/>
              <w:spacing w:line="0" w:lineRule="atLeast"/>
              <w:jc w:val="left"/>
              <w:rPr>
                <w:rFonts w:eastAsia="仿宋_GB2312"/>
                <w:kern w:val="0"/>
                <w:szCs w:val="21"/>
              </w:rPr>
            </w:pPr>
            <w:r>
              <w:rPr>
                <w:rFonts w:hint="eastAsia" w:eastAsia="仿宋_GB2312"/>
                <w:kern w:val="0"/>
                <w:szCs w:val="21"/>
              </w:rPr>
              <w:t>　</w:t>
            </w:r>
          </w:p>
        </w:tc>
      </w:tr>
      <w:tr w14:paraId="76725199">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14:paraId="0F309F52">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14:paraId="07960337">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14:paraId="2FA048C7">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2C04584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42F7603B">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50F1016F">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14:paraId="124EE949">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14:paraId="456815BC">
            <w:pPr>
              <w:widowControl/>
              <w:spacing w:line="0" w:lineRule="atLeast"/>
              <w:jc w:val="left"/>
              <w:rPr>
                <w:rFonts w:eastAsia="仿宋_GB2312"/>
                <w:kern w:val="0"/>
                <w:szCs w:val="21"/>
              </w:rPr>
            </w:pPr>
            <w:r>
              <w:rPr>
                <w:rFonts w:hint="eastAsia" w:eastAsia="仿宋_GB2312"/>
                <w:kern w:val="0"/>
                <w:szCs w:val="21"/>
              </w:rPr>
              <w:t>　</w:t>
            </w:r>
          </w:p>
        </w:tc>
      </w:tr>
      <w:tr w14:paraId="6584AC1F">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14:paraId="48925222">
            <w:pPr>
              <w:widowControl/>
              <w:spacing w:line="0" w:lineRule="atLeast"/>
              <w:jc w:val="center"/>
              <w:rPr>
                <w:rFonts w:eastAsia="仿宋_GB2312"/>
                <w:kern w:val="0"/>
                <w:szCs w:val="21"/>
              </w:rPr>
            </w:pPr>
            <w:r>
              <w:rPr>
                <w:rFonts w:hint="eastAsia" w:eastAsia="仿宋_GB2312"/>
                <w:kern w:val="0"/>
                <w:szCs w:val="21"/>
              </w:rPr>
              <w:t>年度总</w:t>
            </w:r>
          </w:p>
          <w:p w14:paraId="26895DA9">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14:paraId="6ECC0C11">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14:paraId="7E0CE054">
            <w:pPr>
              <w:widowControl/>
              <w:spacing w:line="0" w:lineRule="atLeast"/>
              <w:jc w:val="center"/>
              <w:rPr>
                <w:rFonts w:eastAsia="仿宋_GB2312"/>
                <w:kern w:val="0"/>
                <w:szCs w:val="21"/>
              </w:rPr>
            </w:pPr>
            <w:r>
              <w:rPr>
                <w:rFonts w:hint="eastAsia" w:eastAsia="仿宋_GB2312"/>
                <w:kern w:val="0"/>
                <w:szCs w:val="21"/>
              </w:rPr>
              <w:t>实际完成情况　</w:t>
            </w:r>
          </w:p>
        </w:tc>
      </w:tr>
      <w:tr w14:paraId="5E3D67BB">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14:paraId="2C18A1CF">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14:paraId="7FAE495A">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14:paraId="507C6252">
            <w:pPr>
              <w:widowControl/>
              <w:spacing w:line="0" w:lineRule="atLeast"/>
              <w:jc w:val="left"/>
              <w:rPr>
                <w:rFonts w:eastAsia="仿宋_GB2312"/>
                <w:kern w:val="0"/>
                <w:szCs w:val="21"/>
              </w:rPr>
            </w:pPr>
            <w:r>
              <w:rPr>
                <w:rFonts w:hint="eastAsia" w:eastAsia="仿宋_GB2312"/>
                <w:kern w:val="0"/>
                <w:szCs w:val="21"/>
              </w:rPr>
              <w:t>　</w:t>
            </w:r>
          </w:p>
        </w:tc>
      </w:tr>
      <w:tr w14:paraId="3A5699D6">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14:paraId="4A4C531F">
            <w:pPr>
              <w:widowControl/>
              <w:spacing w:line="0" w:lineRule="atLeast"/>
              <w:jc w:val="center"/>
              <w:rPr>
                <w:rFonts w:eastAsia="仿宋_GB2312"/>
                <w:kern w:val="0"/>
                <w:szCs w:val="21"/>
              </w:rPr>
            </w:pPr>
            <w:r>
              <w:rPr>
                <w:rFonts w:hint="eastAsia" w:eastAsia="仿宋_GB2312"/>
                <w:kern w:val="0"/>
                <w:szCs w:val="21"/>
              </w:rPr>
              <w:t>绩</w:t>
            </w:r>
          </w:p>
          <w:p w14:paraId="29449340">
            <w:pPr>
              <w:widowControl/>
              <w:spacing w:line="0" w:lineRule="atLeast"/>
              <w:jc w:val="center"/>
              <w:rPr>
                <w:rFonts w:eastAsia="仿宋_GB2312"/>
                <w:kern w:val="0"/>
                <w:szCs w:val="21"/>
              </w:rPr>
            </w:pPr>
            <w:r>
              <w:rPr>
                <w:rFonts w:hint="eastAsia" w:eastAsia="仿宋_GB2312"/>
                <w:kern w:val="0"/>
                <w:szCs w:val="21"/>
              </w:rPr>
              <w:t>效</w:t>
            </w:r>
          </w:p>
          <w:p w14:paraId="05344491">
            <w:pPr>
              <w:widowControl/>
              <w:spacing w:line="0" w:lineRule="atLeast"/>
              <w:jc w:val="center"/>
              <w:rPr>
                <w:rFonts w:eastAsia="仿宋_GB2312"/>
                <w:kern w:val="0"/>
                <w:szCs w:val="21"/>
              </w:rPr>
            </w:pPr>
            <w:r>
              <w:rPr>
                <w:rFonts w:hint="eastAsia" w:eastAsia="仿宋_GB2312"/>
                <w:kern w:val="0"/>
                <w:szCs w:val="21"/>
              </w:rPr>
              <w:t>指</w:t>
            </w:r>
          </w:p>
          <w:p w14:paraId="62C2A764">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14:paraId="22997BC7">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14:paraId="7E00FC39">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14:paraId="65A053E9">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14:paraId="51ED1B8C">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14:paraId="2DD92117">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2A58D004">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14:paraId="4E3D4819">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14:paraId="30DCCDB0">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547A2B0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30E863BF">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14:paraId="2693F5BF">
            <w:pPr>
              <w:widowControl/>
              <w:spacing w:line="0" w:lineRule="atLeast"/>
              <w:jc w:val="center"/>
              <w:rPr>
                <w:rFonts w:eastAsia="仿宋_GB2312"/>
                <w:kern w:val="0"/>
                <w:szCs w:val="21"/>
              </w:rPr>
            </w:pPr>
            <w:r>
              <w:rPr>
                <w:rFonts w:hint="eastAsia" w:eastAsia="仿宋_GB2312"/>
                <w:kern w:val="0"/>
                <w:szCs w:val="21"/>
              </w:rPr>
              <w:t>产出</w:t>
            </w:r>
          </w:p>
          <w:p w14:paraId="6E24BA54">
            <w:pPr>
              <w:widowControl/>
              <w:spacing w:line="0" w:lineRule="atLeast"/>
              <w:jc w:val="center"/>
              <w:rPr>
                <w:rFonts w:eastAsia="仿宋_GB2312"/>
                <w:kern w:val="0"/>
                <w:szCs w:val="21"/>
              </w:rPr>
            </w:pPr>
            <w:r>
              <w:rPr>
                <w:rFonts w:hint="eastAsia" w:eastAsia="仿宋_GB2312"/>
                <w:kern w:val="0"/>
                <w:szCs w:val="21"/>
              </w:rPr>
              <w:t>指标</w:t>
            </w:r>
          </w:p>
          <w:p w14:paraId="7AE2FB94">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14:paraId="73CA20B2">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14:paraId="2A31D798">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51B0F18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4B65E5D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620F811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70582970">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015B2EB5">
            <w:pPr>
              <w:widowControl/>
              <w:spacing w:line="0" w:lineRule="atLeast"/>
              <w:jc w:val="left"/>
              <w:rPr>
                <w:rFonts w:eastAsia="仿宋_GB2312"/>
                <w:kern w:val="0"/>
                <w:szCs w:val="21"/>
              </w:rPr>
            </w:pPr>
            <w:r>
              <w:rPr>
                <w:rFonts w:hint="eastAsia" w:eastAsia="仿宋_GB2312"/>
                <w:kern w:val="0"/>
                <w:szCs w:val="21"/>
              </w:rPr>
              <w:t>　</w:t>
            </w:r>
          </w:p>
        </w:tc>
      </w:tr>
      <w:tr w14:paraId="54891D85">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D46A475">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492A8CDB">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31788C33">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74088083">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6F1EF48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011F2A2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7476BD4E">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16107C2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2B573997">
            <w:pPr>
              <w:widowControl/>
              <w:spacing w:line="0" w:lineRule="atLeast"/>
              <w:jc w:val="left"/>
              <w:rPr>
                <w:rFonts w:eastAsia="仿宋_GB2312"/>
                <w:kern w:val="0"/>
                <w:szCs w:val="21"/>
              </w:rPr>
            </w:pPr>
            <w:r>
              <w:rPr>
                <w:rFonts w:hint="eastAsia" w:eastAsia="仿宋_GB2312"/>
                <w:kern w:val="0"/>
                <w:szCs w:val="21"/>
              </w:rPr>
              <w:t>　</w:t>
            </w:r>
          </w:p>
        </w:tc>
      </w:tr>
      <w:tr w14:paraId="518F006C">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80F8850">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223372E9">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69A130A2">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14:paraId="32EF8EE8">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37F0092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4E15DE5F">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007C7BA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3EC57059">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AC69587">
            <w:pPr>
              <w:widowControl/>
              <w:spacing w:line="0" w:lineRule="atLeast"/>
              <w:jc w:val="left"/>
              <w:rPr>
                <w:rFonts w:eastAsia="仿宋_GB2312"/>
                <w:kern w:val="0"/>
                <w:szCs w:val="21"/>
              </w:rPr>
            </w:pPr>
            <w:r>
              <w:rPr>
                <w:rFonts w:hint="eastAsia" w:eastAsia="仿宋_GB2312"/>
                <w:kern w:val="0"/>
                <w:szCs w:val="21"/>
              </w:rPr>
              <w:t>　</w:t>
            </w:r>
          </w:p>
        </w:tc>
      </w:tr>
      <w:tr w14:paraId="0B4A8A0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FC571ED">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57C67BD">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7B0966C4">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52483B0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570195A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5CC8347F">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2BC712A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01E9957E">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22F24CB6">
            <w:pPr>
              <w:widowControl/>
              <w:spacing w:line="0" w:lineRule="atLeast"/>
              <w:jc w:val="left"/>
              <w:rPr>
                <w:rFonts w:eastAsia="仿宋_GB2312"/>
                <w:kern w:val="0"/>
                <w:szCs w:val="21"/>
              </w:rPr>
            </w:pPr>
            <w:r>
              <w:rPr>
                <w:rFonts w:hint="eastAsia" w:eastAsia="仿宋_GB2312"/>
                <w:kern w:val="0"/>
                <w:szCs w:val="21"/>
              </w:rPr>
              <w:t>　</w:t>
            </w:r>
          </w:p>
        </w:tc>
      </w:tr>
      <w:tr w14:paraId="2FDDD4E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EDF946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3117A932">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32F8C8C3">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14:paraId="2907DB3A">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0C0E1480">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3F78F6F8">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44CDEA1E">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4C9B2C55">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68D13730">
            <w:pPr>
              <w:widowControl/>
              <w:spacing w:line="0" w:lineRule="atLeast"/>
              <w:jc w:val="left"/>
              <w:rPr>
                <w:rFonts w:eastAsia="仿宋_GB2312"/>
                <w:kern w:val="0"/>
                <w:szCs w:val="21"/>
              </w:rPr>
            </w:pPr>
            <w:r>
              <w:rPr>
                <w:rFonts w:hint="eastAsia" w:eastAsia="仿宋_GB2312"/>
                <w:kern w:val="0"/>
                <w:szCs w:val="21"/>
              </w:rPr>
              <w:t>　</w:t>
            </w:r>
          </w:p>
        </w:tc>
      </w:tr>
      <w:tr w14:paraId="75F0A5C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353BB35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A3BB505">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67F9046D">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1821346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0EBC6EC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19797A4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08705202">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6D0EC18C">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5F4F089A">
            <w:pPr>
              <w:widowControl/>
              <w:spacing w:line="0" w:lineRule="atLeast"/>
              <w:jc w:val="left"/>
              <w:rPr>
                <w:rFonts w:eastAsia="仿宋_GB2312"/>
                <w:kern w:val="0"/>
                <w:szCs w:val="21"/>
              </w:rPr>
            </w:pPr>
            <w:r>
              <w:rPr>
                <w:rFonts w:hint="eastAsia" w:eastAsia="仿宋_GB2312"/>
                <w:kern w:val="0"/>
                <w:szCs w:val="21"/>
              </w:rPr>
              <w:t>　</w:t>
            </w:r>
          </w:p>
        </w:tc>
      </w:tr>
      <w:tr w14:paraId="512B1D7A">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44EE560E">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15E6B6DC">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1B3B0620">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14:paraId="457B5E75">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63A36697">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64B4706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47D16914">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24F81DA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01C50D4">
            <w:pPr>
              <w:widowControl/>
              <w:spacing w:line="0" w:lineRule="atLeast"/>
              <w:jc w:val="left"/>
              <w:rPr>
                <w:rFonts w:eastAsia="仿宋_GB2312"/>
                <w:kern w:val="0"/>
                <w:szCs w:val="21"/>
              </w:rPr>
            </w:pPr>
            <w:r>
              <w:rPr>
                <w:rFonts w:hint="eastAsia" w:eastAsia="仿宋_GB2312"/>
                <w:kern w:val="0"/>
                <w:szCs w:val="21"/>
              </w:rPr>
              <w:t>　</w:t>
            </w:r>
          </w:p>
        </w:tc>
      </w:tr>
      <w:tr w14:paraId="171F49E8">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022D84A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018C3B31">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32E3A549">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78F3662A">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34E81AFC">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62A284C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1C77423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5C45632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ED05FAD">
            <w:pPr>
              <w:widowControl/>
              <w:spacing w:line="0" w:lineRule="atLeast"/>
              <w:jc w:val="left"/>
              <w:rPr>
                <w:rFonts w:eastAsia="仿宋_GB2312"/>
                <w:kern w:val="0"/>
                <w:szCs w:val="21"/>
              </w:rPr>
            </w:pPr>
            <w:r>
              <w:rPr>
                <w:rFonts w:hint="eastAsia" w:eastAsia="仿宋_GB2312"/>
                <w:kern w:val="0"/>
                <w:szCs w:val="21"/>
              </w:rPr>
              <w:t>　</w:t>
            </w:r>
          </w:p>
        </w:tc>
      </w:tr>
      <w:tr w14:paraId="477C8E21">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11D6032">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14:paraId="50AFEB22">
            <w:pPr>
              <w:widowControl/>
              <w:spacing w:line="0" w:lineRule="atLeast"/>
              <w:jc w:val="center"/>
              <w:rPr>
                <w:rFonts w:eastAsia="仿宋_GB2312"/>
                <w:kern w:val="0"/>
                <w:szCs w:val="21"/>
              </w:rPr>
            </w:pPr>
            <w:r>
              <w:rPr>
                <w:rFonts w:hint="eastAsia" w:eastAsia="仿宋_GB2312"/>
                <w:kern w:val="0"/>
                <w:szCs w:val="21"/>
              </w:rPr>
              <w:t>效益</w:t>
            </w:r>
          </w:p>
          <w:p w14:paraId="3F3EE139">
            <w:pPr>
              <w:widowControl/>
              <w:spacing w:line="0" w:lineRule="atLeast"/>
              <w:jc w:val="center"/>
              <w:rPr>
                <w:rFonts w:eastAsia="仿宋_GB2312"/>
                <w:kern w:val="0"/>
                <w:szCs w:val="21"/>
              </w:rPr>
            </w:pPr>
            <w:r>
              <w:rPr>
                <w:rFonts w:hint="eastAsia" w:eastAsia="仿宋_GB2312"/>
                <w:kern w:val="0"/>
                <w:szCs w:val="21"/>
              </w:rPr>
              <w:t>指标</w:t>
            </w:r>
          </w:p>
          <w:p w14:paraId="4C964C97">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14:paraId="540C742E">
            <w:pPr>
              <w:widowControl/>
              <w:spacing w:line="0" w:lineRule="atLeast"/>
              <w:jc w:val="center"/>
              <w:rPr>
                <w:rFonts w:eastAsia="仿宋_GB2312"/>
                <w:kern w:val="0"/>
                <w:szCs w:val="21"/>
              </w:rPr>
            </w:pPr>
            <w:r>
              <w:rPr>
                <w:rFonts w:hint="eastAsia" w:eastAsia="仿宋_GB2312"/>
                <w:kern w:val="0"/>
                <w:szCs w:val="21"/>
              </w:rPr>
              <w:t>经济效</w:t>
            </w:r>
          </w:p>
          <w:p w14:paraId="08884679">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14:paraId="34A87016">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4D48AEB6">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089126E8">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02C0EB3C">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04955BC9">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483BA875">
            <w:pPr>
              <w:widowControl/>
              <w:spacing w:line="0" w:lineRule="atLeast"/>
              <w:jc w:val="left"/>
              <w:rPr>
                <w:rFonts w:eastAsia="仿宋_GB2312"/>
                <w:kern w:val="0"/>
                <w:szCs w:val="21"/>
              </w:rPr>
            </w:pPr>
            <w:r>
              <w:rPr>
                <w:rFonts w:hint="eastAsia" w:eastAsia="仿宋_GB2312"/>
                <w:kern w:val="0"/>
                <w:szCs w:val="21"/>
              </w:rPr>
              <w:t>　</w:t>
            </w:r>
          </w:p>
        </w:tc>
      </w:tr>
      <w:tr w14:paraId="2DE19879">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4D96A99A">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410C0AEE">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3AF5AB4E">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7DE22F4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3A509095">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56A3A4C1">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348DF8D9">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05E3F23D">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42433F3F">
            <w:pPr>
              <w:widowControl/>
              <w:spacing w:line="0" w:lineRule="atLeast"/>
              <w:jc w:val="left"/>
              <w:rPr>
                <w:rFonts w:eastAsia="仿宋_GB2312"/>
                <w:kern w:val="0"/>
                <w:szCs w:val="21"/>
              </w:rPr>
            </w:pPr>
            <w:r>
              <w:rPr>
                <w:rFonts w:hint="eastAsia" w:eastAsia="仿宋_GB2312"/>
                <w:kern w:val="0"/>
                <w:szCs w:val="21"/>
              </w:rPr>
              <w:t>　</w:t>
            </w:r>
          </w:p>
        </w:tc>
      </w:tr>
      <w:tr w14:paraId="29939C90">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73892BC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371DE21">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14:paraId="136DF0E3">
            <w:pPr>
              <w:widowControl/>
              <w:spacing w:line="0" w:lineRule="atLeast"/>
              <w:jc w:val="center"/>
              <w:rPr>
                <w:rFonts w:eastAsia="仿宋_GB2312"/>
                <w:kern w:val="0"/>
                <w:szCs w:val="21"/>
              </w:rPr>
            </w:pPr>
            <w:r>
              <w:rPr>
                <w:rFonts w:hint="eastAsia" w:eastAsia="仿宋_GB2312"/>
                <w:kern w:val="0"/>
                <w:szCs w:val="21"/>
              </w:rPr>
              <w:t>社会效</w:t>
            </w:r>
          </w:p>
          <w:p w14:paraId="5778F2BF">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14:paraId="36D420AD">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14:paraId="65BCA609">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19BC2E0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04CFCA1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63EF9C02">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3859D4AD">
            <w:pPr>
              <w:widowControl/>
              <w:spacing w:line="0" w:lineRule="atLeast"/>
              <w:jc w:val="left"/>
              <w:rPr>
                <w:rFonts w:eastAsia="仿宋_GB2312"/>
                <w:kern w:val="0"/>
                <w:szCs w:val="21"/>
              </w:rPr>
            </w:pPr>
            <w:r>
              <w:rPr>
                <w:rFonts w:hint="eastAsia" w:eastAsia="仿宋_GB2312"/>
                <w:kern w:val="0"/>
                <w:szCs w:val="21"/>
              </w:rPr>
              <w:t>　</w:t>
            </w:r>
          </w:p>
        </w:tc>
      </w:tr>
      <w:tr w14:paraId="51C8EB1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287E5D70">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7F769B06">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14:paraId="3068DAC3">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3B079C97">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12B2764D">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3CDDCA7B">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6B5A5D83">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352109D8">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49CC41DB">
            <w:pPr>
              <w:widowControl/>
              <w:spacing w:line="0" w:lineRule="atLeast"/>
              <w:jc w:val="left"/>
              <w:rPr>
                <w:rFonts w:eastAsia="仿宋_GB2312"/>
                <w:kern w:val="0"/>
                <w:szCs w:val="21"/>
              </w:rPr>
            </w:pPr>
            <w:r>
              <w:rPr>
                <w:rFonts w:hint="eastAsia" w:eastAsia="仿宋_GB2312"/>
                <w:kern w:val="0"/>
                <w:szCs w:val="21"/>
              </w:rPr>
              <w:t>　</w:t>
            </w:r>
          </w:p>
        </w:tc>
      </w:tr>
      <w:tr w14:paraId="2DBB9637">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E08742B">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252BFABE">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14:paraId="3393C942">
            <w:pPr>
              <w:widowControl/>
              <w:spacing w:line="0" w:lineRule="atLeast"/>
              <w:jc w:val="center"/>
              <w:rPr>
                <w:rFonts w:eastAsia="仿宋_GB2312"/>
                <w:kern w:val="0"/>
                <w:szCs w:val="21"/>
              </w:rPr>
            </w:pPr>
            <w:r>
              <w:rPr>
                <w:rFonts w:hint="eastAsia" w:eastAsia="仿宋_GB2312"/>
                <w:kern w:val="0"/>
                <w:szCs w:val="21"/>
              </w:rPr>
              <w:t>生态效</w:t>
            </w:r>
          </w:p>
          <w:p w14:paraId="0305E58F">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14:paraId="5F15E32B">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B5F82E8">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14:paraId="574D2AED">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2451F776">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14:paraId="38D1A2B6">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0B959D68">
            <w:pPr>
              <w:widowControl/>
              <w:spacing w:line="0" w:lineRule="atLeast"/>
              <w:jc w:val="left"/>
              <w:rPr>
                <w:rFonts w:eastAsia="仿宋_GB2312"/>
                <w:kern w:val="0"/>
                <w:szCs w:val="21"/>
              </w:rPr>
            </w:pPr>
            <w:r>
              <w:rPr>
                <w:rFonts w:hint="eastAsia" w:eastAsia="仿宋_GB2312"/>
                <w:kern w:val="0"/>
                <w:szCs w:val="21"/>
              </w:rPr>
              <w:t>　</w:t>
            </w:r>
          </w:p>
        </w:tc>
      </w:tr>
      <w:tr w14:paraId="559BF346">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0519D2F">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641CCF92">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14:paraId="6BF3C052">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14:paraId="20C6B6A1">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14:paraId="78D6C35F">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14:paraId="4601460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26981DAB">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14:paraId="7EE9218D">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14:paraId="2747D433">
            <w:pPr>
              <w:widowControl/>
              <w:spacing w:line="0" w:lineRule="atLeast"/>
              <w:jc w:val="left"/>
              <w:rPr>
                <w:rFonts w:eastAsia="仿宋_GB2312"/>
                <w:kern w:val="0"/>
                <w:szCs w:val="21"/>
              </w:rPr>
            </w:pPr>
            <w:r>
              <w:rPr>
                <w:rFonts w:hint="eastAsia" w:eastAsia="仿宋_GB2312"/>
                <w:kern w:val="0"/>
                <w:szCs w:val="21"/>
              </w:rPr>
              <w:t>　</w:t>
            </w:r>
          </w:p>
        </w:tc>
      </w:tr>
      <w:tr w14:paraId="784BD4F4">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124AECEB">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50AB85AA">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14:paraId="289D5A8F">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14:paraId="7C551A33">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2D8E0EB">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14:paraId="01F8260B">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164F7DC0">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14:paraId="3227F06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8D386C8">
            <w:pPr>
              <w:widowControl/>
              <w:spacing w:line="0" w:lineRule="atLeast"/>
              <w:jc w:val="left"/>
              <w:rPr>
                <w:rFonts w:eastAsia="仿宋_GB2312"/>
                <w:kern w:val="0"/>
                <w:szCs w:val="21"/>
              </w:rPr>
            </w:pPr>
            <w:r>
              <w:rPr>
                <w:rFonts w:hint="eastAsia" w:eastAsia="仿宋_GB2312"/>
                <w:kern w:val="0"/>
                <w:szCs w:val="21"/>
              </w:rPr>
              <w:t>　</w:t>
            </w:r>
          </w:p>
        </w:tc>
      </w:tr>
      <w:tr w14:paraId="150ACEAF">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F2BE027">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14:paraId="4AF0D9F5">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14:paraId="3895DA7A">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14:paraId="307CE903">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14:paraId="657EF76A">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0BDBEB9D">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3C500159">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14:paraId="39140BCF">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14:paraId="514A86F1">
            <w:pPr>
              <w:widowControl/>
              <w:spacing w:line="0" w:lineRule="atLeast"/>
              <w:jc w:val="left"/>
              <w:rPr>
                <w:rFonts w:eastAsia="仿宋_GB2312"/>
                <w:kern w:val="0"/>
                <w:szCs w:val="21"/>
              </w:rPr>
            </w:pPr>
            <w:r>
              <w:rPr>
                <w:rFonts w:hint="eastAsia" w:eastAsia="仿宋_GB2312"/>
                <w:kern w:val="0"/>
                <w:szCs w:val="21"/>
              </w:rPr>
              <w:t>　</w:t>
            </w:r>
          </w:p>
        </w:tc>
      </w:tr>
      <w:tr w14:paraId="479A977D">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6C8B4249">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14:paraId="5CE99342">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04327370">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14:paraId="5CECD58E">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14:paraId="64A01EAA">
            <w:pPr>
              <w:widowControl/>
              <w:spacing w:line="0" w:lineRule="atLeast"/>
              <w:jc w:val="left"/>
              <w:rPr>
                <w:rFonts w:eastAsia="仿宋_GB2312"/>
                <w:kern w:val="0"/>
                <w:szCs w:val="21"/>
              </w:rPr>
            </w:pPr>
          </w:p>
        </w:tc>
        <w:tc>
          <w:tcPr>
            <w:tcW w:w="0" w:type="auto"/>
            <w:tcBorders>
              <w:top w:val="nil"/>
              <w:left w:val="nil"/>
              <w:bottom w:val="single" w:color="auto" w:sz="4" w:space="0"/>
              <w:right w:val="single" w:color="auto" w:sz="4" w:space="0"/>
            </w:tcBorders>
            <w:vAlign w:val="center"/>
          </w:tcPr>
          <w:p w14:paraId="7131B164">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13DFE9D3">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2C2F2AE2">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14:paraId="697F0582">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14:paraId="4B63CB8C">
            <w:pPr>
              <w:widowControl/>
              <w:spacing w:line="0" w:lineRule="atLeast"/>
              <w:jc w:val="left"/>
              <w:rPr>
                <w:rFonts w:eastAsia="仿宋_GB2312"/>
                <w:kern w:val="0"/>
                <w:szCs w:val="21"/>
              </w:rPr>
            </w:pPr>
            <w:r>
              <w:rPr>
                <w:rFonts w:hint="eastAsia" w:eastAsia="仿宋_GB2312"/>
                <w:kern w:val="0"/>
                <w:szCs w:val="21"/>
              </w:rPr>
              <w:t>　</w:t>
            </w:r>
          </w:p>
        </w:tc>
      </w:tr>
      <w:tr w14:paraId="5DB2BE48">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14:paraId="231139B4">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14:paraId="20F717CA">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14:paraId="496CDF65">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14:paraId="7B5A0DDD">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14:paraId="7A6A8ADE">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14:paraId="19E4E7B5">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277D1407">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14:paraId="55B5A4B7">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14:paraId="27AF66E6">
            <w:pPr>
              <w:widowControl/>
              <w:spacing w:line="0" w:lineRule="atLeast"/>
              <w:jc w:val="left"/>
              <w:rPr>
                <w:rFonts w:eastAsia="仿宋_GB2312"/>
                <w:kern w:val="0"/>
                <w:szCs w:val="21"/>
              </w:rPr>
            </w:pPr>
            <w:r>
              <w:rPr>
                <w:rFonts w:hint="eastAsia" w:eastAsia="仿宋_GB2312"/>
                <w:kern w:val="0"/>
                <w:szCs w:val="21"/>
              </w:rPr>
              <w:t>　</w:t>
            </w:r>
          </w:p>
        </w:tc>
      </w:tr>
      <w:tr w14:paraId="78B062AC">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14:paraId="23219BAB">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14:paraId="7083A513">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14:paraId="6DCD7964">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14:paraId="4FE13F58">
            <w:pPr>
              <w:widowControl/>
              <w:spacing w:line="0" w:lineRule="atLeast"/>
              <w:jc w:val="left"/>
              <w:rPr>
                <w:rFonts w:eastAsia="仿宋_GB2312"/>
                <w:kern w:val="0"/>
                <w:szCs w:val="21"/>
              </w:rPr>
            </w:pPr>
            <w:r>
              <w:rPr>
                <w:rFonts w:hint="eastAsia" w:eastAsia="仿宋_GB2312"/>
                <w:kern w:val="0"/>
                <w:szCs w:val="21"/>
              </w:rPr>
              <w:t>　</w:t>
            </w:r>
          </w:p>
        </w:tc>
      </w:tr>
    </w:tbl>
    <w:p w14:paraId="11E9B780">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14:paraId="3226C6C4">
      <w:pPr>
        <w:ind w:left="10" w:leftChars="5" w:firstLine="406" w:firstLineChars="127"/>
        <w:jc w:val="left"/>
        <w:rPr>
          <w:rFonts w:hint="eastAsia" w:ascii="仿宋" w:hAnsi="仿宋" w:eastAsia="仿宋" w:cs="仿宋"/>
          <w:sz w:val="32"/>
          <w:szCs w:val="32"/>
        </w:rPr>
      </w:pPr>
    </w:p>
    <w:p w14:paraId="48BE921D">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14:paraId="7B12040A">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14:paraId="7818F577">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14:paraId="14E7AC96">
      <w:pPr>
        <w:keepNext w:val="0"/>
        <w:keepLines w:val="0"/>
        <w:pageBreakBefore w:val="0"/>
        <w:widowControl w:val="0"/>
        <w:numPr>
          <w:ilvl w:val="0"/>
          <w:numId w:val="6"/>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14:paraId="4321C3BB">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14:paraId="1ECF84AF">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14:paraId="72998CE4">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6C6E9E87">
        <w:pPr>
          <w:pStyle w:val="3"/>
          <w:jc w:val="center"/>
        </w:pPr>
        <w:r>
          <w:fldChar w:fldCharType="begin"/>
        </w:r>
        <w:r>
          <w:instrText xml:space="preserve">PAGE   \* MERGEFORMAT</w:instrText>
        </w:r>
        <w:r>
          <w:fldChar w:fldCharType="separate"/>
        </w:r>
        <w:r>
          <w:rPr>
            <w:lang w:val="zh-CN"/>
          </w:rPr>
          <w:t>3</w:t>
        </w:r>
        <w:r>
          <w:fldChar w:fldCharType="end"/>
        </w:r>
      </w:p>
    </w:sdtContent>
  </w:sdt>
  <w:p w14:paraId="3375E61E">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4DFB"/>
    <w:multiLevelType w:val="singleLevel"/>
    <w:tmpl w:val="992F4DFB"/>
    <w:lvl w:ilvl="0" w:tentative="0">
      <w:start w:val="8"/>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5FA260F4"/>
    <w:multiLevelType w:val="singleLevel"/>
    <w:tmpl w:val="5FA260F4"/>
    <w:lvl w:ilvl="0" w:tentative="0">
      <w:start w:val="4"/>
      <w:numFmt w:val="chineseCounting"/>
      <w:suff w:val="nothing"/>
      <w:lvlText w:val="（%1）"/>
      <w:lvlJc w:val="left"/>
      <w:rPr>
        <w:rFonts w:hint="eastAsia"/>
      </w:rPr>
    </w:lvl>
  </w:abstractNum>
  <w:abstractNum w:abstractNumId="3">
    <w:nsid w:val="64EDE8AE"/>
    <w:multiLevelType w:val="singleLevel"/>
    <w:tmpl w:val="64EDE8AE"/>
    <w:lvl w:ilvl="0" w:tentative="0">
      <w:start w:val="4"/>
      <w:numFmt w:val="chineseCounting"/>
      <w:suff w:val="nothing"/>
      <w:lvlText w:val="%1、"/>
      <w:lvlJc w:val="left"/>
      <w:rPr>
        <w:rFonts w:hint="eastAsia"/>
      </w:rPr>
    </w:lvl>
  </w:abstractNum>
  <w:abstractNum w:abstractNumId="4">
    <w:nsid w:val="6588993E"/>
    <w:multiLevelType w:val="singleLevel"/>
    <w:tmpl w:val="6588993E"/>
    <w:lvl w:ilvl="0" w:tentative="0">
      <w:start w:val="1"/>
      <w:numFmt w:val="decimal"/>
      <w:suff w:val="nothing"/>
      <w:lvlText w:val="（%1）"/>
      <w:lvlJc w:val="left"/>
    </w:lvl>
  </w:abstractNum>
  <w:abstractNum w:abstractNumId="5">
    <w:nsid w:val="665305C2"/>
    <w:multiLevelType w:val="singleLevel"/>
    <w:tmpl w:val="665305C2"/>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MTM3N2I2Y2FmM2I2ODc1MzRlNWNlMzVlYjQyMm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3317DF"/>
    <w:rsid w:val="05485881"/>
    <w:rsid w:val="055F72FC"/>
    <w:rsid w:val="05C63780"/>
    <w:rsid w:val="05E46539"/>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10125033"/>
    <w:rsid w:val="13063EC3"/>
    <w:rsid w:val="15DD3DC4"/>
    <w:rsid w:val="194621AC"/>
    <w:rsid w:val="1C486ABE"/>
    <w:rsid w:val="1C96001A"/>
    <w:rsid w:val="1DA67C4F"/>
    <w:rsid w:val="1E4A056C"/>
    <w:rsid w:val="1F3A5DE3"/>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740D27"/>
    <w:rsid w:val="2EF0518E"/>
    <w:rsid w:val="2F373F0A"/>
    <w:rsid w:val="2F465CE9"/>
    <w:rsid w:val="2F6B65A7"/>
    <w:rsid w:val="30133FEC"/>
    <w:rsid w:val="301467A7"/>
    <w:rsid w:val="319E58AE"/>
    <w:rsid w:val="32E672DE"/>
    <w:rsid w:val="33173320"/>
    <w:rsid w:val="33F47CCB"/>
    <w:rsid w:val="35762D82"/>
    <w:rsid w:val="367E6347"/>
    <w:rsid w:val="36B74B2C"/>
    <w:rsid w:val="376A7251"/>
    <w:rsid w:val="38FF20BA"/>
    <w:rsid w:val="39C42A21"/>
    <w:rsid w:val="3B4A4976"/>
    <w:rsid w:val="3D6A788A"/>
    <w:rsid w:val="3E1C6CCE"/>
    <w:rsid w:val="3F07230B"/>
    <w:rsid w:val="401A4DB7"/>
    <w:rsid w:val="40551718"/>
    <w:rsid w:val="40557A1F"/>
    <w:rsid w:val="412A5093"/>
    <w:rsid w:val="41D96CAB"/>
    <w:rsid w:val="42870A90"/>
    <w:rsid w:val="434F5566"/>
    <w:rsid w:val="438C45B0"/>
    <w:rsid w:val="43CA6E24"/>
    <w:rsid w:val="448C37A5"/>
    <w:rsid w:val="44AE371A"/>
    <w:rsid w:val="44F825B5"/>
    <w:rsid w:val="46FA66EA"/>
    <w:rsid w:val="4750610E"/>
    <w:rsid w:val="476A2E5A"/>
    <w:rsid w:val="48D77849"/>
    <w:rsid w:val="492E6CEA"/>
    <w:rsid w:val="499C5626"/>
    <w:rsid w:val="49D62A28"/>
    <w:rsid w:val="4A6A422A"/>
    <w:rsid w:val="4B8D5206"/>
    <w:rsid w:val="4C3126A7"/>
    <w:rsid w:val="4C985623"/>
    <w:rsid w:val="4D1D75B1"/>
    <w:rsid w:val="4D8209C6"/>
    <w:rsid w:val="4DC14C54"/>
    <w:rsid w:val="5025403F"/>
    <w:rsid w:val="50F6575E"/>
    <w:rsid w:val="512D283B"/>
    <w:rsid w:val="51706157"/>
    <w:rsid w:val="51A64FE7"/>
    <w:rsid w:val="52245ABB"/>
    <w:rsid w:val="544E62B5"/>
    <w:rsid w:val="54D83964"/>
    <w:rsid w:val="551E5284"/>
    <w:rsid w:val="569958AC"/>
    <w:rsid w:val="57965D12"/>
    <w:rsid w:val="587F7BAB"/>
    <w:rsid w:val="590B7824"/>
    <w:rsid w:val="598A0134"/>
    <w:rsid w:val="59BA41A7"/>
    <w:rsid w:val="5B0867BA"/>
    <w:rsid w:val="5E2D0ECA"/>
    <w:rsid w:val="5E614EE7"/>
    <w:rsid w:val="5E7E2E48"/>
    <w:rsid w:val="5EB920A6"/>
    <w:rsid w:val="5EE15247"/>
    <w:rsid w:val="5FEB66AA"/>
    <w:rsid w:val="60BA4265"/>
    <w:rsid w:val="611C2A4E"/>
    <w:rsid w:val="61ED0983"/>
    <w:rsid w:val="621A2785"/>
    <w:rsid w:val="62380621"/>
    <w:rsid w:val="62882906"/>
    <w:rsid w:val="6296592A"/>
    <w:rsid w:val="62AA63A9"/>
    <w:rsid w:val="62D11B87"/>
    <w:rsid w:val="63C549F7"/>
    <w:rsid w:val="64653D4C"/>
    <w:rsid w:val="64821F10"/>
    <w:rsid w:val="64BB7C34"/>
    <w:rsid w:val="657A4758"/>
    <w:rsid w:val="68600158"/>
    <w:rsid w:val="693B1A2C"/>
    <w:rsid w:val="6A88200B"/>
    <w:rsid w:val="6A9E130D"/>
    <w:rsid w:val="6BDD159D"/>
    <w:rsid w:val="6DEC1F6B"/>
    <w:rsid w:val="70561C9A"/>
    <w:rsid w:val="71881FAB"/>
    <w:rsid w:val="71AF52DC"/>
    <w:rsid w:val="71C15269"/>
    <w:rsid w:val="752D41F9"/>
    <w:rsid w:val="757F7487"/>
    <w:rsid w:val="76937428"/>
    <w:rsid w:val="769C7CC9"/>
    <w:rsid w:val="77F770D8"/>
    <w:rsid w:val="783F1A66"/>
    <w:rsid w:val="786A32D4"/>
    <w:rsid w:val="788155F2"/>
    <w:rsid w:val="78EA5C5B"/>
    <w:rsid w:val="78EF290F"/>
    <w:rsid w:val="7A794B87"/>
    <w:rsid w:val="7ACB2BF8"/>
    <w:rsid w:val="7B321543"/>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styleId="10">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8"/>
    <w:link w:val="3"/>
    <w:autoRedefine/>
    <w:qFormat/>
    <w:uiPriority w:val="99"/>
    <w:rPr>
      <w:kern w:val="2"/>
      <w:sz w:val="18"/>
      <w:szCs w:val="18"/>
    </w:rPr>
  </w:style>
  <w:style w:type="character" w:customStyle="1" w:styleId="12">
    <w:name w:val="font41"/>
    <w:basedOn w:val="8"/>
    <w:autoRedefine/>
    <w:qFormat/>
    <w:uiPriority w:val="0"/>
    <w:rPr>
      <w:rFonts w:hint="eastAsia" w:ascii="宋体" w:hAnsi="宋体" w:eastAsia="宋体" w:cs="宋体"/>
      <w:color w:val="000000"/>
      <w:sz w:val="18"/>
      <w:szCs w:val="18"/>
      <w:u w:val="none"/>
    </w:rPr>
  </w:style>
  <w:style w:type="character" w:customStyle="1" w:styleId="13">
    <w:name w:val="font51"/>
    <w:basedOn w:val="8"/>
    <w:autoRedefine/>
    <w:qFormat/>
    <w:uiPriority w:val="0"/>
    <w:rPr>
      <w:rFonts w:hint="default" w:ascii="Times New Roman" w:hAnsi="Times New Roman" w:cs="Times New Roman"/>
      <w:color w:val="000000"/>
      <w:sz w:val="18"/>
      <w:szCs w:val="18"/>
      <w:u w:val="none"/>
    </w:rPr>
  </w:style>
  <w:style w:type="character" w:customStyle="1" w:styleId="14">
    <w:name w:val="font71"/>
    <w:basedOn w:val="8"/>
    <w:autoRedefine/>
    <w:qFormat/>
    <w:uiPriority w:val="0"/>
    <w:rPr>
      <w:rFonts w:hint="eastAsia" w:ascii="宋体" w:hAnsi="宋体" w:eastAsia="宋体" w:cs="宋体"/>
      <w:color w:val="000000"/>
      <w:sz w:val="18"/>
      <w:szCs w:val="18"/>
      <w:u w:val="none"/>
    </w:rPr>
  </w:style>
  <w:style w:type="character" w:customStyle="1" w:styleId="15">
    <w:name w:val="font61"/>
    <w:basedOn w:val="8"/>
    <w:autoRedefine/>
    <w:qFormat/>
    <w:uiPriority w:val="0"/>
    <w:rPr>
      <w:rFonts w:hint="default" w:ascii="Times New Roman" w:hAnsi="Times New Roman" w:cs="Times New Roman"/>
      <w:color w:val="000000"/>
      <w:sz w:val="18"/>
      <w:szCs w:val="18"/>
      <w:u w:val="none"/>
    </w:rPr>
  </w:style>
  <w:style w:type="character" w:customStyle="1" w:styleId="16">
    <w:name w:val="font11"/>
    <w:basedOn w:val="8"/>
    <w:autoRedefine/>
    <w:qFormat/>
    <w:uiPriority w:val="0"/>
    <w:rPr>
      <w:rFonts w:hint="eastAsia" w:ascii="宋体" w:hAnsi="宋体" w:eastAsia="宋体" w:cs="宋体"/>
      <w:color w:val="000000"/>
      <w:sz w:val="18"/>
      <w:szCs w:val="18"/>
      <w:u w:val="none"/>
    </w:rPr>
  </w:style>
  <w:style w:type="character" w:customStyle="1" w:styleId="17">
    <w:name w:val="font8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4617</Words>
  <Characters>4808</Characters>
  <Lines>56</Lines>
  <Paragraphs>15</Paragraphs>
  <TotalTime>20</TotalTime>
  <ScaleCrop>false</ScaleCrop>
  <LinksUpToDate>false</LinksUpToDate>
  <CharactersWithSpaces>4918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建红</cp:lastModifiedBy>
  <cp:lastPrinted>2024-02-29T01:34:00Z</cp:lastPrinted>
  <dcterms:modified xsi:type="dcterms:W3CDTF">2024-11-13T02:49:12Z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92B2048E308C4056B8BDD511358C9134_13</vt:lpwstr>
  </property>
</Properties>
</file>