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ascii="黑体" w:eastAsia="黑体"/>
          <w:sz w:val="32"/>
          <w:szCs w:val="32"/>
        </w:rPr>
      </w:pPr>
      <w:r>
        <w:rPr>
          <w:rFonts w:hint="eastAsia" w:ascii="黑体" w:eastAsia="黑体"/>
          <w:sz w:val="32"/>
          <w:szCs w:val="32"/>
        </w:rPr>
        <w:t>附件1</w:t>
      </w:r>
    </w:p>
    <w:p>
      <w:pPr>
        <w:rPr>
          <w:rFonts w:eastAsia="黑体"/>
          <w:sz w:val="44"/>
        </w:rPr>
      </w:pPr>
    </w:p>
    <w:p>
      <w:pPr>
        <w:rPr>
          <w:rFonts w:eastAsia="黑体"/>
          <w:sz w:val="44"/>
        </w:rPr>
      </w:pPr>
    </w:p>
    <w:p>
      <w:pPr>
        <w:rPr>
          <w:rFonts w:eastAsia="黑体"/>
          <w:sz w:val="44"/>
        </w:rPr>
      </w:pPr>
      <w:bookmarkStart w:id="0" w:name="_GoBack"/>
      <w:bookmarkEnd w:id="0"/>
    </w:p>
    <w:p>
      <w:pPr>
        <w:jc w:val="center"/>
        <w:rPr>
          <w:rFonts w:hint="eastAsia"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邵阳县2023年度部门整体支出绩效自评报告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邵阳县</w:t>
      </w:r>
      <w:r>
        <w:rPr>
          <w:rFonts w:hint="eastAsia"/>
          <w:b/>
          <w:bCs/>
          <w:sz w:val="32"/>
          <w:szCs w:val="32"/>
          <w:u w:val="single"/>
          <w:lang w:eastAsia="zh-CN"/>
        </w:rPr>
        <w:t>郦家坪镇杉木桥初级中学</w:t>
      </w:r>
      <w:r>
        <w:rPr>
          <w:rFonts w:hint="eastAsia"/>
          <w:bCs/>
          <w:sz w:val="32"/>
          <w:szCs w:val="32"/>
        </w:rPr>
        <w:t>（单位公章）</w:t>
      </w:r>
    </w:p>
    <w:p>
      <w:pPr>
        <w:spacing w:line="600" w:lineRule="exact"/>
      </w:pPr>
    </w:p>
    <w:p>
      <w:pPr>
        <w:spacing w:line="600" w:lineRule="exact"/>
      </w:pPr>
    </w:p>
    <w:p>
      <w:pPr>
        <w:spacing w:line="600" w:lineRule="exact"/>
        <w:jc w:val="center"/>
        <w:rPr>
          <w:rFonts w:hint="eastAsia" w:ascii="楷体" w:hAnsi="楷体" w:eastAsia="楷体" w:cs="楷体"/>
          <w:sz w:val="36"/>
        </w:rPr>
      </w:pPr>
      <w:r>
        <w:rPr>
          <w:rFonts w:hint="eastAsia" w:ascii="楷体" w:hAnsi="楷体" w:eastAsia="楷体" w:cs="楷体"/>
          <w:sz w:val="36"/>
        </w:rPr>
        <w:t>日期：20</w:t>
      </w:r>
      <w:r>
        <w:rPr>
          <w:rFonts w:hint="eastAsia" w:ascii="楷体" w:hAnsi="楷体" w:eastAsia="楷体" w:cs="楷体"/>
          <w:sz w:val="36"/>
          <w:lang w:eastAsia="zh-CN"/>
        </w:rPr>
        <w:t>26</w:t>
      </w:r>
      <w:r>
        <w:rPr>
          <w:rFonts w:hint="eastAsia" w:ascii="楷体" w:hAnsi="楷体" w:eastAsia="楷体" w:cs="楷体"/>
          <w:sz w:val="36"/>
        </w:rPr>
        <w:t>年　03　月　05　日</w:t>
      </w:r>
    </w:p>
    <w:p>
      <w:pPr>
        <w:spacing w:line="600" w:lineRule="exact"/>
        <w:rPr>
          <w:rFonts w:eastAsia="仿宋_GB2312"/>
          <w:sz w:val="28"/>
          <w:szCs w:val="28"/>
        </w:rPr>
      </w:pPr>
    </w:p>
    <w:p>
      <w:pPr>
        <w:adjustRightInd w:val="0"/>
        <w:spacing w:line="600" w:lineRule="exact"/>
        <w:ind w:right="641"/>
        <w:rPr>
          <w:rFonts w:ascii="黑体" w:eastAsia="黑体"/>
          <w:sz w:val="32"/>
          <w:szCs w:val="32"/>
        </w:rPr>
      </w:pPr>
      <w:r>
        <w:rPr>
          <w:rFonts w:hint="eastAsia" w:ascii="黑体" w:eastAsia="黑体"/>
          <w:sz w:val="32"/>
          <w:szCs w:val="32"/>
        </w:rPr>
        <w:t>附件2</w:t>
      </w:r>
    </w:p>
    <w:p>
      <w:pPr>
        <w:adjustRightInd w:val="0"/>
        <w:spacing w:line="600" w:lineRule="exact"/>
        <w:ind w:right="641"/>
        <w:jc w:val="center"/>
        <w:rPr>
          <w:rFonts w:eastAsia="仿宋_GB2312"/>
          <w:sz w:val="32"/>
          <w:szCs w:val="32"/>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rPr>
        <w:t>自评</w:t>
      </w:r>
      <w:r>
        <w:rPr>
          <w:rFonts w:eastAsia="方正小标宋_GBK"/>
          <w:sz w:val="36"/>
          <w:szCs w:val="36"/>
        </w:rPr>
        <w:t>报告</w:t>
      </w:r>
    </w:p>
    <w:p>
      <w:pPr>
        <w:widowControl/>
        <w:spacing w:line="600" w:lineRule="exact"/>
        <w:ind w:firstLine="645"/>
        <w:jc w:val="left"/>
        <w:rPr>
          <w:rFonts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bCs/>
          <w:color w:val="000000"/>
          <w:sz w:val="32"/>
          <w:szCs w:val="32"/>
        </w:rPr>
      </w:pPr>
      <w:r>
        <w:rPr>
          <w:rFonts w:hint="eastAsia" w:ascii="仿宋" w:hAnsi="仿宋" w:eastAsia="仿宋" w:cs="仿宋"/>
          <w:color w:val="000000"/>
          <w:sz w:val="32"/>
          <w:szCs w:val="32"/>
          <w:shd w:val="clear" w:color="auto" w:fill="FFFFFF"/>
        </w:rPr>
        <w:t>邵阳县</w:t>
      </w:r>
      <w:r>
        <w:rPr>
          <w:rFonts w:hint="eastAsia" w:ascii="仿宋" w:hAnsi="仿宋" w:eastAsia="仿宋" w:cs="仿宋"/>
          <w:color w:val="000000"/>
          <w:sz w:val="32"/>
          <w:szCs w:val="32"/>
          <w:shd w:val="clear" w:color="auto" w:fill="FFFFFF"/>
          <w:lang w:eastAsia="zh-CN"/>
        </w:rPr>
        <w:t>郦家坪镇杉木桥初级中学</w:t>
      </w:r>
      <w:r>
        <w:rPr>
          <w:rFonts w:hint="eastAsia" w:ascii="仿宋" w:hAnsi="仿宋" w:eastAsia="仿宋" w:cs="仿宋"/>
          <w:color w:val="000000"/>
          <w:sz w:val="32"/>
          <w:szCs w:val="32"/>
        </w:rPr>
        <w:t>内设机构包括：内设机构5个，分别为：教学教导、办公室、财务室、政教室、团委。</w:t>
      </w:r>
    </w:p>
    <w:p>
      <w:pPr>
        <w:widowControl/>
        <w:numPr>
          <w:ilvl w:val="0"/>
          <w:numId w:val="1"/>
        </w:numPr>
        <w:spacing w:after="0"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spacing w:line="600" w:lineRule="exact"/>
        <w:ind w:firstLine="960" w:firstLineChars="300"/>
        <w:jc w:val="left"/>
        <w:rPr>
          <w:rFonts w:hint="eastAsia" w:ascii="仿宋" w:hAnsi="仿宋" w:eastAsia="仿宋" w:cs="仿宋"/>
          <w:b/>
          <w:bCs/>
          <w:sz w:val="32"/>
          <w:szCs w:val="32"/>
        </w:rPr>
      </w:pPr>
      <w:r>
        <w:rPr>
          <w:rFonts w:hint="eastAsia" w:ascii="仿宋" w:hAnsi="仿宋" w:eastAsia="仿宋" w:cs="仿宋"/>
          <w:color w:val="000000"/>
          <w:sz w:val="32"/>
          <w:szCs w:val="32"/>
        </w:rPr>
        <w:t>本部门共有编制人数</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人，实有在编人数</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人。</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pStyle w:val="5"/>
        <w:widowControl/>
        <w:numPr>
          <w:ilvl w:val="0"/>
          <w:numId w:val="2"/>
        </w:numPr>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正确贯彻执行党和国家的教育方针、政策、法规。</w:t>
      </w:r>
    </w:p>
    <w:p>
      <w:pPr>
        <w:pStyle w:val="5"/>
        <w:widowControl/>
        <w:numPr>
          <w:numId w:val="0"/>
        </w:numPr>
        <w:spacing w:after="1"/>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（二）严抓教育教学管理、安全管理、财务管理、基础项目管理等工作。</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（三）打造一支高素质的教师队伍，加强师德建设，营造良好的教学氛围，提高教育教学质量。</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（四）教书育人，切实做好义务教育工作，加强对学生思想品德教育，培养德智体美劳全面发展的学生。</w:t>
      </w:r>
    </w:p>
    <w:p>
      <w:pPr>
        <w:pStyle w:val="5"/>
        <w:widowControl/>
        <w:spacing w:after="1"/>
        <w:ind w:firstLine="641"/>
        <w:rPr>
          <w:rFonts w:hint="eastAsia" w:ascii="仿宋" w:hAnsi="仿宋" w:eastAsia="仿宋" w:cs="仿宋"/>
          <w:b/>
          <w:bCs/>
          <w:sz w:val="32"/>
          <w:szCs w:val="32"/>
        </w:rPr>
      </w:pPr>
      <w:r>
        <w:rPr>
          <w:rFonts w:hint="eastAsia" w:ascii="仿宋" w:hAnsi="仿宋" w:eastAsia="仿宋" w:cs="仿宋"/>
          <w:color w:val="000000"/>
          <w:sz w:val="32"/>
          <w:szCs w:val="32"/>
        </w:rPr>
        <w:t>（五）加强安全防范工作，确保师生安全。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在2023年收支预算内，确保完成以下整体目标：</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1、确保人员经费的合理分配；</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2、合理安排三公经费和日常运行办公经费的开支；</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3、把教学放在首位，一切为教学服务，提高师生整体素质；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4、按计划完成项目建设，改善学校环境，保障校园安全；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5、社会公众及服务对象满意度达到95%以上。</w:t>
      </w:r>
    </w:p>
    <w:p>
      <w:pPr>
        <w:widowControl/>
        <w:spacing w:line="600" w:lineRule="exact"/>
        <w:ind w:firstLine="645"/>
        <w:jc w:val="left"/>
        <w:rPr>
          <w:rFonts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2023年本部门一般公共预算拨款支出预算</w:t>
      </w:r>
      <w:r>
        <w:rPr>
          <w:rFonts w:hint="eastAsia" w:eastAsia="仿宋_GB2312"/>
          <w:sz w:val="32"/>
          <w:szCs w:val="32"/>
          <w:lang w:val="en-US" w:eastAsia="zh-CN"/>
        </w:rPr>
        <w:t>861.73</w:t>
      </w:r>
      <w:r>
        <w:rPr>
          <w:rFonts w:hint="eastAsia" w:eastAsia="仿宋_GB2312"/>
          <w:sz w:val="32"/>
          <w:szCs w:val="32"/>
        </w:rPr>
        <w:t>万元，其中：基本支出</w:t>
      </w:r>
      <w:r>
        <w:rPr>
          <w:rFonts w:hint="eastAsia" w:eastAsia="仿宋_GB2312"/>
          <w:sz w:val="32"/>
          <w:szCs w:val="32"/>
          <w:lang w:val="en-US" w:eastAsia="zh-CN"/>
        </w:rPr>
        <w:t>509.32</w:t>
      </w:r>
      <w:r>
        <w:rPr>
          <w:rFonts w:hint="eastAsia" w:eastAsia="仿宋_GB2312"/>
          <w:sz w:val="32"/>
          <w:szCs w:val="32"/>
        </w:rPr>
        <w:t>万元，占</w:t>
      </w:r>
      <w:r>
        <w:rPr>
          <w:rFonts w:hint="eastAsia" w:eastAsia="仿宋_GB2312"/>
          <w:sz w:val="32"/>
          <w:szCs w:val="32"/>
          <w:lang w:val="en-US" w:eastAsia="zh-CN"/>
        </w:rPr>
        <w:t>59.1</w:t>
      </w:r>
      <w:r>
        <w:rPr>
          <w:rFonts w:hint="eastAsia" w:eastAsia="仿宋_GB2312"/>
          <w:sz w:val="32"/>
          <w:szCs w:val="32"/>
        </w:rPr>
        <w:t>%；项目支出</w:t>
      </w:r>
      <w:r>
        <w:rPr>
          <w:rFonts w:hint="eastAsia" w:eastAsia="仿宋_GB2312"/>
          <w:sz w:val="32"/>
          <w:szCs w:val="32"/>
          <w:lang w:val="en-US" w:eastAsia="zh-CN"/>
        </w:rPr>
        <w:t>352.41</w:t>
      </w:r>
      <w:r>
        <w:rPr>
          <w:rFonts w:hint="eastAsia" w:eastAsia="仿宋_GB2312"/>
          <w:sz w:val="32"/>
          <w:szCs w:val="32"/>
        </w:rPr>
        <w:t>万元，占</w:t>
      </w:r>
      <w:r>
        <w:rPr>
          <w:rFonts w:hint="eastAsia" w:eastAsia="仿宋_GB2312"/>
          <w:sz w:val="32"/>
          <w:szCs w:val="32"/>
          <w:lang w:val="en-US" w:eastAsia="zh-CN"/>
        </w:rPr>
        <w:t>40.9</w:t>
      </w:r>
      <w:r>
        <w:rPr>
          <w:rFonts w:hint="eastAsia" w:eastAsia="仿宋_GB2312"/>
          <w:sz w:val="32"/>
          <w:szCs w:val="32"/>
        </w:rPr>
        <w:t>%。</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2023年本部门一般公共预算拨款支出决算</w:t>
      </w:r>
      <w:r>
        <w:rPr>
          <w:rFonts w:hint="eastAsia" w:eastAsia="仿宋_GB2312"/>
          <w:sz w:val="32"/>
          <w:szCs w:val="32"/>
          <w:lang w:eastAsia="zh-CN"/>
        </w:rPr>
        <w:t>861.73</w:t>
      </w:r>
      <w:r>
        <w:rPr>
          <w:rFonts w:hint="eastAsia" w:eastAsia="仿宋_GB2312"/>
          <w:sz w:val="32"/>
          <w:szCs w:val="32"/>
        </w:rPr>
        <w:t>万元，其中：工资福利支出</w:t>
      </w:r>
      <w:r>
        <w:rPr>
          <w:rFonts w:hint="eastAsia" w:eastAsia="仿宋_GB2312"/>
          <w:sz w:val="32"/>
          <w:szCs w:val="32"/>
          <w:lang w:val="en-US" w:eastAsia="zh-CN"/>
        </w:rPr>
        <w:t>433.49</w:t>
      </w:r>
      <w:r>
        <w:rPr>
          <w:rFonts w:hint="eastAsia" w:eastAsia="仿宋_GB2312"/>
          <w:sz w:val="32"/>
          <w:szCs w:val="32"/>
        </w:rPr>
        <w:t>万元，占</w:t>
      </w:r>
      <w:r>
        <w:rPr>
          <w:rFonts w:hint="eastAsia" w:eastAsia="仿宋_GB2312"/>
          <w:sz w:val="32"/>
          <w:szCs w:val="32"/>
          <w:lang w:val="en-US" w:eastAsia="zh-CN"/>
        </w:rPr>
        <w:t>50.3</w:t>
      </w:r>
      <w:r>
        <w:rPr>
          <w:rFonts w:hint="eastAsia" w:eastAsia="仿宋_GB2312"/>
          <w:sz w:val="32"/>
          <w:szCs w:val="32"/>
        </w:rPr>
        <w:t>%；商品和服务支出</w:t>
      </w:r>
      <w:r>
        <w:rPr>
          <w:rFonts w:hint="eastAsia" w:eastAsia="仿宋_GB2312"/>
          <w:sz w:val="32"/>
          <w:szCs w:val="32"/>
          <w:lang w:val="en-US" w:eastAsia="zh-CN"/>
        </w:rPr>
        <w:t>47.86</w:t>
      </w:r>
      <w:r>
        <w:rPr>
          <w:rFonts w:hint="eastAsia" w:eastAsia="仿宋_GB2312"/>
          <w:sz w:val="32"/>
          <w:szCs w:val="32"/>
        </w:rPr>
        <w:t>万元，占</w:t>
      </w:r>
      <w:r>
        <w:rPr>
          <w:rFonts w:hint="eastAsia" w:eastAsia="仿宋_GB2312"/>
          <w:sz w:val="32"/>
          <w:szCs w:val="32"/>
          <w:lang w:val="en-US" w:eastAsia="zh-CN"/>
        </w:rPr>
        <w:t>5.55</w:t>
      </w:r>
      <w:r>
        <w:rPr>
          <w:rFonts w:hint="eastAsia" w:eastAsia="仿宋_GB2312"/>
          <w:sz w:val="32"/>
          <w:szCs w:val="32"/>
        </w:rPr>
        <w:t>%；对个人和家庭补助支出</w:t>
      </w:r>
      <w:r>
        <w:rPr>
          <w:rFonts w:hint="eastAsia" w:eastAsia="仿宋_GB2312"/>
          <w:sz w:val="32"/>
          <w:szCs w:val="32"/>
          <w:lang w:val="en-US" w:eastAsia="zh-CN"/>
        </w:rPr>
        <w:t>27.96</w:t>
      </w:r>
      <w:r>
        <w:rPr>
          <w:rFonts w:hint="eastAsia" w:eastAsia="仿宋_GB2312"/>
          <w:sz w:val="32"/>
          <w:szCs w:val="32"/>
        </w:rPr>
        <w:t>万元，占</w:t>
      </w:r>
      <w:r>
        <w:rPr>
          <w:rFonts w:hint="eastAsia" w:eastAsia="仿宋_GB2312"/>
          <w:sz w:val="32"/>
          <w:szCs w:val="32"/>
          <w:lang w:val="en-US" w:eastAsia="zh-CN"/>
        </w:rPr>
        <w:t>3.24</w:t>
      </w:r>
      <w:r>
        <w:rPr>
          <w:rFonts w:hint="eastAsia" w:eastAsia="仿宋_GB2312"/>
          <w:sz w:val="32"/>
          <w:szCs w:val="32"/>
        </w:rPr>
        <w:t>%；资本性支出支出</w:t>
      </w:r>
      <w:r>
        <w:rPr>
          <w:rFonts w:hint="eastAsia" w:eastAsia="仿宋_GB2312"/>
          <w:sz w:val="32"/>
          <w:szCs w:val="32"/>
          <w:lang w:val="en-US" w:eastAsia="zh-CN"/>
        </w:rPr>
        <w:t>352.41</w:t>
      </w:r>
      <w:r>
        <w:rPr>
          <w:rFonts w:hint="eastAsia" w:eastAsia="仿宋_GB2312"/>
          <w:sz w:val="32"/>
          <w:szCs w:val="32"/>
        </w:rPr>
        <w:t>万元，占</w:t>
      </w:r>
      <w:r>
        <w:rPr>
          <w:rFonts w:hint="eastAsia" w:eastAsia="仿宋_GB2312"/>
          <w:sz w:val="32"/>
          <w:szCs w:val="32"/>
          <w:lang w:val="en-US" w:eastAsia="zh-CN"/>
        </w:rPr>
        <w:t>40.9</w:t>
      </w:r>
      <w:r>
        <w:rPr>
          <w:rFonts w:hint="eastAsia" w:eastAsia="仿宋_GB2312"/>
          <w:sz w:val="32"/>
          <w:szCs w:val="32"/>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eastAsia="仿宋_GB2312"/>
          <w:sz w:val="32"/>
          <w:szCs w:val="32"/>
        </w:rPr>
      </w:pPr>
      <w:r>
        <w:rPr>
          <w:rFonts w:hint="eastAsia" w:eastAsia="仿宋_GB2312"/>
          <w:sz w:val="32"/>
          <w:szCs w:val="32"/>
        </w:rPr>
        <w:t>1.基本支出情况</w:t>
      </w:r>
    </w:p>
    <w:p>
      <w:pPr>
        <w:widowControl/>
        <w:spacing w:line="600" w:lineRule="exact"/>
        <w:ind w:firstLine="645"/>
        <w:jc w:val="left"/>
        <w:rPr>
          <w:rFonts w:hint="eastAsia" w:eastAsia="仿宋_GB2312"/>
          <w:sz w:val="32"/>
          <w:szCs w:val="32"/>
        </w:rPr>
      </w:pPr>
      <w:r>
        <w:rPr>
          <w:rFonts w:hint="eastAsia" w:eastAsia="仿宋_GB2312"/>
          <w:sz w:val="32"/>
          <w:szCs w:val="32"/>
        </w:rPr>
        <w:t>2023年本部门基本支出</w:t>
      </w:r>
      <w:r>
        <w:rPr>
          <w:rFonts w:hint="eastAsia" w:eastAsia="仿宋_GB2312"/>
          <w:sz w:val="32"/>
          <w:szCs w:val="32"/>
          <w:lang w:eastAsia="zh-CN"/>
        </w:rPr>
        <w:t>509.32</w:t>
      </w:r>
      <w:r>
        <w:rPr>
          <w:rFonts w:hint="eastAsia" w:eastAsia="仿宋_GB2312"/>
          <w:sz w:val="32"/>
          <w:szCs w:val="32"/>
        </w:rPr>
        <w:t>万元，其中：其中：工资福利支出433.49万元，占</w:t>
      </w:r>
      <w:r>
        <w:rPr>
          <w:rFonts w:hint="eastAsia" w:eastAsia="仿宋_GB2312"/>
          <w:sz w:val="32"/>
          <w:szCs w:val="32"/>
          <w:lang w:val="en-US" w:eastAsia="zh-CN"/>
        </w:rPr>
        <w:t>85.11</w:t>
      </w:r>
      <w:r>
        <w:rPr>
          <w:rFonts w:hint="eastAsia" w:eastAsia="仿宋_GB2312"/>
          <w:sz w:val="32"/>
          <w:szCs w:val="32"/>
        </w:rPr>
        <w:t>%；商品和服务支出47.86万元，占</w:t>
      </w:r>
      <w:r>
        <w:rPr>
          <w:rFonts w:hint="eastAsia" w:eastAsia="仿宋_GB2312"/>
          <w:sz w:val="32"/>
          <w:szCs w:val="32"/>
          <w:lang w:val="en-US" w:eastAsia="zh-CN"/>
        </w:rPr>
        <w:t>9.4</w:t>
      </w:r>
      <w:r>
        <w:rPr>
          <w:rFonts w:hint="eastAsia" w:eastAsia="仿宋_GB2312"/>
          <w:sz w:val="32"/>
          <w:szCs w:val="32"/>
        </w:rPr>
        <w:t>%；对个人和家庭补助支出27.96万元，占</w:t>
      </w:r>
      <w:r>
        <w:rPr>
          <w:rFonts w:hint="eastAsia" w:eastAsia="仿宋_GB2312"/>
          <w:sz w:val="32"/>
          <w:szCs w:val="32"/>
          <w:lang w:val="en-US" w:eastAsia="zh-CN"/>
        </w:rPr>
        <w:t>5.49</w:t>
      </w:r>
      <w:r>
        <w:rPr>
          <w:rFonts w:hint="eastAsia" w:eastAsia="仿宋_GB2312"/>
          <w:sz w:val="32"/>
          <w:szCs w:val="32"/>
        </w:rPr>
        <w:t>%；资本性支出支出</w:t>
      </w:r>
      <w:r>
        <w:rPr>
          <w:rFonts w:hint="eastAsia" w:eastAsia="仿宋_GB2312"/>
          <w:sz w:val="32"/>
          <w:szCs w:val="32"/>
          <w:lang w:val="en-US" w:eastAsia="zh-CN"/>
        </w:rPr>
        <w:t>0</w:t>
      </w:r>
      <w:r>
        <w:rPr>
          <w:rFonts w:hint="eastAsia" w:eastAsia="仿宋_GB2312"/>
          <w:sz w:val="32"/>
          <w:szCs w:val="32"/>
        </w:rPr>
        <w:t>万元，占</w:t>
      </w:r>
      <w:r>
        <w:rPr>
          <w:rFonts w:hint="eastAsia" w:eastAsia="仿宋_GB2312"/>
          <w:sz w:val="32"/>
          <w:szCs w:val="32"/>
          <w:lang w:val="en-US" w:eastAsia="zh-CN"/>
        </w:rPr>
        <w:t>0</w:t>
      </w:r>
      <w:r>
        <w:rPr>
          <w:rFonts w:hint="eastAsia" w:eastAsia="仿宋_GB2312"/>
          <w:sz w:val="32"/>
          <w:szCs w:val="32"/>
        </w:rPr>
        <w:t>%。</w:t>
      </w:r>
    </w:p>
    <w:p>
      <w:pPr>
        <w:widowControl/>
        <w:spacing w:line="600" w:lineRule="exact"/>
        <w:ind w:firstLine="645"/>
        <w:jc w:val="left"/>
        <w:rPr>
          <w:rFonts w:eastAsia="仿宋_GB2312"/>
          <w:sz w:val="32"/>
          <w:szCs w:val="32"/>
        </w:rPr>
      </w:pPr>
      <w:r>
        <w:rPr>
          <w:rFonts w:hint="eastAsia" w:eastAsia="仿宋_GB2312"/>
          <w:sz w:val="32"/>
          <w:szCs w:val="32"/>
        </w:rPr>
        <w:t>2.项目支出情况</w:t>
      </w:r>
    </w:p>
    <w:p>
      <w:pPr>
        <w:widowControl/>
        <w:spacing w:line="600" w:lineRule="exact"/>
        <w:ind w:firstLine="645"/>
        <w:jc w:val="left"/>
        <w:rPr>
          <w:rFonts w:eastAsia="仿宋_GB2312"/>
          <w:sz w:val="32"/>
          <w:szCs w:val="32"/>
        </w:rPr>
      </w:pPr>
      <w:r>
        <w:rPr>
          <w:rFonts w:hint="eastAsia" w:eastAsia="仿宋_GB2312"/>
          <w:sz w:val="32"/>
          <w:szCs w:val="32"/>
        </w:rPr>
        <w:t>2023年度专项资金安排和使用管理情况：</w:t>
      </w:r>
    </w:p>
    <w:p>
      <w:pPr>
        <w:widowControl/>
        <w:spacing w:line="600" w:lineRule="exact"/>
        <w:ind w:firstLine="645"/>
        <w:jc w:val="left"/>
        <w:rPr>
          <w:rFonts w:hint="eastAsia" w:eastAsia="仿宋_GB2312"/>
          <w:sz w:val="32"/>
          <w:szCs w:val="32"/>
          <w:lang w:eastAsia="zh-CN"/>
        </w:rPr>
      </w:pPr>
      <w:r>
        <w:rPr>
          <w:rFonts w:hint="eastAsia" w:eastAsia="仿宋_GB2312"/>
          <w:sz w:val="32"/>
          <w:szCs w:val="32"/>
        </w:rPr>
        <w:t>本单位2023年项目支出</w:t>
      </w:r>
      <w:r>
        <w:rPr>
          <w:rFonts w:hint="eastAsia" w:eastAsia="仿宋_GB2312"/>
          <w:sz w:val="32"/>
          <w:szCs w:val="32"/>
          <w:lang w:val="en-US" w:eastAsia="zh-CN"/>
        </w:rPr>
        <w:t>352.41</w:t>
      </w:r>
      <w:r>
        <w:rPr>
          <w:rFonts w:hint="eastAsia" w:eastAsia="仿宋_GB2312"/>
          <w:sz w:val="32"/>
          <w:szCs w:val="32"/>
        </w:rPr>
        <w:t>万元</w:t>
      </w:r>
      <w:r>
        <w:rPr>
          <w:rFonts w:hint="eastAsia" w:eastAsia="仿宋_GB2312"/>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widowControl/>
        <w:spacing w:line="600" w:lineRule="exact"/>
        <w:ind w:firstLine="640" w:firstLineChars="200"/>
        <w:jc w:val="left"/>
        <w:rPr>
          <w:rFonts w:eastAsia="仿宋_GB2312"/>
          <w:sz w:val="32"/>
          <w:szCs w:val="32"/>
        </w:rPr>
      </w:pPr>
      <w:r>
        <w:rPr>
          <w:rFonts w:hint="eastAsia" w:eastAsia="仿宋_GB2312"/>
          <w:sz w:val="32"/>
          <w:szCs w:val="32"/>
        </w:rPr>
        <w:t>三公经费总额总体控制较好，严格控制招待经费支出，较去年同期下降</w:t>
      </w:r>
      <w:r>
        <w:rPr>
          <w:rFonts w:hint="eastAsia" w:eastAsia="仿宋_GB2312"/>
          <w:sz w:val="32"/>
          <w:szCs w:val="32"/>
          <w:lang w:val="en-US" w:eastAsia="zh-CN"/>
        </w:rPr>
        <w:t>0</w:t>
      </w:r>
      <w:r>
        <w:rPr>
          <w:rFonts w:hint="eastAsia" w:eastAsia="仿宋_GB2312"/>
          <w:sz w:val="32"/>
          <w:szCs w:val="32"/>
        </w:rPr>
        <w:t>%。</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2023年本单位动用年初结转结余资金</w:t>
      </w:r>
      <w:r>
        <w:rPr>
          <w:rFonts w:hint="eastAsia" w:eastAsia="仿宋_GB2312"/>
          <w:sz w:val="32"/>
          <w:szCs w:val="32"/>
          <w:lang w:val="en-US" w:eastAsia="zh-CN"/>
        </w:rPr>
        <w:t>10.33</w:t>
      </w:r>
      <w:r>
        <w:rPr>
          <w:rFonts w:hint="eastAsia" w:eastAsia="仿宋_GB2312"/>
          <w:sz w:val="32"/>
          <w:szCs w:val="32"/>
        </w:rPr>
        <w:t>万元，年末无结转结余资金。</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本单位依据《中小学校财务制度》、《湖南省义务教育教育经费管理办法》等相关制度，制定了本单位财务管理制度，加强单位财务管理与整体支出管理。</w:t>
      </w:r>
    </w:p>
    <w:p>
      <w:pPr>
        <w:widowControl/>
        <w:spacing w:line="600" w:lineRule="exact"/>
        <w:ind w:firstLine="645"/>
        <w:jc w:val="left"/>
        <w:rPr>
          <w:rFonts w:eastAsia="黑体"/>
          <w:sz w:val="32"/>
          <w:szCs w:val="32"/>
        </w:rPr>
      </w:pPr>
      <w:r>
        <w:rPr>
          <w:rFonts w:hint="eastAsia" w:eastAsia="黑体"/>
          <w:sz w:val="32"/>
          <w:szCs w:val="32"/>
        </w:rPr>
        <w:t>三、政府性基金预算支出情况</w:t>
      </w:r>
    </w:p>
    <w:p>
      <w:pPr>
        <w:widowControl/>
        <w:spacing w:line="600" w:lineRule="exact"/>
        <w:ind w:firstLine="645"/>
        <w:jc w:val="left"/>
        <w:rPr>
          <w:rFonts w:eastAsia="仿宋_GB2312"/>
          <w:sz w:val="32"/>
          <w:szCs w:val="32"/>
        </w:rPr>
      </w:pP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国有资本经营预算支出情况</w:t>
      </w:r>
    </w:p>
    <w:p>
      <w:pPr>
        <w:widowControl/>
        <w:spacing w:line="600" w:lineRule="exact"/>
        <w:jc w:val="left"/>
        <w:rPr>
          <w:rFonts w:eastAsia="黑体"/>
          <w:sz w:val="32"/>
          <w:szCs w:val="32"/>
        </w:rPr>
      </w:pPr>
      <w:r>
        <w:rPr>
          <w:rFonts w:hint="eastAsia" w:eastAsia="黑体"/>
          <w:sz w:val="32"/>
          <w:szCs w:val="32"/>
        </w:rPr>
        <w:t xml:space="preserve">    </w:t>
      </w: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社会保险基金预算支出情况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无</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widowControl/>
        <w:spacing w:line="600" w:lineRule="exact"/>
        <w:ind w:firstLine="645"/>
        <w:jc w:val="left"/>
        <w:rPr>
          <w:rFonts w:eastAsia="仿宋_GB2312"/>
          <w:sz w:val="32"/>
          <w:szCs w:val="32"/>
        </w:rPr>
      </w:pPr>
      <w:r>
        <w:rPr>
          <w:rFonts w:hint="eastAsia" w:eastAsia="仿宋_GB2312"/>
          <w:sz w:val="32"/>
          <w:szCs w:val="32"/>
        </w:rPr>
        <w:t>2023年本单位部门整体支出综合评价情况良好，预算配置、执行、管理、资产管理、绩效管理、职责履行执行及完成情况良好，社会公众或服务对象满意度较高。</w:t>
      </w:r>
    </w:p>
    <w:p>
      <w:pPr>
        <w:widowControl/>
        <w:spacing w:line="600" w:lineRule="exact"/>
        <w:ind w:firstLine="645"/>
        <w:jc w:val="left"/>
        <w:rPr>
          <w:rFonts w:eastAsia="黑体"/>
          <w:sz w:val="32"/>
          <w:szCs w:val="32"/>
        </w:rPr>
      </w:pPr>
      <w:r>
        <w:rPr>
          <w:rFonts w:hint="eastAsia" w:eastAsia="黑体"/>
          <w:sz w:val="32"/>
          <w:szCs w:val="32"/>
        </w:rPr>
        <w:t>七、存在的问题及原因分析</w:t>
      </w:r>
    </w:p>
    <w:p>
      <w:pPr>
        <w:widowControl/>
        <w:spacing w:line="600" w:lineRule="exact"/>
        <w:ind w:firstLine="645"/>
        <w:jc w:val="left"/>
        <w:rPr>
          <w:rFonts w:eastAsia="仿宋_GB2312"/>
          <w:sz w:val="32"/>
          <w:szCs w:val="32"/>
        </w:rPr>
      </w:pPr>
      <w:r>
        <w:rPr>
          <w:rFonts w:hint="eastAsia" w:eastAsia="仿宋_GB2312"/>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pPr>
        <w:widowControl/>
        <w:numPr>
          <w:ilvl w:val="0"/>
          <w:numId w:val="4"/>
        </w:numPr>
        <w:spacing w:line="600" w:lineRule="exact"/>
        <w:ind w:firstLine="645"/>
        <w:jc w:val="left"/>
        <w:rPr>
          <w:rFonts w:eastAsia="黑体"/>
          <w:sz w:val="32"/>
          <w:szCs w:val="32"/>
        </w:rPr>
      </w:pPr>
      <w:r>
        <w:rPr>
          <w:rFonts w:hint="eastAsia" w:eastAsia="黑体"/>
          <w:sz w:val="32"/>
          <w:szCs w:val="32"/>
        </w:rPr>
        <w:t>下一步改进措施</w:t>
      </w:r>
    </w:p>
    <w:p>
      <w:pPr>
        <w:widowControl/>
        <w:spacing w:line="600" w:lineRule="exact"/>
        <w:ind w:firstLine="645"/>
        <w:jc w:val="left"/>
        <w:rPr>
          <w:rFonts w:eastAsia="仿宋_GB2312"/>
          <w:sz w:val="32"/>
          <w:szCs w:val="32"/>
        </w:rPr>
      </w:pPr>
      <w:r>
        <w:rPr>
          <w:rFonts w:hint="eastAsia" w:eastAsia="仿宋_GB2312"/>
          <w:sz w:val="32"/>
          <w:szCs w:val="32"/>
        </w:rPr>
        <w:t>进一步规范绩效评价管理资料的收集整理，确保相关信息完整、可靠，客观公正地反映资金实际使用和产生的绩效状况，为今后资金实施方向及管理方式的改进提供指导。</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hint="eastAsia" w:ascii="仿宋" w:hAnsi="仿宋" w:eastAsia="仿宋" w:cs="仿宋"/>
          <w:sz w:val="32"/>
          <w:szCs w:val="32"/>
        </w:rPr>
      </w:pPr>
    </w:p>
    <w:p>
      <w:pPr>
        <w:rPr>
          <w:rFonts w:hint="eastAsia" w:ascii="仿宋" w:hAnsi="仿宋" w:eastAsia="仿宋" w:cs="仿宋"/>
          <w:sz w:val="32"/>
          <w:szCs w:val="32"/>
        </w:rPr>
        <w:sectPr>
          <w:footerReference r:id="rId5" w:type="default"/>
          <w:pgSz w:w="11905" w:h="16837"/>
          <w:pgMar w:top="1417" w:right="1417" w:bottom="1417" w:left="1417" w:header="0" w:footer="0" w:gutter="0"/>
          <w:pgNumType w:start="1"/>
          <w:cols w:space="0" w:num="1"/>
          <w:docGrid w:linePitch="636" w:charSpace="0"/>
        </w:sectPr>
      </w:pPr>
    </w:p>
    <w:p>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color w:val="000000"/>
          <w:kern w:val="0"/>
          <w:sz w:val="36"/>
          <w:szCs w:val="36"/>
          <w:lang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一级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870"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二级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105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三级指标</w:t>
            </w:r>
          </w:p>
        </w:tc>
        <w:tc>
          <w:tcPr>
            <w:tcW w:w="49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257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指标说明</w:t>
            </w:r>
          </w:p>
        </w:tc>
        <w:tc>
          <w:tcPr>
            <w:tcW w:w="5112"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211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评价依据</w:t>
            </w:r>
          </w:p>
        </w:tc>
        <w:tc>
          <w:tcPr>
            <w:tcW w:w="586"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投入</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14</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目标</w:t>
            </w:r>
          </w:p>
          <w:p>
            <w:pPr>
              <w:widowControl/>
              <w:jc w:val="center"/>
              <w:textAlignment w:val="center"/>
              <w:rPr>
                <w:rStyle w:val="13"/>
                <w:rFonts w:hint="default"/>
                <w:lang w:bidi="ar"/>
              </w:rPr>
            </w:pPr>
            <w:r>
              <w:rPr>
                <w:rStyle w:val="13"/>
                <w:rFonts w:hint="default"/>
                <w:lang w:bidi="ar"/>
              </w:rPr>
              <w:t>设定</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绩效目标</w:t>
            </w:r>
          </w:p>
          <w:p>
            <w:pPr>
              <w:widowControl/>
              <w:jc w:val="center"/>
              <w:textAlignment w:val="center"/>
              <w:rPr>
                <w:rFonts w:ascii="Times New Roman" w:hAnsi="Times New Roman"/>
                <w:color w:val="000000"/>
                <w:sz w:val="18"/>
                <w:szCs w:val="18"/>
              </w:rPr>
            </w:pPr>
            <w:r>
              <w:rPr>
                <w:rStyle w:val="13"/>
                <w:rFonts w:hint="default"/>
                <w:lang w:bidi="ar"/>
              </w:rPr>
              <w:t>合理性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①是否符合国家法律法规、国民经济和社会发展总体规划；</w:t>
            </w:r>
          </w:p>
          <w:p>
            <w:pPr>
              <w:widowControl/>
              <w:jc w:val="left"/>
              <w:textAlignment w:val="center"/>
              <w:rPr>
                <w:rStyle w:val="13"/>
                <w:rFonts w:hint="default"/>
                <w:lang w:bidi="ar"/>
              </w:rPr>
            </w:pPr>
            <w:r>
              <w:rPr>
                <w:rStyle w:val="13"/>
                <w:rFonts w:hint="default"/>
                <w:lang w:bidi="ar"/>
              </w:rPr>
              <w:t>②是否符合部门</w:t>
            </w:r>
            <w:r>
              <w:rPr>
                <w:rStyle w:val="14"/>
                <w:lang w:bidi="ar"/>
              </w:rPr>
              <w:t>“</w:t>
            </w:r>
            <w:r>
              <w:rPr>
                <w:rStyle w:val="13"/>
                <w:rFonts w:hint="default"/>
                <w:lang w:bidi="ar"/>
              </w:rPr>
              <w:t>三定</w:t>
            </w:r>
            <w:r>
              <w:rPr>
                <w:rStyle w:val="14"/>
                <w:lang w:bidi="ar"/>
              </w:rPr>
              <w:t>”</w:t>
            </w:r>
            <w:r>
              <w:rPr>
                <w:rStyle w:val="13"/>
                <w:rFonts w:hint="default"/>
                <w:lang w:bidi="ar"/>
              </w:rPr>
              <w:t>方案确定的职责；</w:t>
            </w:r>
          </w:p>
          <w:p>
            <w:pPr>
              <w:widowControl/>
              <w:jc w:val="left"/>
              <w:textAlignment w:val="center"/>
              <w:rPr>
                <w:rStyle w:val="13"/>
                <w:rFonts w:hint="default"/>
                <w:lang w:bidi="ar"/>
              </w:rPr>
            </w:pPr>
            <w:r>
              <w:rPr>
                <w:rStyle w:val="13"/>
                <w:rFonts w:hint="default"/>
                <w:lang w:bidi="ar"/>
              </w:rPr>
              <w:t>③是否符合部门制定的中长期实施规划。</w:t>
            </w:r>
          </w:p>
          <w:p>
            <w:pPr>
              <w:widowControl/>
              <w:jc w:val="left"/>
              <w:textAlignment w:val="center"/>
              <w:rPr>
                <w:rFonts w:hint="eastAsia" w:ascii="宋体" w:hAnsi="宋体" w:cs="宋体"/>
                <w:color w:val="000000"/>
                <w:sz w:val="18"/>
                <w:szCs w:val="18"/>
              </w:rPr>
            </w:pPr>
            <w:r>
              <w:rPr>
                <w:rStyle w:val="13"/>
                <w:rFonts w:hint="default"/>
                <w:lang w:bidi="ar"/>
              </w:rPr>
              <w:t>以上各项每发现一起不符合要求扣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绩效目标申报表；本县国民经济和社会发展规划；</w:t>
            </w:r>
            <w:r>
              <w:rPr>
                <w:rStyle w:val="14"/>
                <w:lang w:bidi="ar"/>
              </w:rPr>
              <w:t>“</w:t>
            </w:r>
            <w:r>
              <w:rPr>
                <w:rStyle w:val="13"/>
                <w:rFonts w:hint="default"/>
                <w:lang w:bidi="ar"/>
              </w:rPr>
              <w:t>三定</w:t>
            </w:r>
            <w:r>
              <w:rPr>
                <w:rStyle w:val="14"/>
                <w:lang w:bidi="ar"/>
              </w:rPr>
              <w:t>”</w:t>
            </w:r>
            <w:r>
              <w:rPr>
                <w:rStyle w:val="13"/>
                <w:rFonts w:hint="default"/>
                <w:lang w:bidi="ar"/>
              </w:rPr>
              <w:t>方案；部门职责；部门制定的中长期实施规划等。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绩效指标</w:t>
            </w:r>
          </w:p>
          <w:p>
            <w:pPr>
              <w:widowControl/>
              <w:jc w:val="center"/>
              <w:textAlignment w:val="center"/>
              <w:rPr>
                <w:rFonts w:ascii="Times New Roman" w:hAnsi="Times New Roman"/>
                <w:color w:val="000000"/>
                <w:sz w:val="18"/>
                <w:szCs w:val="18"/>
              </w:rPr>
            </w:pPr>
            <w:r>
              <w:rPr>
                <w:rStyle w:val="13"/>
                <w:rFonts w:hint="default"/>
                <w:lang w:bidi="ar"/>
              </w:rPr>
              <w:t>明确性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部门（单位）依据整体绩效目标所设定的绩效指标是否清晰、细化、可衡量，用以反映和考核部门整体绩效目标的明细化情况。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①有目标，计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②目标明确，细化量化良好，个性指标中量化指标超过</w:t>
            </w:r>
            <w:r>
              <w:rPr>
                <w:rStyle w:val="14"/>
                <w:lang w:bidi="ar"/>
              </w:rPr>
              <w:t>3</w:t>
            </w:r>
            <w:r>
              <w:rPr>
                <w:rStyle w:val="13"/>
                <w:rFonts w:hint="default"/>
                <w:lang w:bidi="ar"/>
              </w:rPr>
              <w:t>个，计</w:t>
            </w:r>
            <w:r>
              <w:rPr>
                <w:rStyle w:val="14"/>
                <w:lang w:bidi="ar"/>
              </w:rPr>
              <w:t>1</w:t>
            </w:r>
            <w:r>
              <w:rPr>
                <w:rStyle w:val="13"/>
                <w:rFonts w:hint="default"/>
                <w:lang w:bidi="ar"/>
              </w:rPr>
              <w:t>分，量化指标为</w:t>
            </w:r>
            <w:r>
              <w:rPr>
                <w:rStyle w:val="14"/>
                <w:lang w:bidi="ar"/>
              </w:rPr>
              <w:t>2</w:t>
            </w:r>
            <w:r>
              <w:rPr>
                <w:rStyle w:val="13"/>
                <w:rFonts w:hint="default"/>
                <w:lang w:bidi="ar"/>
              </w:rPr>
              <w:t>个，计</w:t>
            </w:r>
            <w:r>
              <w:rPr>
                <w:rStyle w:val="14"/>
                <w:lang w:bidi="ar"/>
              </w:rPr>
              <w:t>0.5</w:t>
            </w:r>
            <w:r>
              <w:rPr>
                <w:rStyle w:val="13"/>
                <w:rFonts w:hint="default"/>
                <w:lang w:bidi="ar"/>
              </w:rPr>
              <w:t>分，</w:t>
            </w:r>
            <w:r>
              <w:rPr>
                <w:rStyle w:val="14"/>
                <w:lang w:bidi="ar"/>
              </w:rPr>
              <w:t>2</w:t>
            </w:r>
            <w:r>
              <w:rPr>
                <w:rStyle w:val="13"/>
                <w:rFonts w:hint="default"/>
                <w:lang w:bidi="ar"/>
              </w:rPr>
              <w:t>个以下不得分；</w:t>
            </w:r>
          </w:p>
          <w:p>
            <w:pPr>
              <w:widowControl/>
              <w:jc w:val="left"/>
              <w:textAlignment w:val="center"/>
              <w:rPr>
                <w:rStyle w:val="13"/>
                <w:rFonts w:hint="default"/>
                <w:lang w:bidi="ar"/>
              </w:rPr>
            </w:pPr>
            <w:r>
              <w:rPr>
                <w:rStyle w:val="13"/>
                <w:rFonts w:hint="default"/>
                <w:lang w:bidi="ar"/>
              </w:rPr>
              <w:t>③与年度任务数或计划数相对应，计</w:t>
            </w:r>
            <w:r>
              <w:rPr>
                <w:rStyle w:val="14"/>
                <w:lang w:bidi="ar"/>
              </w:rPr>
              <w:t>1</w:t>
            </w:r>
            <w:r>
              <w:rPr>
                <w:rStyle w:val="13"/>
                <w:rFonts w:hint="default"/>
                <w:lang w:bidi="ar"/>
              </w:rPr>
              <w:t>分，大于</w:t>
            </w:r>
            <w:r>
              <w:rPr>
                <w:rStyle w:val="14"/>
                <w:lang w:bidi="ar"/>
              </w:rPr>
              <w:t>50%</w:t>
            </w:r>
            <w:r>
              <w:rPr>
                <w:rStyle w:val="13"/>
                <w:rFonts w:hint="default"/>
                <w:lang w:bidi="ar"/>
              </w:rPr>
              <w:t>计</w:t>
            </w:r>
            <w:r>
              <w:rPr>
                <w:rStyle w:val="14"/>
                <w:lang w:bidi="ar"/>
              </w:rPr>
              <w:t>0.5</w:t>
            </w:r>
            <w:r>
              <w:rPr>
                <w:rStyle w:val="13"/>
                <w:rFonts w:hint="default"/>
                <w:lang w:bidi="ar"/>
              </w:rPr>
              <w:t>分，对应低于</w:t>
            </w:r>
            <w:r>
              <w:rPr>
                <w:rStyle w:val="14"/>
                <w:lang w:bidi="ar"/>
              </w:rPr>
              <w:t>50%</w:t>
            </w:r>
            <w:r>
              <w:rPr>
                <w:rStyle w:val="13"/>
                <w:rFonts w:hint="default"/>
                <w:lang w:bidi="ar"/>
              </w:rPr>
              <w:t>不计分；</w:t>
            </w:r>
          </w:p>
          <w:p>
            <w:pPr>
              <w:widowControl/>
              <w:jc w:val="left"/>
              <w:textAlignment w:val="center"/>
              <w:rPr>
                <w:rFonts w:ascii="Times New Roman" w:hAnsi="Times New Roman"/>
                <w:color w:val="000000"/>
                <w:sz w:val="18"/>
                <w:szCs w:val="18"/>
              </w:rPr>
            </w:pPr>
            <w:r>
              <w:rPr>
                <w:rStyle w:val="13"/>
                <w:rFonts w:hint="default"/>
                <w:lang w:bidi="ar"/>
              </w:rPr>
              <w:t>④目标与资金匹配良好，逻辑关系明确，计</w:t>
            </w:r>
            <w:r>
              <w:rPr>
                <w:rStyle w:val="14"/>
                <w:lang w:bidi="ar"/>
              </w:rPr>
              <w:t>1</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绩效目标申报表；年度任务数或计划数；预算批复等。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配置</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人员</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部门（单位）本年度实际在职人员数与编制数的比率，用以反映和考核部门（单位）对人员成本的控制程度。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在职人员控制率</w:t>
            </w:r>
            <w:r>
              <w:rPr>
                <w:rStyle w:val="14"/>
                <w:lang w:bidi="ar"/>
              </w:rPr>
              <w:t>=</w:t>
            </w:r>
            <w:r>
              <w:rPr>
                <w:rStyle w:val="13"/>
                <w:rFonts w:hint="default"/>
                <w:lang w:bidi="ar"/>
              </w:rPr>
              <w:t>（在职人员数</w:t>
            </w:r>
            <w:r>
              <w:rPr>
                <w:rStyle w:val="14"/>
                <w:lang w:bidi="ar"/>
              </w:rPr>
              <w:t>/</w:t>
            </w:r>
            <w:r>
              <w:rPr>
                <w:rStyle w:val="13"/>
                <w:rFonts w:hint="default"/>
                <w:lang w:bidi="ar"/>
              </w:rPr>
              <w:t>编制数）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在职人员数：部门（单位）实际在职人数</w:t>
            </w:r>
            <w:r>
              <w:rPr>
                <w:rStyle w:val="14"/>
                <w:lang w:bidi="ar"/>
              </w:rPr>
              <w:t>,</w:t>
            </w:r>
            <w:r>
              <w:rPr>
                <w:rStyle w:val="13"/>
                <w:rFonts w:hint="default"/>
                <w:lang w:bidi="ar"/>
              </w:rPr>
              <w:t>以财政部门确定的部门决算编制口径为准。</w:t>
            </w:r>
          </w:p>
          <w:p>
            <w:pPr>
              <w:widowControl/>
              <w:jc w:val="left"/>
              <w:textAlignment w:val="center"/>
              <w:rPr>
                <w:rStyle w:val="14"/>
                <w:lang w:bidi="ar"/>
              </w:rPr>
            </w:pPr>
            <w:r>
              <w:rPr>
                <w:rStyle w:val="13"/>
                <w:rFonts w:hint="default"/>
                <w:lang w:bidi="ar"/>
              </w:rPr>
              <w:t>编制数：机构编制部门核定批复的部门（单位）人员编制数。</w:t>
            </w:r>
            <w:r>
              <w:rPr>
                <w:rStyle w:val="14"/>
                <w:lang w:bidi="ar"/>
              </w:rPr>
              <w:t xml:space="preserve">   </w:t>
            </w:r>
          </w:p>
          <w:p>
            <w:pPr>
              <w:widowControl/>
              <w:jc w:val="left"/>
              <w:textAlignment w:val="center"/>
              <w:rPr>
                <w:rFonts w:ascii="Times New Roman" w:hAnsi="Times New Roman"/>
                <w:color w:val="000000"/>
                <w:sz w:val="18"/>
                <w:szCs w:val="18"/>
              </w:rPr>
            </w:pPr>
            <w:r>
              <w:rPr>
                <w:rStyle w:val="13"/>
                <w:rFonts w:hint="default"/>
                <w:lang w:bidi="ar"/>
              </w:rPr>
              <w:t>在职人员控制率≦</w:t>
            </w:r>
            <w:r>
              <w:rPr>
                <w:rStyle w:val="14"/>
                <w:lang w:bidi="ar"/>
              </w:rPr>
              <w:t>100%</w:t>
            </w:r>
            <w:r>
              <w:rPr>
                <w:rStyle w:val="13"/>
                <w:rFonts w:hint="default"/>
                <w:lang w:bidi="ar"/>
              </w:rPr>
              <w:t>计</w:t>
            </w:r>
            <w:r>
              <w:rPr>
                <w:rStyle w:val="14"/>
                <w:lang w:bidi="ar"/>
              </w:rPr>
              <w:t>2</w:t>
            </w:r>
            <w:r>
              <w:rPr>
                <w:rStyle w:val="13"/>
                <w:rFonts w:hint="default"/>
                <w:lang w:bidi="ar"/>
              </w:rPr>
              <w:t>分，每超出</w:t>
            </w:r>
            <w:r>
              <w:rPr>
                <w:rStyle w:val="14"/>
                <w:lang w:bidi="ar"/>
              </w:rPr>
              <w:t>1%</w:t>
            </w:r>
            <w:r>
              <w:rPr>
                <w:rStyle w:val="13"/>
                <w:rFonts w:hint="default"/>
                <w:lang w:bidi="ar"/>
              </w:rPr>
              <w:t>扣</w:t>
            </w:r>
            <w:r>
              <w:rPr>
                <w:rStyle w:val="14"/>
                <w:lang w:bidi="ar"/>
              </w:rPr>
              <w:t>0.2</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部门（单位）决算报表；机构编制部门核定批复的部门（单位）的人员编制数。</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变动率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w:t>
            </w:r>
            <w:r>
              <w:rPr>
                <w:rStyle w:val="14"/>
                <w:lang w:bidi="ar"/>
              </w:rPr>
              <w:t>“</w:t>
            </w:r>
            <w:r>
              <w:rPr>
                <w:rStyle w:val="13"/>
                <w:rFonts w:hint="default"/>
                <w:lang w:bidi="ar"/>
              </w:rPr>
              <w:t>三公经费</w:t>
            </w:r>
            <w:r>
              <w:rPr>
                <w:rStyle w:val="14"/>
                <w:lang w:bidi="ar"/>
              </w:rPr>
              <w:t>”</w:t>
            </w:r>
            <w:r>
              <w:rPr>
                <w:rStyle w:val="13"/>
                <w:rFonts w:hint="default"/>
                <w:lang w:bidi="ar"/>
              </w:rPr>
              <w:t>预算数与上年度</w:t>
            </w:r>
            <w:r>
              <w:rPr>
                <w:rStyle w:val="14"/>
                <w:lang w:bidi="ar"/>
              </w:rPr>
              <w:t>“</w:t>
            </w:r>
            <w:r>
              <w:rPr>
                <w:rStyle w:val="13"/>
                <w:rFonts w:hint="default"/>
                <w:lang w:bidi="ar"/>
              </w:rPr>
              <w:t>三公经费</w:t>
            </w:r>
            <w:r>
              <w:rPr>
                <w:rStyle w:val="14"/>
                <w:lang w:bidi="ar"/>
              </w:rPr>
              <w:t>”</w:t>
            </w:r>
            <w:r>
              <w:rPr>
                <w:rStyle w:val="13"/>
                <w:rFonts w:hint="default"/>
                <w:lang w:bidi="ar"/>
              </w:rPr>
              <w:t>预算数的变动比率，用以反映和考核部门对控制重点行政成本的努力程度。</w:t>
            </w:r>
          </w:p>
        </w:tc>
        <w:tc>
          <w:tcPr>
            <w:tcW w:w="5112" w:type="dxa"/>
            <w:tcBorders>
              <w:tl2br w:val="nil"/>
              <w:tr2bl w:val="nil"/>
            </w:tcBorders>
            <w:vAlign w:val="center"/>
          </w:tcPr>
          <w:p>
            <w:pPr>
              <w:widowControl/>
              <w:jc w:val="left"/>
              <w:textAlignment w:val="center"/>
              <w:rPr>
                <w:rStyle w:val="14"/>
                <w:lang w:bidi="ar"/>
              </w:rPr>
            </w:pPr>
          </w:p>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变动率</w:t>
            </w:r>
            <w:r>
              <w:rPr>
                <w:rStyle w:val="14"/>
                <w:lang w:bidi="ar"/>
              </w:rPr>
              <w:t>=[</w:t>
            </w:r>
            <w:r>
              <w:rPr>
                <w:rStyle w:val="13"/>
                <w:rFonts w:hint="default"/>
                <w:lang w:bidi="ar"/>
              </w:rPr>
              <w:t>（本年度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]×100%</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：年度预算安排的因公出国（境）费、公务车辆购置及运行费和公务招待费。</w:t>
            </w:r>
          </w:p>
          <w:p>
            <w:pPr>
              <w:widowControl/>
              <w:jc w:val="left"/>
              <w:textAlignment w:val="center"/>
              <w:rPr>
                <w:rFonts w:ascii="Times New Roman" w:hAnsi="Times New Roman"/>
                <w:color w:val="000000"/>
                <w:sz w:val="18"/>
                <w:szCs w:val="18"/>
              </w:rPr>
            </w:pPr>
            <w:r>
              <w:rPr>
                <w:rStyle w:val="13"/>
                <w:rFonts w:hint="default"/>
                <w:lang w:bidi="ar"/>
              </w:rPr>
              <w:t>该项得分，变动率为负数，计</w:t>
            </w:r>
            <w:r>
              <w:rPr>
                <w:rStyle w:val="14"/>
                <w:lang w:bidi="ar"/>
              </w:rPr>
              <w:t>2</w:t>
            </w:r>
            <w:r>
              <w:rPr>
                <w:rStyle w:val="13"/>
                <w:rFonts w:hint="default"/>
                <w:lang w:bidi="ar"/>
              </w:rPr>
              <w:t>分，变动率为正数，计</w:t>
            </w:r>
            <w:r>
              <w:rPr>
                <w:rStyle w:val="14"/>
                <w:lang w:bidi="ar"/>
              </w:rPr>
              <w:t>0</w:t>
            </w:r>
            <w:r>
              <w:rPr>
                <w:rStyle w:val="13"/>
                <w:rFonts w:hint="default"/>
                <w:lang w:bidi="ar"/>
              </w:rPr>
              <w:t>分。年度内</w:t>
            </w:r>
            <w:r>
              <w:rPr>
                <w:rStyle w:val="14"/>
                <w:lang w:bidi="ar"/>
              </w:rPr>
              <w:t>“</w:t>
            </w:r>
            <w:r>
              <w:rPr>
                <w:rStyle w:val="13"/>
                <w:rFonts w:hint="default"/>
                <w:lang w:bidi="ar"/>
              </w:rPr>
              <w:t>三公经费</w:t>
            </w:r>
            <w:r>
              <w:rPr>
                <w:rStyle w:val="14"/>
                <w:lang w:bidi="ar"/>
              </w:rPr>
              <w:t>”</w:t>
            </w:r>
            <w:r>
              <w:rPr>
                <w:rStyle w:val="13"/>
                <w:rFonts w:hint="default"/>
                <w:lang w:bidi="ar"/>
              </w:rPr>
              <w:t>完成数超过预算数，则该项计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本年度和上年度部门（单位）预算</w:t>
            </w:r>
            <w:r>
              <w:rPr>
                <w:rStyle w:val="14"/>
                <w:lang w:bidi="ar"/>
              </w:rPr>
              <w:t>“</w:t>
            </w:r>
            <w:r>
              <w:rPr>
                <w:rStyle w:val="13"/>
                <w:rFonts w:hint="default"/>
                <w:lang w:bidi="ar"/>
              </w:rPr>
              <w:t>三公经费</w:t>
            </w:r>
            <w:r>
              <w:rPr>
                <w:rStyle w:val="14"/>
                <w:lang w:bidi="ar"/>
              </w:rPr>
              <w:t>”</w:t>
            </w:r>
            <w:r>
              <w:rPr>
                <w:rStyle w:val="13"/>
                <w:rFonts w:hint="default"/>
                <w:lang w:bidi="ar"/>
              </w:rPr>
              <w:t>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w:t>
            </w:r>
          </w:p>
          <w:p>
            <w:pPr>
              <w:widowControl/>
              <w:jc w:val="center"/>
              <w:textAlignment w:val="center"/>
              <w:rPr>
                <w:rStyle w:val="13"/>
                <w:rFonts w:hint="default"/>
                <w:lang w:bidi="ar"/>
              </w:rPr>
            </w:pPr>
            <w:r>
              <w:rPr>
                <w:rStyle w:val="13"/>
                <w:rFonts w:hint="default"/>
                <w:lang w:bidi="ar"/>
              </w:rPr>
              <w:t>支出</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部门本年度重点实际支出与预算安排的重点预算支出的比率，用以反映和考核部门对履行主要职责或完成重点任务的保障程度。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重点支出安排率</w:t>
            </w:r>
            <w:r>
              <w:rPr>
                <w:rStyle w:val="14"/>
                <w:lang w:bidi="ar"/>
              </w:rPr>
              <w:t>=</w:t>
            </w:r>
            <w:r>
              <w:rPr>
                <w:rStyle w:val="13"/>
                <w:rFonts w:hint="default"/>
                <w:lang w:bidi="ar"/>
              </w:rPr>
              <w:t>（重点实际支出</w:t>
            </w:r>
            <w:r>
              <w:rPr>
                <w:rStyle w:val="14"/>
                <w:lang w:bidi="ar"/>
              </w:rPr>
              <w:t>/</w:t>
            </w:r>
            <w:r>
              <w:rPr>
                <w:rStyle w:val="13"/>
                <w:rFonts w:hint="default"/>
                <w:lang w:bidi="ar"/>
              </w:rPr>
              <w:t>重点预算支出）</w:t>
            </w:r>
            <w:r>
              <w:rPr>
                <w:rStyle w:val="14"/>
                <w:lang w:bidi="ar"/>
              </w:rPr>
              <w:t>×100%</w:t>
            </w:r>
            <w:r>
              <w:rPr>
                <w:rStyle w:val="13"/>
                <w:rFonts w:hint="default"/>
                <w:lang w:bidi="ar"/>
              </w:rPr>
              <w:t>。重点预算支出：部门年度预算安排的，与本部门履职和发展密切相关、具有明显社会和经济影响、党委政府关心或社会比较关注的预算支出支出总额。该指标参考部门年度项目支出及其预算。</w:t>
            </w:r>
          </w:p>
          <w:p>
            <w:pPr>
              <w:widowControl/>
              <w:jc w:val="left"/>
              <w:textAlignment w:val="center"/>
              <w:rPr>
                <w:rFonts w:hint="eastAsia" w:ascii="宋体" w:hAnsi="宋体" w:cs="宋体"/>
                <w:color w:val="000000"/>
                <w:sz w:val="18"/>
                <w:szCs w:val="18"/>
              </w:rPr>
            </w:pPr>
            <w:r>
              <w:rPr>
                <w:rStyle w:val="13"/>
                <w:rFonts w:hint="default"/>
                <w:lang w:bidi="ar"/>
              </w:rPr>
              <w:t>该项得分</w:t>
            </w:r>
            <w:r>
              <w:rPr>
                <w:rStyle w:val="14"/>
                <w:lang w:bidi="ar"/>
              </w:rPr>
              <w:t>=</w:t>
            </w:r>
            <w:r>
              <w:rPr>
                <w:rStyle w:val="13"/>
                <w:rFonts w:hint="default"/>
                <w:lang w:bidi="ar"/>
              </w:rPr>
              <w:t>安排率</w:t>
            </w:r>
            <w:r>
              <w:rPr>
                <w:rStyle w:val="14"/>
                <w:lang w:bidi="ar"/>
              </w:rPr>
              <w:t>×2</w:t>
            </w:r>
            <w:r>
              <w:rPr>
                <w:rStyle w:val="13"/>
                <w:rFonts w:hint="default"/>
                <w:lang w:bidi="ar"/>
              </w:rPr>
              <w:t>分。每超出</w:t>
            </w:r>
            <w:r>
              <w:rPr>
                <w:rStyle w:val="14"/>
                <w:lang w:bidi="ar"/>
              </w:rPr>
              <w:t>5</w:t>
            </w:r>
            <w:r>
              <w:rPr>
                <w:rStyle w:val="13"/>
                <w:rFonts w:hint="default"/>
                <w:lang w:bidi="ar"/>
              </w:rPr>
              <w:t>%扣</w:t>
            </w:r>
            <w:r>
              <w:rPr>
                <w:rStyle w:val="14"/>
                <w:lang w:bidi="ar"/>
              </w:rPr>
              <w:t>0.5</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非税</w:t>
            </w:r>
          </w:p>
          <w:p>
            <w:pPr>
              <w:widowControl/>
              <w:jc w:val="center"/>
              <w:textAlignment w:val="center"/>
              <w:rPr>
                <w:rStyle w:val="13"/>
                <w:rFonts w:hint="default"/>
                <w:lang w:bidi="ar"/>
              </w:rPr>
            </w:pPr>
            <w:r>
              <w:rPr>
                <w:rStyle w:val="13"/>
                <w:rFonts w:hint="default"/>
                <w:lang w:bidi="ar"/>
              </w:rPr>
              <w:t>收入</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反映部门本年度非税收入完成情况。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非税收入完成率</w:t>
            </w:r>
            <w:r>
              <w:rPr>
                <w:rStyle w:val="14"/>
                <w:lang w:bidi="ar"/>
              </w:rPr>
              <w:t>=</w:t>
            </w:r>
            <w:r>
              <w:rPr>
                <w:rStyle w:val="13"/>
                <w:rFonts w:hint="default"/>
                <w:lang w:bidi="ar"/>
              </w:rPr>
              <w:t>（非税实际收入完成数</w:t>
            </w:r>
            <w:r>
              <w:rPr>
                <w:rStyle w:val="14"/>
                <w:lang w:bidi="ar"/>
              </w:rPr>
              <w:t>/</w:t>
            </w:r>
            <w:r>
              <w:rPr>
                <w:rStyle w:val="13"/>
                <w:rFonts w:hint="default"/>
                <w:lang w:bidi="ar"/>
              </w:rPr>
              <w:t>非税收入预算数）</w:t>
            </w:r>
            <w:r>
              <w:rPr>
                <w:rStyle w:val="14"/>
                <w:lang w:bidi="ar"/>
              </w:rPr>
              <w:t>×100%</w:t>
            </w:r>
            <w:r>
              <w:rPr>
                <w:rStyle w:val="13"/>
                <w:rFonts w:hint="default"/>
                <w:lang w:bidi="ar"/>
              </w:rPr>
              <w:t>，有减免因素的，以财政事务中心确定的为准。</w:t>
            </w:r>
          </w:p>
          <w:p>
            <w:pPr>
              <w:widowControl/>
              <w:jc w:val="left"/>
              <w:textAlignment w:val="center"/>
              <w:rPr>
                <w:rFonts w:ascii="Times New Roman" w:hAnsi="Times New Roman"/>
                <w:color w:val="000000"/>
                <w:sz w:val="18"/>
                <w:szCs w:val="18"/>
              </w:rPr>
            </w:pPr>
            <w:r>
              <w:rPr>
                <w:rStyle w:val="13"/>
                <w:rFonts w:hint="default"/>
                <w:lang w:bidi="ar"/>
              </w:rPr>
              <w:t>该项得分</w:t>
            </w:r>
            <w:r>
              <w:rPr>
                <w:rStyle w:val="14"/>
                <w:lang w:bidi="ar"/>
              </w:rPr>
              <w:t>=</w:t>
            </w:r>
            <w:r>
              <w:rPr>
                <w:rStyle w:val="13"/>
                <w:rFonts w:hint="default"/>
                <w:lang w:bidi="ar"/>
              </w:rPr>
              <w:t>完成率</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过程</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47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执行</w:t>
            </w:r>
          </w:p>
          <w:p>
            <w:pPr>
              <w:widowControl/>
              <w:jc w:val="center"/>
              <w:textAlignment w:val="center"/>
              <w:rPr>
                <w:rFonts w:hint="eastAsia" w:ascii="宋体" w:hAnsi="宋体" w:cs="宋体"/>
                <w:color w:val="000000"/>
                <w:sz w:val="18"/>
                <w:szCs w:val="18"/>
              </w:rPr>
            </w:pPr>
            <w:r>
              <w:rPr>
                <w:rStyle w:val="14"/>
                <w:lang w:bidi="ar"/>
              </w:rPr>
              <w:t>(13</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执行率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部门（单位）本年度预算完成数与预算数的比率，用以反映和考核部门（单位）预算完成程度；部门（单位）本年度对项目支出绩效监控情况。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①预算执行率</w:t>
            </w:r>
            <w:r>
              <w:rPr>
                <w:rStyle w:val="14"/>
                <w:lang w:bidi="ar"/>
              </w:rPr>
              <w:t>=</w:t>
            </w:r>
            <w:r>
              <w:rPr>
                <w:rStyle w:val="13"/>
                <w:rFonts w:hint="default"/>
                <w:lang w:bidi="ar"/>
              </w:rPr>
              <w:t>（预算完成数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预算执行数：部门（单位）本年度实际完成的预算数。</w:t>
            </w:r>
          </w:p>
          <w:p>
            <w:pPr>
              <w:widowControl/>
              <w:jc w:val="left"/>
              <w:textAlignment w:val="center"/>
              <w:rPr>
                <w:rStyle w:val="13"/>
                <w:rFonts w:hint="default"/>
                <w:lang w:bidi="ar"/>
              </w:rPr>
            </w:pPr>
            <w:r>
              <w:rPr>
                <w:rStyle w:val="13"/>
                <w:rFonts w:hint="default"/>
                <w:lang w:bidi="ar"/>
              </w:rPr>
              <w:t>预算数：财政部门批复的本年度部门（单位）预算数及追加的预算数。</w:t>
            </w:r>
          </w:p>
          <w:p>
            <w:pPr>
              <w:widowControl/>
              <w:jc w:val="left"/>
              <w:textAlignment w:val="center"/>
              <w:rPr>
                <w:rStyle w:val="13"/>
                <w:rFonts w:hint="default"/>
                <w:lang w:bidi="ar"/>
              </w:rPr>
            </w:pPr>
            <w:r>
              <w:rPr>
                <w:rStyle w:val="13"/>
                <w:rFonts w:hint="default"/>
                <w:lang w:bidi="ar"/>
              </w:rPr>
              <w:t>该项得分，全年预算执行率</w:t>
            </w:r>
            <w:r>
              <w:rPr>
                <w:rStyle w:val="14"/>
                <w:lang w:bidi="ar"/>
              </w:rPr>
              <w:t>95%</w:t>
            </w:r>
            <w:r>
              <w:rPr>
                <w:rStyle w:val="13"/>
                <w:rFonts w:hint="default"/>
                <w:lang w:bidi="ar"/>
              </w:rPr>
              <w:t>以上计</w:t>
            </w:r>
            <w:r>
              <w:rPr>
                <w:rStyle w:val="14"/>
                <w:lang w:bidi="ar"/>
              </w:rPr>
              <w:t>2</w:t>
            </w:r>
            <w:r>
              <w:rPr>
                <w:rStyle w:val="13"/>
                <w:rFonts w:hint="default"/>
                <w:lang w:bidi="ar"/>
              </w:rPr>
              <w:t>分，</w:t>
            </w:r>
            <w:r>
              <w:rPr>
                <w:rStyle w:val="14"/>
                <w:lang w:bidi="ar"/>
              </w:rPr>
              <w:t>95-90%</w:t>
            </w:r>
            <w:r>
              <w:rPr>
                <w:rStyle w:val="13"/>
                <w:rFonts w:hint="default"/>
                <w:lang w:bidi="ar"/>
              </w:rPr>
              <w:t>（含），计</w:t>
            </w:r>
            <w:r>
              <w:rPr>
                <w:rStyle w:val="14"/>
                <w:lang w:bidi="ar"/>
              </w:rPr>
              <w:t>1</w:t>
            </w:r>
            <w:r>
              <w:rPr>
                <w:rStyle w:val="13"/>
                <w:rFonts w:hint="default"/>
                <w:lang w:bidi="ar"/>
              </w:rPr>
              <w:t>分，</w:t>
            </w:r>
            <w:r>
              <w:rPr>
                <w:rStyle w:val="14"/>
                <w:lang w:bidi="ar"/>
              </w:rPr>
              <w:t>90-80%</w:t>
            </w:r>
            <w:r>
              <w:rPr>
                <w:rStyle w:val="13"/>
                <w:rFonts w:hint="default"/>
                <w:lang w:bidi="ar"/>
              </w:rPr>
              <w:t>（含），计</w:t>
            </w:r>
            <w:r>
              <w:rPr>
                <w:rStyle w:val="14"/>
                <w:lang w:bidi="ar"/>
              </w:rPr>
              <w:t>0.5</w:t>
            </w:r>
            <w:r>
              <w:rPr>
                <w:rStyle w:val="13"/>
                <w:rFonts w:hint="default"/>
                <w:lang w:bidi="ar"/>
              </w:rPr>
              <w:t>分，小于</w:t>
            </w:r>
            <w:r>
              <w:rPr>
                <w:rStyle w:val="14"/>
                <w:lang w:bidi="ar"/>
              </w:rPr>
              <w:t>80%</w:t>
            </w:r>
            <w:r>
              <w:rPr>
                <w:rStyle w:val="13"/>
                <w:rFonts w:hint="default"/>
                <w:lang w:bidi="ar"/>
              </w:rPr>
              <w:t>不得分；</w:t>
            </w:r>
          </w:p>
          <w:p>
            <w:pPr>
              <w:widowControl/>
              <w:jc w:val="left"/>
              <w:textAlignment w:val="center"/>
              <w:rPr>
                <w:rStyle w:val="13"/>
                <w:rFonts w:hint="default"/>
                <w:lang w:bidi="ar"/>
              </w:rPr>
            </w:pPr>
            <w:r>
              <w:rPr>
                <w:rStyle w:val="13"/>
                <w:rFonts w:hint="default"/>
                <w:lang w:bidi="ar"/>
              </w:rPr>
              <w:t>②绩效目标执行监控是否按要求完成。</w:t>
            </w:r>
          </w:p>
          <w:p>
            <w:pPr>
              <w:widowControl/>
              <w:jc w:val="left"/>
              <w:textAlignment w:val="center"/>
              <w:rPr>
                <w:rFonts w:ascii="Times New Roman" w:hAnsi="Times New Roman"/>
                <w:color w:val="000000"/>
                <w:sz w:val="18"/>
                <w:szCs w:val="18"/>
              </w:rPr>
            </w:pPr>
            <w:r>
              <w:rPr>
                <w:rStyle w:val="13"/>
                <w:rFonts w:hint="default"/>
                <w:lang w:bidi="ar"/>
              </w:rPr>
              <w:t>该项得分，实施项目资金运行监控的得</w:t>
            </w:r>
            <w:r>
              <w:rPr>
                <w:rStyle w:val="14"/>
                <w:lang w:bidi="ar"/>
              </w:rPr>
              <w:t>2</w:t>
            </w:r>
            <w:r>
              <w:rPr>
                <w:rStyle w:val="13"/>
                <w:rFonts w:hint="default"/>
                <w:lang w:bidi="ar"/>
              </w:rPr>
              <w:t>分，未实施的不得分。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调整率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部门（单位）本年度预算调整数与预算数的比率，用以反映和考核部门（单位）预算的调整程度。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预算调整率</w:t>
            </w:r>
            <w:r>
              <w:rPr>
                <w:rStyle w:val="14"/>
                <w:lang w:bidi="ar"/>
              </w:rPr>
              <w:t>=</w:t>
            </w:r>
            <w:r>
              <w:rPr>
                <w:rStyle w:val="13"/>
                <w:rFonts w:hint="default"/>
                <w:lang w:bidi="ar"/>
              </w:rPr>
              <w:t>（预算调整数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预算调整数：部门（单位）在本年度内涉及预算的追加、追减或结构调整的资金总和（因落实国家政策、发生不可抗力，市委、市政府临时交办而产生的调整及经济科目非跨类调整除外）。</w:t>
            </w:r>
          </w:p>
          <w:p>
            <w:pPr>
              <w:widowControl/>
              <w:jc w:val="left"/>
              <w:textAlignment w:val="center"/>
              <w:rPr>
                <w:rFonts w:ascii="Times New Roman" w:hAnsi="Times New Roman"/>
                <w:color w:val="000000"/>
                <w:sz w:val="18"/>
                <w:szCs w:val="18"/>
              </w:rPr>
            </w:pPr>
            <w:r>
              <w:rPr>
                <w:rStyle w:val="13"/>
                <w:rFonts w:hint="default"/>
                <w:lang w:bidi="ar"/>
              </w:rPr>
              <w:t>该项得分，预算调整率</w:t>
            </w:r>
            <w:r>
              <w:rPr>
                <w:rStyle w:val="14"/>
                <w:lang w:bidi="ar"/>
              </w:rPr>
              <w:t>&lt;5%</w:t>
            </w:r>
            <w:r>
              <w:rPr>
                <w:rStyle w:val="13"/>
                <w:rFonts w:hint="default"/>
                <w:lang w:bidi="ar"/>
              </w:rPr>
              <w:t>，计</w:t>
            </w:r>
            <w:r>
              <w:rPr>
                <w:rStyle w:val="14"/>
                <w:lang w:bidi="ar"/>
              </w:rPr>
              <w:t>2</w:t>
            </w:r>
            <w:r>
              <w:rPr>
                <w:rStyle w:val="13"/>
                <w:rFonts w:hint="default"/>
                <w:lang w:bidi="ar"/>
              </w:rPr>
              <w:t>分；</w:t>
            </w:r>
            <w:r>
              <w:rPr>
                <w:rStyle w:val="14"/>
                <w:lang w:bidi="ar"/>
              </w:rPr>
              <w:t>5-10%</w:t>
            </w:r>
            <w:r>
              <w:rPr>
                <w:rStyle w:val="13"/>
                <w:rFonts w:hint="default"/>
                <w:lang w:bidi="ar"/>
              </w:rPr>
              <w:t>（含），计</w:t>
            </w:r>
            <w:r>
              <w:rPr>
                <w:rStyle w:val="14"/>
                <w:lang w:bidi="ar"/>
              </w:rPr>
              <w:t>1</w:t>
            </w:r>
            <w:r>
              <w:rPr>
                <w:rStyle w:val="13"/>
                <w:rFonts w:hint="default"/>
                <w:lang w:bidi="ar"/>
              </w:rPr>
              <w:t>分；大于</w:t>
            </w:r>
            <w:r>
              <w:rPr>
                <w:rStyle w:val="14"/>
                <w:lang w:bidi="ar"/>
              </w:rPr>
              <w:t>10%</w:t>
            </w:r>
            <w:r>
              <w:rPr>
                <w:rStyle w:val="13"/>
                <w:rFonts w:hint="default"/>
                <w:lang w:bidi="ar"/>
              </w:rPr>
              <w:t>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财政部门批复的本年度部门（单位）预算；本年度部门（单位）决算报表；本年度部门（单位）预算的追加、追减或结构调整资料。</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结转</w:t>
            </w:r>
          </w:p>
          <w:p>
            <w:pPr>
              <w:widowControl/>
              <w:jc w:val="center"/>
              <w:textAlignment w:val="center"/>
              <w:rPr>
                <w:rFonts w:ascii="Times New Roman" w:hAnsi="Times New Roman"/>
                <w:color w:val="000000"/>
                <w:sz w:val="18"/>
                <w:szCs w:val="18"/>
              </w:rPr>
            </w:pPr>
            <w:r>
              <w:rPr>
                <w:rStyle w:val="13"/>
                <w:rFonts w:hint="default"/>
                <w:lang w:bidi="ar"/>
              </w:rPr>
              <w:t>结余</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部门（单位）本年度结转结余情况，用以反映和考核部门（单位）对本年度结转结余资金使用情况。</w:t>
            </w:r>
          </w:p>
        </w:tc>
        <w:tc>
          <w:tcPr>
            <w:tcW w:w="5112" w:type="dxa"/>
            <w:tcBorders>
              <w:tl2br w:val="nil"/>
              <w:tr2bl w:val="nil"/>
            </w:tcBorders>
            <w:vAlign w:val="center"/>
          </w:tcPr>
          <w:p>
            <w:pPr>
              <w:widowControl/>
              <w:spacing w:after="180"/>
              <w:jc w:val="left"/>
              <w:textAlignment w:val="center"/>
              <w:rPr>
                <w:rStyle w:val="13"/>
                <w:rFonts w:hint="default"/>
                <w:lang w:bidi="ar"/>
              </w:rPr>
            </w:pPr>
          </w:p>
          <w:p>
            <w:pPr>
              <w:widowControl/>
              <w:spacing w:after="180"/>
              <w:jc w:val="left"/>
              <w:textAlignment w:val="center"/>
              <w:rPr>
                <w:rStyle w:val="13"/>
                <w:rFonts w:hint="default"/>
                <w:lang w:bidi="ar"/>
              </w:rPr>
            </w:pPr>
            <w:r>
              <w:rPr>
                <w:rStyle w:val="13"/>
                <w:rFonts w:hint="default"/>
                <w:lang w:bidi="ar"/>
              </w:rPr>
              <w:t>结转结余率</w:t>
            </w:r>
            <w:r>
              <w:rPr>
                <w:rStyle w:val="14"/>
                <w:lang w:bidi="ar"/>
              </w:rPr>
              <w:t>=</w:t>
            </w:r>
            <w:r>
              <w:rPr>
                <w:rStyle w:val="13"/>
                <w:rFonts w:hint="default"/>
                <w:lang w:bidi="ar"/>
              </w:rPr>
              <w:t>结转结余总额</w:t>
            </w:r>
            <w:r>
              <w:rPr>
                <w:rStyle w:val="14"/>
                <w:lang w:bidi="ar"/>
              </w:rPr>
              <w:t>/</w:t>
            </w:r>
            <w:r>
              <w:rPr>
                <w:rStyle w:val="13"/>
                <w:rFonts w:hint="default"/>
                <w:lang w:bidi="ar"/>
              </w:rPr>
              <w:t>支出预算数</w:t>
            </w:r>
            <w:r>
              <w:rPr>
                <w:rStyle w:val="14"/>
                <w:lang w:bidi="ar"/>
              </w:rPr>
              <w:t>×100%</w:t>
            </w:r>
            <w:r>
              <w:rPr>
                <w:rStyle w:val="13"/>
                <w:rFonts w:hint="default"/>
                <w:lang w:bidi="ar"/>
              </w:rPr>
              <w:t>。结转结余总额：部门本年度的结转资金与结余资金之和（以决算数为准）。</w:t>
            </w:r>
          </w:p>
          <w:p>
            <w:pPr>
              <w:widowControl/>
              <w:spacing w:after="180"/>
              <w:jc w:val="left"/>
              <w:textAlignment w:val="center"/>
              <w:rPr>
                <w:rFonts w:ascii="Times New Roman" w:hAnsi="Times New Roman"/>
                <w:color w:val="000000"/>
                <w:sz w:val="18"/>
                <w:szCs w:val="18"/>
              </w:rPr>
            </w:pPr>
            <w:r>
              <w:rPr>
                <w:rStyle w:val="13"/>
                <w:rFonts w:hint="default"/>
                <w:lang w:bidi="ar"/>
              </w:rPr>
              <w:t>该项得分，结余率</w:t>
            </w:r>
            <w:r>
              <w:rPr>
                <w:rStyle w:val="14"/>
                <w:lang w:bidi="ar"/>
              </w:rPr>
              <w:t>≤10%</w:t>
            </w:r>
            <w:r>
              <w:rPr>
                <w:rStyle w:val="13"/>
                <w:rFonts w:hint="default"/>
                <w:lang w:bidi="ar"/>
              </w:rPr>
              <w:t>的，计</w:t>
            </w:r>
            <w:r>
              <w:rPr>
                <w:rStyle w:val="14"/>
                <w:lang w:bidi="ar"/>
              </w:rPr>
              <w:t>1</w:t>
            </w:r>
            <w:r>
              <w:rPr>
                <w:rStyle w:val="13"/>
                <w:rFonts w:hint="default"/>
                <w:lang w:bidi="ar"/>
              </w:rPr>
              <w:t>分；结余率</w:t>
            </w:r>
            <w:r>
              <w:rPr>
                <w:rStyle w:val="14"/>
                <w:lang w:bidi="ar"/>
              </w:rPr>
              <w:t>&gt;10%</w:t>
            </w:r>
            <w:r>
              <w:rPr>
                <w:rStyle w:val="13"/>
                <w:rFonts w:hint="default"/>
                <w:lang w:bidi="ar"/>
              </w:rPr>
              <w:t>（不含），</w:t>
            </w:r>
            <w:r>
              <w:rPr>
                <w:rStyle w:val="14"/>
                <w:lang w:bidi="ar"/>
              </w:rPr>
              <w:t>0.5</w:t>
            </w:r>
            <w:r>
              <w:rPr>
                <w:rStyle w:val="13"/>
                <w:rFonts w:hint="default"/>
                <w:lang w:bidi="ar"/>
              </w:rPr>
              <w:t>分；本年超支的，计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公用经费</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部门本年度实际支出的公用经费总额与预算安排的公用经费总额的比率，用以反映和考核部门对机构运转成本的实际控制程度。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公用经费控制率</w:t>
            </w:r>
            <w:r>
              <w:rPr>
                <w:rStyle w:val="14"/>
                <w:lang w:bidi="ar"/>
              </w:rPr>
              <w:t>=</w:t>
            </w:r>
            <w:r>
              <w:rPr>
                <w:rStyle w:val="13"/>
                <w:rFonts w:hint="default"/>
                <w:lang w:bidi="ar"/>
              </w:rPr>
              <w:t>（实际支出公用经费总额</w:t>
            </w:r>
            <w:r>
              <w:rPr>
                <w:rStyle w:val="14"/>
                <w:lang w:bidi="ar"/>
              </w:rPr>
              <w:t>/</w:t>
            </w:r>
            <w:r>
              <w:rPr>
                <w:rStyle w:val="13"/>
                <w:rFonts w:hint="default"/>
                <w:lang w:bidi="ar"/>
              </w:rPr>
              <w:t>预算安排公用经费总额）</w:t>
            </w:r>
            <w:r>
              <w:rPr>
                <w:rStyle w:val="14"/>
                <w:lang w:bidi="ar"/>
              </w:rPr>
              <w:t>×100%</w:t>
            </w:r>
            <w:r>
              <w:rPr>
                <w:rStyle w:val="13"/>
                <w:rFonts w:hint="default"/>
                <w:lang w:bidi="ar"/>
              </w:rPr>
              <w:t>。</w:t>
            </w:r>
          </w:p>
          <w:p>
            <w:pPr>
              <w:widowControl/>
              <w:jc w:val="left"/>
              <w:textAlignment w:val="center"/>
              <w:rPr>
                <w:rFonts w:hint="eastAsia" w:ascii="宋体" w:hAnsi="宋体" w:cs="宋体"/>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w:t>
            </w:r>
            <w:r>
              <w:rPr>
                <w:rStyle w:val="14"/>
                <w:lang w:bidi="ar"/>
              </w:rPr>
              <w:t>“</w:t>
            </w:r>
            <w:r>
              <w:rPr>
                <w:rStyle w:val="13"/>
                <w:rFonts w:hint="default"/>
                <w:lang w:bidi="ar"/>
              </w:rPr>
              <w:t>三公经费</w:t>
            </w:r>
            <w:r>
              <w:rPr>
                <w:rStyle w:val="14"/>
                <w:lang w:bidi="ar"/>
              </w:rPr>
              <w:t>”</w:t>
            </w:r>
            <w:r>
              <w:rPr>
                <w:rStyle w:val="13"/>
                <w:rFonts w:hint="default"/>
                <w:lang w:bidi="ar"/>
              </w:rPr>
              <w:t>实际支出数与预算安排数的比率，用以反映和考核部门（单位）对</w:t>
            </w:r>
            <w:r>
              <w:rPr>
                <w:rStyle w:val="14"/>
                <w:lang w:bidi="ar"/>
              </w:rPr>
              <w:t>“</w:t>
            </w:r>
            <w:r>
              <w:rPr>
                <w:rStyle w:val="13"/>
                <w:rFonts w:hint="default"/>
                <w:lang w:bidi="ar"/>
              </w:rPr>
              <w:t>三公经费</w:t>
            </w:r>
            <w:r>
              <w:rPr>
                <w:rStyle w:val="14"/>
                <w:lang w:bidi="ar"/>
              </w:rPr>
              <w:t>”</w:t>
            </w:r>
            <w:r>
              <w:rPr>
                <w:rStyle w:val="13"/>
                <w:rFonts w:hint="default"/>
                <w:lang w:bidi="ar"/>
              </w:rPr>
              <w:t>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控制率</w:t>
            </w:r>
            <w:r>
              <w:rPr>
                <w:rStyle w:val="14"/>
                <w:lang w:bidi="ar"/>
              </w:rPr>
              <w:t>=</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实际支出数</w:t>
            </w:r>
            <w:r>
              <w:rPr>
                <w:rStyle w:val="14"/>
                <w:lang w:bidi="ar"/>
              </w:rPr>
              <w:t>/“</w:t>
            </w:r>
            <w:r>
              <w:rPr>
                <w:rStyle w:val="13"/>
                <w:rFonts w:hint="default"/>
                <w:lang w:bidi="ar"/>
              </w:rPr>
              <w:t>三公经费</w:t>
            </w:r>
            <w:r>
              <w:rPr>
                <w:rStyle w:val="14"/>
                <w:lang w:bidi="ar"/>
              </w:rPr>
              <w:t>”</w:t>
            </w:r>
            <w:r>
              <w:rPr>
                <w:rStyle w:val="13"/>
                <w:rFonts w:hint="default"/>
                <w:lang w:bidi="ar"/>
              </w:rPr>
              <w:t>预算安排数）</w:t>
            </w:r>
            <w:r>
              <w:rPr>
                <w:rStyle w:val="14"/>
                <w:lang w:bidi="ar"/>
              </w:rPr>
              <w:t>×100%</w:t>
            </w:r>
            <w:r>
              <w:rPr>
                <w:rStyle w:val="13"/>
                <w:rFonts w:hint="default"/>
                <w:lang w:bidi="ar"/>
              </w:rPr>
              <w:t>。</w:t>
            </w:r>
          </w:p>
          <w:p>
            <w:pPr>
              <w:widowControl/>
              <w:jc w:val="left"/>
              <w:textAlignment w:val="center"/>
              <w:rPr>
                <w:rFonts w:ascii="Times New Roman" w:hAnsi="Times New Roman"/>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政府采购</w:t>
            </w:r>
          </w:p>
          <w:p>
            <w:pPr>
              <w:widowControl/>
              <w:jc w:val="center"/>
              <w:textAlignment w:val="center"/>
              <w:rPr>
                <w:rStyle w:val="13"/>
                <w:rFonts w:hint="default"/>
                <w:lang w:bidi="ar"/>
              </w:rPr>
            </w:pPr>
            <w:r>
              <w:rPr>
                <w:rStyle w:val="13"/>
                <w:rFonts w:hint="default"/>
                <w:lang w:bidi="ar"/>
              </w:rPr>
              <w:t>执行率和</w:t>
            </w:r>
          </w:p>
          <w:p>
            <w:pPr>
              <w:widowControl/>
              <w:jc w:val="center"/>
              <w:textAlignment w:val="center"/>
              <w:rPr>
                <w:rFonts w:ascii="Times New Roman" w:hAnsi="Times New Roman"/>
                <w:color w:val="000000"/>
                <w:sz w:val="18"/>
                <w:szCs w:val="18"/>
              </w:rPr>
            </w:pPr>
            <w:r>
              <w:rPr>
                <w:rStyle w:val="13"/>
                <w:rFonts w:hint="default"/>
                <w:lang w:bidi="ar"/>
              </w:rPr>
              <w:t>规范性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部门（单位）本年度实际政府采购金额与年初政府采购预算的比率，用以反映和考核部门（单位）政府采购预算执行情况。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①政府采购预算执行率</w:t>
            </w:r>
            <w:r>
              <w:rPr>
                <w:rStyle w:val="14"/>
                <w:lang w:bidi="ar"/>
              </w:rPr>
              <w:t>=</w:t>
            </w:r>
            <w:r>
              <w:rPr>
                <w:rStyle w:val="13"/>
                <w:rFonts w:hint="default"/>
                <w:lang w:bidi="ar"/>
              </w:rPr>
              <w:t>（实际政府采购金额</w:t>
            </w:r>
            <w:r>
              <w:rPr>
                <w:rStyle w:val="14"/>
                <w:lang w:bidi="ar"/>
              </w:rPr>
              <w:t>/</w:t>
            </w:r>
            <w:r>
              <w:rPr>
                <w:rStyle w:val="13"/>
                <w:rFonts w:hint="default"/>
                <w:lang w:bidi="ar"/>
              </w:rPr>
              <w:t>政府采购预算数）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政府采购预算：采购机关根据事业发展计划和行政任务编制的、并经过规定程序批准的年度政府采购计划。</w:t>
            </w:r>
          </w:p>
          <w:p>
            <w:pPr>
              <w:widowControl/>
              <w:jc w:val="left"/>
              <w:textAlignment w:val="center"/>
              <w:rPr>
                <w:rStyle w:val="13"/>
                <w:rFonts w:hint="default"/>
                <w:lang w:bidi="ar"/>
              </w:rPr>
            </w:pPr>
            <w:r>
              <w:rPr>
                <w:rStyle w:val="13"/>
                <w:rFonts w:hint="default"/>
                <w:lang w:bidi="ar"/>
              </w:rPr>
              <w:t>该项得分，完成本年度采购计划的，政府采购执行率≤</w:t>
            </w:r>
            <w:r>
              <w:rPr>
                <w:rStyle w:val="14"/>
                <w:lang w:bidi="ar"/>
              </w:rPr>
              <w:t>100%</w:t>
            </w:r>
            <w:r>
              <w:rPr>
                <w:rStyle w:val="13"/>
                <w:rFonts w:hint="default"/>
                <w:lang w:bidi="ar"/>
              </w:rPr>
              <w:t>，计</w:t>
            </w:r>
            <w:r>
              <w:rPr>
                <w:rStyle w:val="14"/>
                <w:lang w:bidi="ar"/>
              </w:rPr>
              <w:t>1</w:t>
            </w:r>
            <w:r>
              <w:rPr>
                <w:rStyle w:val="13"/>
                <w:rFonts w:hint="default"/>
                <w:lang w:bidi="ar"/>
              </w:rPr>
              <w:t>分，每超过</w:t>
            </w:r>
            <w:r>
              <w:rPr>
                <w:rStyle w:val="14"/>
                <w:lang w:bidi="ar"/>
              </w:rPr>
              <w:t>1%</w:t>
            </w:r>
            <w:r>
              <w:rPr>
                <w:rStyle w:val="13"/>
                <w:rFonts w:hint="default"/>
                <w:lang w:bidi="ar"/>
              </w:rPr>
              <w:t>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②所有项目依法采购，无规避政府采购或化整为零进行政府采购的行为，并履行验收手续，计0.5分，否则不得分；</w:t>
            </w:r>
          </w:p>
          <w:p>
            <w:pPr>
              <w:widowControl/>
              <w:jc w:val="left"/>
              <w:textAlignment w:val="center"/>
              <w:rPr>
                <w:rFonts w:hint="eastAsia" w:ascii="宋体" w:hAnsi="宋体" w:cs="宋体"/>
                <w:color w:val="000000"/>
                <w:sz w:val="18"/>
                <w:szCs w:val="18"/>
              </w:rPr>
            </w:pPr>
            <w:r>
              <w:rPr>
                <w:rStyle w:val="13"/>
                <w:rFonts w:hint="default"/>
                <w:lang w:bidi="ar"/>
              </w:rPr>
              <w:t>③预算单位建立了政府采购内控制度，计0.5分，否则不得分。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财政部门批复的本年度部门（单位）预算；本年度部门（单位）决算报表；《政府采购法》。</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29</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管理制度</w:t>
            </w:r>
          </w:p>
          <w:p>
            <w:pPr>
              <w:widowControl/>
              <w:jc w:val="center"/>
              <w:textAlignment w:val="center"/>
              <w:rPr>
                <w:rFonts w:ascii="Times New Roman" w:hAnsi="Times New Roman"/>
                <w:color w:val="000000"/>
                <w:sz w:val="18"/>
                <w:szCs w:val="18"/>
              </w:rPr>
            </w:pPr>
            <w:r>
              <w:rPr>
                <w:rStyle w:val="13"/>
                <w:rFonts w:hint="default"/>
                <w:lang w:bidi="ar"/>
              </w:rPr>
              <w:t>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①是否已制定或具有预算资金管理办法、内部财务管理制度、会计核算制度等管理制度；</w:t>
            </w:r>
          </w:p>
          <w:p>
            <w:pPr>
              <w:widowControl/>
              <w:jc w:val="left"/>
              <w:textAlignment w:val="center"/>
              <w:rPr>
                <w:rStyle w:val="13"/>
                <w:rFonts w:hint="default"/>
                <w:lang w:bidi="ar"/>
              </w:rPr>
            </w:pPr>
            <w:r>
              <w:rPr>
                <w:rStyle w:val="13"/>
                <w:rFonts w:hint="default"/>
                <w:lang w:bidi="ar"/>
              </w:rPr>
              <w:t>②相关管理制度是否合法、合规、完整；</w:t>
            </w:r>
          </w:p>
          <w:p>
            <w:pPr>
              <w:widowControl/>
              <w:jc w:val="left"/>
              <w:textAlignment w:val="center"/>
              <w:rPr>
                <w:rStyle w:val="13"/>
                <w:rFonts w:hint="default"/>
                <w:lang w:bidi="ar"/>
              </w:rPr>
            </w:pPr>
            <w:r>
              <w:rPr>
                <w:rStyle w:val="13"/>
                <w:rFonts w:hint="default"/>
                <w:lang w:bidi="ar"/>
              </w:rPr>
              <w:t>③相关管理制度是否得到有效执行。</w:t>
            </w:r>
          </w:p>
          <w:p>
            <w:pPr>
              <w:widowControl/>
              <w:jc w:val="left"/>
              <w:textAlignment w:val="center"/>
              <w:rPr>
                <w:rStyle w:val="13"/>
                <w:rFonts w:hint="default"/>
                <w:lang w:bidi="ar"/>
              </w:rPr>
            </w:pPr>
            <w:r>
              <w:rPr>
                <w:rStyle w:val="13"/>
                <w:rFonts w:hint="default"/>
                <w:lang w:bidi="ar"/>
              </w:rPr>
              <w:t>④会计人员、机构是否按规定设置；</w:t>
            </w:r>
          </w:p>
          <w:p>
            <w:pPr>
              <w:widowControl/>
              <w:jc w:val="left"/>
              <w:textAlignment w:val="center"/>
              <w:rPr>
                <w:rStyle w:val="13"/>
                <w:rFonts w:hint="default"/>
                <w:lang w:bidi="ar"/>
              </w:rPr>
            </w:pPr>
            <w:r>
              <w:rPr>
                <w:rStyle w:val="13"/>
                <w:rFonts w:hint="default"/>
                <w:lang w:bidi="ar"/>
              </w:rPr>
              <w:t>⑤会计基础工作是否健全；</w:t>
            </w:r>
          </w:p>
          <w:p>
            <w:pPr>
              <w:widowControl/>
              <w:jc w:val="left"/>
              <w:textAlignment w:val="center"/>
              <w:rPr>
                <w:rStyle w:val="13"/>
                <w:rFonts w:hint="default"/>
                <w:lang w:bidi="ar"/>
              </w:rPr>
            </w:pPr>
            <w:r>
              <w:rPr>
                <w:rStyle w:val="13"/>
                <w:rFonts w:hint="default"/>
                <w:lang w:bidi="ar"/>
              </w:rPr>
              <w:t>⑥会计档案是否符合规定要求；</w:t>
            </w:r>
          </w:p>
          <w:p>
            <w:pPr>
              <w:widowControl/>
              <w:jc w:val="left"/>
              <w:textAlignment w:val="center"/>
              <w:rPr>
                <w:rStyle w:val="13"/>
                <w:rFonts w:hint="default"/>
                <w:lang w:bidi="ar"/>
              </w:rPr>
            </w:pPr>
            <w:r>
              <w:rPr>
                <w:rStyle w:val="13"/>
                <w:rFonts w:hint="default"/>
                <w:lang w:bidi="ar"/>
              </w:rPr>
              <w:t>⑦项目管理是否规范（包括项目立项、申报、招投标、合同或协议要素、制度建立、按时完工等）。</w:t>
            </w:r>
          </w:p>
          <w:p>
            <w:pPr>
              <w:widowControl/>
              <w:jc w:val="left"/>
              <w:textAlignment w:val="center"/>
              <w:rPr>
                <w:rFonts w:hint="eastAsia" w:ascii="宋体" w:hAnsi="宋体" w:cs="宋体"/>
                <w:color w:val="000000"/>
                <w:sz w:val="18"/>
                <w:szCs w:val="18"/>
              </w:rPr>
            </w:pPr>
            <w:r>
              <w:rPr>
                <w:rStyle w:val="13"/>
                <w:rFonts w:hint="default"/>
                <w:lang w:bidi="ar"/>
              </w:rPr>
              <w:t>以上情况每发现一例不符合要求的扣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部门（单位）管理制度。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资金使用</w:t>
            </w:r>
          </w:p>
          <w:p>
            <w:pPr>
              <w:widowControl/>
              <w:jc w:val="center"/>
              <w:textAlignment w:val="center"/>
              <w:rPr>
                <w:rFonts w:ascii="Times New Roman" w:hAnsi="Times New Roman"/>
                <w:color w:val="000000"/>
                <w:sz w:val="18"/>
                <w:szCs w:val="18"/>
              </w:rPr>
            </w:pPr>
            <w:r>
              <w:rPr>
                <w:rStyle w:val="13"/>
                <w:rFonts w:hint="default"/>
                <w:lang w:bidi="ar"/>
              </w:rPr>
              <w:t>合规性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7</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资金使用符合相关的财务管理制度规定，用以反映和考核项目资金的规范运行情况。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①符合国家财经法规和财务管理制度以及有关专项资金管理办法的规定，计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②资金的支付有完整的审批程序和手续，计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③重大项目开支和大额资金使用经过单位党组集体研究决策，计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④符合项目预算批复或合同规定的用途，计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⑤没有截留、挤占、挪用、虚列支出等情况，计</w:t>
            </w:r>
            <w:r>
              <w:rPr>
                <w:rStyle w:val="14"/>
                <w:lang w:bidi="ar"/>
              </w:rPr>
              <w:t>1</w:t>
            </w:r>
            <w:r>
              <w:rPr>
                <w:rStyle w:val="13"/>
                <w:rFonts w:hint="default"/>
                <w:lang w:bidi="ar"/>
              </w:rPr>
              <w:t>分，发生</w:t>
            </w:r>
            <w:r>
              <w:rPr>
                <w:rStyle w:val="14"/>
                <w:lang w:bidi="ar"/>
              </w:rPr>
              <w:t>1</w:t>
            </w:r>
            <w:r>
              <w:rPr>
                <w:rStyle w:val="13"/>
                <w:rFonts w:hint="default"/>
                <w:lang w:bidi="ar"/>
              </w:rPr>
              <w:t>例不符合本指标的现象</w:t>
            </w:r>
            <w:r>
              <w:rPr>
                <w:rStyle w:val="14"/>
                <w:lang w:bidi="ar"/>
              </w:rPr>
              <w:t>7</w:t>
            </w:r>
            <w:r>
              <w:rPr>
                <w:rStyle w:val="13"/>
                <w:rFonts w:hint="default"/>
                <w:lang w:bidi="ar"/>
              </w:rPr>
              <w:t>分全扣；</w:t>
            </w:r>
          </w:p>
          <w:p>
            <w:pPr>
              <w:widowControl/>
              <w:jc w:val="left"/>
              <w:textAlignment w:val="center"/>
              <w:rPr>
                <w:rStyle w:val="13"/>
                <w:rFonts w:hint="default"/>
                <w:lang w:bidi="ar"/>
              </w:rPr>
            </w:pPr>
            <w:r>
              <w:rPr>
                <w:rStyle w:val="13"/>
                <w:rFonts w:hint="default"/>
                <w:lang w:bidi="ar"/>
              </w:rPr>
              <w:t>⑥原始凭证的取得真实有效，计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⑦无超标准发放津补贴、奖金、无用公款支付应个人支付的款项，计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⑧如评级单位评价年度出现严重的违纪违法事件，评价等级在原来的基础上下调一个等级。</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财务管理制度、资金管理制度、资金分配办法、支出凭证、预算批复、合同、验收资料等。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信息</w:t>
            </w:r>
          </w:p>
          <w:p>
            <w:pPr>
              <w:widowControl/>
              <w:jc w:val="center"/>
              <w:textAlignment w:val="center"/>
              <w:rPr>
                <w:rFonts w:ascii="Times New Roman" w:hAnsi="Times New Roman"/>
                <w:color w:val="000000"/>
                <w:sz w:val="18"/>
                <w:szCs w:val="18"/>
              </w:rPr>
            </w:pPr>
            <w:r>
              <w:rPr>
                <w:rStyle w:val="13"/>
                <w:rFonts w:hint="default"/>
                <w:lang w:bidi="ar"/>
              </w:rPr>
              <w:t>公开性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①无涉密情况的预算单位按规定及时、准确、完整的公开预决算和绩效管理信息，计</w:t>
            </w:r>
            <w:r>
              <w:rPr>
                <w:rStyle w:val="14"/>
                <w:lang w:bidi="ar"/>
              </w:rPr>
              <w:t>1</w:t>
            </w:r>
            <w:r>
              <w:rPr>
                <w:rStyle w:val="13"/>
                <w:rFonts w:hint="default"/>
                <w:lang w:bidi="ar"/>
              </w:rPr>
              <w:t>分，否则，酌情扣分；</w:t>
            </w:r>
          </w:p>
          <w:p>
            <w:pPr>
              <w:widowControl/>
              <w:jc w:val="left"/>
              <w:textAlignment w:val="center"/>
              <w:rPr>
                <w:rStyle w:val="13"/>
                <w:rFonts w:hint="default"/>
                <w:lang w:bidi="ar"/>
              </w:rPr>
            </w:pPr>
            <w:r>
              <w:rPr>
                <w:rStyle w:val="13"/>
                <w:rFonts w:hint="default"/>
                <w:lang w:bidi="ar"/>
              </w:rPr>
              <w:t>②基础数据信息和会计信息资料真实、准确、完整，计</w:t>
            </w:r>
            <w:r>
              <w:rPr>
                <w:rStyle w:val="14"/>
                <w:lang w:bidi="ar"/>
              </w:rPr>
              <w:t>1</w:t>
            </w:r>
            <w:r>
              <w:rPr>
                <w:rStyle w:val="13"/>
                <w:rFonts w:hint="default"/>
                <w:lang w:bidi="ar"/>
              </w:rPr>
              <w:t>分，否则，酌情扣分。</w:t>
            </w:r>
          </w:p>
          <w:p>
            <w:pPr>
              <w:widowControl/>
              <w:jc w:val="left"/>
              <w:textAlignment w:val="center"/>
              <w:rPr>
                <w:rFonts w:hint="eastAsia" w:ascii="宋体" w:hAnsi="宋体" w:cs="宋体"/>
                <w:color w:val="000000"/>
                <w:sz w:val="18"/>
                <w:szCs w:val="18"/>
              </w:rPr>
            </w:pPr>
            <w:r>
              <w:rPr>
                <w:rStyle w:val="13"/>
                <w:rFonts w:hint="default"/>
                <w:lang w:bidi="ar"/>
              </w:rPr>
              <w:t>③按规定及时、准确、完整的公开部门（单位）整体支出自评报告和专项资金支出自评报告及对应评分表的，计2分；否则，酌情扣分；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部门（单位）预决算公开资料、基础数据信息和会计信息资料、财政部门批复的本年度部门（单位）预算；本年度部门（单位）决算报表。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非税收入</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管理</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反映部门非税收入的使用、管理情况。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①实行收支两条线，计</w:t>
            </w:r>
            <w:r>
              <w:rPr>
                <w:rStyle w:val="14"/>
                <w:lang w:bidi="ar"/>
              </w:rPr>
              <w:t>0.5</w:t>
            </w:r>
            <w:r>
              <w:rPr>
                <w:rStyle w:val="13"/>
                <w:rFonts w:hint="default"/>
                <w:lang w:bidi="ar"/>
              </w:rPr>
              <w:t>分，否则，计</w:t>
            </w:r>
            <w:r>
              <w:rPr>
                <w:rStyle w:val="14"/>
                <w:lang w:bidi="ar"/>
              </w:rPr>
              <w:t>0</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②未发生截留、坐支或转移，计</w:t>
            </w:r>
            <w:r>
              <w:rPr>
                <w:rStyle w:val="14"/>
                <w:lang w:bidi="ar"/>
              </w:rPr>
              <w:t>0.5</w:t>
            </w:r>
            <w:r>
              <w:rPr>
                <w:rStyle w:val="13"/>
                <w:rFonts w:hint="default"/>
                <w:lang w:bidi="ar"/>
              </w:rPr>
              <w:t>分，否则，计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绩效自评</w:t>
            </w:r>
          </w:p>
          <w:p>
            <w:pPr>
              <w:widowControl/>
              <w:jc w:val="center"/>
              <w:textAlignment w:val="center"/>
              <w:rPr>
                <w:rFonts w:ascii="Times New Roman" w:hAnsi="Times New Roman"/>
                <w:color w:val="000000"/>
                <w:sz w:val="18"/>
                <w:szCs w:val="18"/>
              </w:rPr>
            </w:pPr>
            <w:r>
              <w:rPr>
                <w:rStyle w:val="13"/>
                <w:rFonts w:hint="default"/>
                <w:lang w:bidi="ar"/>
              </w:rPr>
              <w:t>管理情况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部门（单位）绩效自评管理情况。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①是否按要求开展部门（单位）整体支出绩效自评和专项资金支出自评工作。</w:t>
            </w:r>
          </w:p>
          <w:p>
            <w:pPr>
              <w:widowControl/>
              <w:jc w:val="left"/>
              <w:textAlignment w:val="center"/>
              <w:rPr>
                <w:rStyle w:val="13"/>
                <w:rFonts w:hint="default"/>
                <w:lang w:bidi="ar"/>
              </w:rPr>
            </w:pPr>
            <w:r>
              <w:rPr>
                <w:rStyle w:val="13"/>
                <w:rFonts w:hint="default"/>
                <w:lang w:bidi="ar"/>
              </w:rPr>
              <w:t>②是否及时报送绩效自评报告；</w:t>
            </w:r>
          </w:p>
          <w:p>
            <w:pPr>
              <w:widowControl/>
              <w:jc w:val="left"/>
              <w:textAlignment w:val="center"/>
              <w:rPr>
                <w:rStyle w:val="13"/>
                <w:rFonts w:hint="default"/>
                <w:lang w:bidi="ar"/>
              </w:rPr>
            </w:pPr>
            <w:r>
              <w:rPr>
                <w:rStyle w:val="13"/>
                <w:rFonts w:hint="default"/>
                <w:lang w:bidi="ar"/>
              </w:rPr>
              <w:t>③绩效自评报告是否完整，数据是否全面、真实、准确，绩效指标是否细化量化和科学合理；</w:t>
            </w:r>
          </w:p>
          <w:p>
            <w:pPr>
              <w:widowControl/>
              <w:jc w:val="left"/>
              <w:textAlignment w:val="center"/>
              <w:rPr>
                <w:rStyle w:val="13"/>
                <w:rFonts w:hint="default"/>
                <w:lang w:bidi="ar"/>
              </w:rPr>
            </w:pPr>
            <w:r>
              <w:rPr>
                <w:rStyle w:val="13"/>
                <w:rFonts w:hint="default"/>
                <w:lang w:bidi="ar"/>
              </w:rPr>
              <w:t>④绩效自评反映的问题是否具体，意见是否可行，自评发现的问题是否整改；</w:t>
            </w:r>
          </w:p>
          <w:p>
            <w:pPr>
              <w:widowControl/>
              <w:jc w:val="left"/>
              <w:textAlignment w:val="center"/>
              <w:rPr>
                <w:rFonts w:ascii="Times New Roman" w:hAnsi="Times New Roman"/>
                <w:color w:val="000000"/>
                <w:sz w:val="18"/>
                <w:szCs w:val="18"/>
              </w:rPr>
            </w:pPr>
            <w:r>
              <w:rPr>
                <w:rStyle w:val="13"/>
                <w:rFonts w:hint="default"/>
                <w:lang w:bidi="ar"/>
              </w:rPr>
              <w:t>该项得分，①、②、③、④各计</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部门（单位）绩效管理制度；工作协同机制；现场绩效评价实际情况；自评报告及相关文件。</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重点绩效</w:t>
            </w:r>
          </w:p>
          <w:p>
            <w:pPr>
              <w:widowControl/>
              <w:jc w:val="center"/>
              <w:textAlignment w:val="center"/>
              <w:rPr>
                <w:rStyle w:val="13"/>
                <w:rFonts w:hint="default"/>
                <w:lang w:bidi="ar"/>
              </w:rPr>
            </w:pPr>
            <w:r>
              <w:rPr>
                <w:rStyle w:val="13"/>
                <w:rFonts w:hint="default"/>
                <w:lang w:bidi="ar"/>
              </w:rPr>
              <w:t>评价整改</w:t>
            </w:r>
          </w:p>
          <w:p>
            <w:pPr>
              <w:widowControl/>
              <w:jc w:val="center"/>
              <w:textAlignment w:val="center"/>
              <w:rPr>
                <w:rFonts w:ascii="Times New Roman" w:hAnsi="Times New Roman"/>
                <w:color w:val="000000"/>
                <w:sz w:val="18"/>
                <w:szCs w:val="18"/>
              </w:rPr>
            </w:pPr>
            <w:r>
              <w:rPr>
                <w:rStyle w:val="13"/>
                <w:rFonts w:hint="default"/>
                <w:lang w:bidi="ar"/>
              </w:rPr>
              <w:t>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部门（单位）上轮评价问题整改情况。</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上轮重点评价问题全部整改，计3分；上轮重点评价问题部分整改，计</w:t>
            </w:r>
            <w:r>
              <w:rPr>
                <w:rStyle w:val="14"/>
                <w:lang w:bidi="ar"/>
              </w:rPr>
              <w:t>1</w:t>
            </w:r>
            <w:r>
              <w:rPr>
                <w:rStyle w:val="13"/>
                <w:rFonts w:hint="default"/>
                <w:lang w:bidi="ar"/>
              </w:rPr>
              <w:t>分；上轮重点评价问题未整改且无整改情况说明的不计分。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部门（单位）上轮绩效评价报告及对应的整改资料。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资产</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（5分）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制度健全性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①已制定合法、合规、完整的资产管理制度，计</w:t>
            </w:r>
            <w:r>
              <w:rPr>
                <w:rStyle w:val="14"/>
                <w:lang w:bidi="ar"/>
              </w:rPr>
              <w:t>0.5</w:t>
            </w:r>
            <w:r>
              <w:rPr>
                <w:rStyle w:val="13"/>
                <w:rFonts w:hint="default"/>
                <w:lang w:bidi="ar"/>
              </w:rPr>
              <w:t>分，否则不得分；</w:t>
            </w:r>
          </w:p>
          <w:p>
            <w:pPr>
              <w:widowControl/>
              <w:jc w:val="left"/>
              <w:textAlignment w:val="center"/>
              <w:rPr>
                <w:rFonts w:hint="eastAsia" w:ascii="宋体" w:hAnsi="宋体" w:cs="宋体"/>
                <w:color w:val="000000"/>
                <w:sz w:val="18"/>
                <w:szCs w:val="18"/>
              </w:rPr>
            </w:pPr>
            <w:r>
              <w:rPr>
                <w:rStyle w:val="13"/>
                <w:rFonts w:hint="default"/>
                <w:lang w:bidi="ar"/>
              </w:rPr>
              <w:t>②相关资产管理制度得到有效执行，计</w:t>
            </w:r>
            <w:r>
              <w:rPr>
                <w:rStyle w:val="14"/>
                <w:lang w:bidi="ar"/>
              </w:rPr>
              <w:t>0.5</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部门（单位）资产管理制度；采购资产相关资料。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安全性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部门（单位）的资产是否保存完整、使用合规、配置合理、处置规范、收入及时足额上缴，用以反映和考核部门（单位）资产安全运行情况。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①资产配置合理符合标准、保管完整，账务管理规范，定期盘点并有台账，账实相符的，计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②资产处置规范，计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③资产有偿使用或处置收入及时足额上缴，计</w:t>
            </w:r>
            <w:r>
              <w:rPr>
                <w:rStyle w:val="14"/>
                <w:lang w:bidi="ar"/>
              </w:rPr>
              <w:t>0.5</w:t>
            </w:r>
            <w:r>
              <w:rPr>
                <w:rStyle w:val="13"/>
                <w:rFonts w:hint="default"/>
                <w:lang w:bidi="ar"/>
              </w:rPr>
              <w:t>分，发现未上缴，本项不得分；</w:t>
            </w:r>
          </w:p>
          <w:p>
            <w:pPr>
              <w:widowControl/>
              <w:jc w:val="left"/>
              <w:textAlignment w:val="center"/>
              <w:rPr>
                <w:rFonts w:hint="eastAsia" w:ascii="宋体" w:hAnsi="宋体" w:cs="宋体"/>
                <w:color w:val="000000"/>
                <w:sz w:val="18"/>
                <w:szCs w:val="18"/>
              </w:rPr>
            </w:pPr>
            <w:r>
              <w:rPr>
                <w:rStyle w:val="13"/>
                <w:rFonts w:hint="default"/>
                <w:lang w:bidi="ar"/>
              </w:rPr>
              <w:t>④资产购置履行政府采购手续，计</w:t>
            </w:r>
            <w:r>
              <w:rPr>
                <w:rStyle w:val="14"/>
                <w:lang w:bidi="ar"/>
              </w:rPr>
              <w:t>0.3</w:t>
            </w:r>
            <w:r>
              <w:rPr>
                <w:rStyle w:val="13"/>
                <w:rFonts w:hint="default"/>
                <w:lang w:bidi="ar"/>
              </w:rPr>
              <w:t>分，发现一例不符，扣</w:t>
            </w:r>
            <w:r>
              <w:rPr>
                <w:rStyle w:val="14"/>
                <w:lang w:bidi="ar"/>
              </w:rPr>
              <w:t>0.1</w:t>
            </w:r>
            <w:r>
              <w:rPr>
                <w:rStyle w:val="13"/>
                <w:rFonts w:hint="default"/>
                <w:lang w:bidi="ar"/>
              </w:rPr>
              <w:t>分，扣完为止；外租资产全部走合规程序，计</w:t>
            </w:r>
            <w:r>
              <w:rPr>
                <w:rStyle w:val="14"/>
                <w:lang w:bidi="ar"/>
              </w:rPr>
              <w:t>0.2</w:t>
            </w:r>
            <w:r>
              <w:rPr>
                <w:rStyle w:val="13"/>
                <w:rFonts w:hint="default"/>
                <w:lang w:bidi="ar"/>
              </w:rPr>
              <w:t>分，发现一例不合规，扣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财政部门批复的本年度部门（单位）预算；资产账；部门（单位）岗位人员配置、资产配置、资产处置审批资料；政府采购手续及资料等。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固定资产</w:t>
            </w:r>
          </w:p>
          <w:p>
            <w:pPr>
              <w:widowControl/>
              <w:jc w:val="center"/>
              <w:textAlignment w:val="center"/>
              <w:rPr>
                <w:rFonts w:ascii="Times New Roman" w:hAnsi="Times New Roman"/>
                <w:color w:val="000000"/>
                <w:sz w:val="18"/>
                <w:szCs w:val="18"/>
              </w:rPr>
            </w:pPr>
            <w:r>
              <w:rPr>
                <w:rStyle w:val="13"/>
                <w:rFonts w:hint="default"/>
                <w:lang w:bidi="ar"/>
              </w:rPr>
              <w:t>保管和使用情况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掌握预算单位固定资产配置管理使用情况。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①建了固定资产台账实行编码管理，且编码与实物完全匹配计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②建立了固定资产增减变化审批程序的计0.5分，否则不得分；</w:t>
            </w:r>
          </w:p>
          <w:p>
            <w:pPr>
              <w:widowControl/>
              <w:jc w:val="left"/>
              <w:textAlignment w:val="center"/>
              <w:rPr>
                <w:rFonts w:hint="eastAsia" w:ascii="宋体" w:hAnsi="宋体" w:cs="宋体"/>
                <w:color w:val="000000"/>
                <w:sz w:val="18"/>
                <w:szCs w:val="18"/>
              </w:rPr>
            </w:pPr>
            <w:r>
              <w:rPr>
                <w:rStyle w:val="13"/>
                <w:rFonts w:hint="default"/>
                <w:lang w:bidi="ar"/>
              </w:rPr>
              <w:t>③固定资产无闲置浪费现象计0.5分，发现一处扣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部门（单位）固定资产实际使用情况；固定资产账。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产出</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22</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3"/>
                <w:rFonts w:hint="default"/>
                <w:lang w:bidi="ar"/>
              </w:rPr>
              <w:t>职责履行（</w:t>
            </w:r>
            <w:r>
              <w:rPr>
                <w:rStyle w:val="14"/>
                <w:lang w:bidi="ar"/>
              </w:rPr>
              <w:t>22</w:t>
            </w:r>
            <w:r>
              <w:rPr>
                <w:rStyle w:val="13"/>
                <w:rFonts w:hint="default"/>
                <w:lang w:bidi="ar"/>
              </w:rPr>
              <w:t>分）</w:t>
            </w: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部门整体</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工作质量</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反映部门党委政府绩效考核评估等级</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以市委、市政府绩效效考核评估结果为依据：优秀，计</w:t>
            </w:r>
            <w:r>
              <w:rPr>
                <w:rStyle w:val="14"/>
                <w:lang w:bidi="ar"/>
              </w:rPr>
              <w:t>6</w:t>
            </w:r>
            <w:r>
              <w:rPr>
                <w:rStyle w:val="13"/>
                <w:rFonts w:hint="default"/>
                <w:lang w:bidi="ar"/>
              </w:rPr>
              <w:t>分；良好，</w:t>
            </w:r>
            <w:r>
              <w:rPr>
                <w:rStyle w:val="14"/>
                <w:lang w:bidi="ar"/>
              </w:rPr>
              <w:t>4</w:t>
            </w:r>
            <w:r>
              <w:rPr>
                <w:rStyle w:val="13"/>
                <w:rFonts w:hint="default"/>
                <w:lang w:bidi="ar"/>
              </w:rPr>
              <w:t>分；合格，</w:t>
            </w:r>
            <w:r>
              <w:rPr>
                <w:rStyle w:val="14"/>
                <w:lang w:bidi="ar"/>
              </w:rPr>
              <w:t>2</w:t>
            </w:r>
            <w:r>
              <w:rPr>
                <w:rStyle w:val="13"/>
                <w:rFonts w:hint="default"/>
                <w:lang w:bidi="ar"/>
              </w:rPr>
              <w:t>分；不合格，</w:t>
            </w:r>
            <w:r>
              <w:rPr>
                <w:rStyle w:val="14"/>
                <w:lang w:bidi="ar"/>
              </w:rPr>
              <w:t>0</w:t>
            </w:r>
            <w:r>
              <w:rPr>
                <w:rStyle w:val="13"/>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实际</w:t>
            </w:r>
          </w:p>
          <w:p>
            <w:pPr>
              <w:widowControl/>
              <w:jc w:val="center"/>
              <w:textAlignment w:val="center"/>
              <w:rPr>
                <w:rFonts w:ascii="Times New Roman" w:hAnsi="Times New Roman"/>
                <w:color w:val="000000"/>
                <w:sz w:val="18"/>
                <w:szCs w:val="18"/>
              </w:rPr>
            </w:pPr>
            <w:r>
              <w:rPr>
                <w:rStyle w:val="15"/>
                <w:rFonts w:hint="default"/>
                <w:lang w:bidi="ar"/>
              </w:rPr>
              <w:t>完成率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部门履行职责而实际完成工作数与计划工作数的比率，用以反映和考核部门履职工作任务目标的实现程度。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实际完成率</w:t>
            </w:r>
            <w:r>
              <w:rPr>
                <w:rStyle w:val="16"/>
                <w:lang w:bidi="ar"/>
              </w:rPr>
              <w:t>=</w:t>
            </w:r>
            <w:r>
              <w:rPr>
                <w:rStyle w:val="15"/>
                <w:rFonts w:hint="default"/>
                <w:lang w:bidi="ar"/>
              </w:rPr>
              <w:t>（实际完成工作数</w:t>
            </w:r>
            <w:r>
              <w:rPr>
                <w:rStyle w:val="16"/>
                <w:lang w:bidi="ar"/>
              </w:rPr>
              <w:t>/</w:t>
            </w:r>
            <w:r>
              <w:rPr>
                <w:rStyle w:val="15"/>
                <w:rFonts w:hint="default"/>
                <w:lang w:bidi="ar"/>
              </w:rPr>
              <w:t>计划工作数）</w:t>
            </w:r>
            <w:r>
              <w:rPr>
                <w:rStyle w:val="16"/>
                <w:lang w:bidi="ar"/>
              </w:rPr>
              <w:t>×100%</w:t>
            </w:r>
            <w:r>
              <w:rPr>
                <w:rStyle w:val="15"/>
                <w:rFonts w:hint="default"/>
                <w:lang w:bidi="ar"/>
              </w:rPr>
              <w:t>。实际完成工作数：一定时期（年度或规划期）内部门实际完成工作任务的数量。计划工作数：部门整体绩效目标确定的一定时期（年度或规划期）内预计完成工作任务的数量。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完成率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完成</w:t>
            </w:r>
          </w:p>
          <w:p>
            <w:pPr>
              <w:widowControl/>
              <w:jc w:val="center"/>
              <w:textAlignment w:val="center"/>
              <w:rPr>
                <w:rFonts w:ascii="Times New Roman" w:hAnsi="Times New Roman"/>
                <w:color w:val="000000"/>
                <w:sz w:val="18"/>
                <w:szCs w:val="18"/>
              </w:rPr>
            </w:pPr>
            <w:r>
              <w:rPr>
                <w:rStyle w:val="15"/>
                <w:rFonts w:hint="default"/>
                <w:lang w:bidi="ar"/>
              </w:rPr>
              <w:t>及时性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部门在规定时限内及时完成的实际工作数与计划工作数的比率，用以反映和考核部门履职实效目标的实现程度。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完成及时率</w:t>
            </w:r>
            <w:r>
              <w:rPr>
                <w:rStyle w:val="16"/>
                <w:lang w:bidi="ar"/>
              </w:rPr>
              <w:t>=</w:t>
            </w:r>
            <w:r>
              <w:rPr>
                <w:rStyle w:val="15"/>
                <w:rFonts w:hint="default"/>
                <w:lang w:bidi="ar"/>
              </w:rPr>
              <w:t>（及时完成实际工作数</w:t>
            </w:r>
            <w:r>
              <w:rPr>
                <w:rStyle w:val="16"/>
                <w:lang w:bidi="ar"/>
              </w:rPr>
              <w:t>/</w:t>
            </w:r>
            <w:r>
              <w:rPr>
                <w:rStyle w:val="15"/>
                <w:rFonts w:hint="default"/>
                <w:lang w:bidi="ar"/>
              </w:rPr>
              <w:t>计划工作数）</w:t>
            </w:r>
            <w:r>
              <w:rPr>
                <w:rStyle w:val="16"/>
                <w:lang w:bidi="ar"/>
              </w:rPr>
              <w:t>×100%</w:t>
            </w:r>
            <w:r>
              <w:rPr>
                <w:rStyle w:val="15"/>
                <w:rFonts w:hint="default"/>
                <w:lang w:bidi="ar"/>
              </w:rPr>
              <w:t>。及时完成实际工作数：部门按照整体绩效目标确定的时限实际完成的工作任务数量。</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完成及时率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质量</w:t>
            </w:r>
          </w:p>
          <w:p>
            <w:pPr>
              <w:widowControl/>
              <w:jc w:val="center"/>
              <w:textAlignment w:val="center"/>
              <w:rPr>
                <w:rFonts w:ascii="Times New Roman" w:hAnsi="Times New Roman"/>
                <w:color w:val="000000"/>
                <w:sz w:val="18"/>
                <w:szCs w:val="18"/>
              </w:rPr>
            </w:pPr>
            <w:r>
              <w:rPr>
                <w:rStyle w:val="15"/>
                <w:rFonts w:hint="default"/>
                <w:lang w:bidi="ar"/>
              </w:rPr>
              <w:t>达标率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达到质量标准（绩效标准值）的实际工作数与计划工作数的比率</w:t>
            </w:r>
            <w:r>
              <w:rPr>
                <w:rStyle w:val="16"/>
                <w:lang w:bidi="ar"/>
              </w:rPr>
              <w:t>,</w:t>
            </w:r>
            <w:r>
              <w:rPr>
                <w:rStyle w:val="15"/>
                <w:rFonts w:hint="default"/>
                <w:lang w:bidi="ar"/>
              </w:rPr>
              <w:t>用以反映和考核部门履职质量目标的实现程度。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质量达标率</w:t>
            </w:r>
            <w:r>
              <w:rPr>
                <w:rStyle w:val="16"/>
                <w:lang w:bidi="ar"/>
              </w:rPr>
              <w:t>=</w:t>
            </w:r>
            <w:r>
              <w:rPr>
                <w:rStyle w:val="15"/>
                <w:rFonts w:hint="default"/>
                <w:lang w:bidi="ar"/>
              </w:rPr>
              <w:t>（质量达标实际工作数</w:t>
            </w:r>
            <w:r>
              <w:rPr>
                <w:rStyle w:val="16"/>
                <w:lang w:bidi="ar"/>
              </w:rPr>
              <w:t>/</w:t>
            </w:r>
            <w:r>
              <w:rPr>
                <w:rStyle w:val="15"/>
                <w:rFonts w:hint="default"/>
                <w:lang w:bidi="ar"/>
              </w:rPr>
              <w:t>计划工作数）</w:t>
            </w:r>
            <w:r>
              <w:rPr>
                <w:rStyle w:val="16"/>
                <w:lang w:bidi="ar"/>
              </w:rPr>
              <w:t>×100%</w:t>
            </w:r>
            <w:r>
              <w:rPr>
                <w:rStyle w:val="15"/>
                <w:rFonts w:hint="default"/>
                <w:lang w:bidi="ar"/>
              </w:rPr>
              <w:t>。质量达标实际工作数：一定时期（年度或规划期）内部门实际完成工作数中达到部门绩效目标要求（绩效标准值）的工作任务数量。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达标率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重点工作</w:t>
            </w:r>
          </w:p>
          <w:p>
            <w:pPr>
              <w:widowControl/>
              <w:jc w:val="center"/>
              <w:textAlignment w:val="center"/>
              <w:rPr>
                <w:rFonts w:ascii="Times New Roman" w:hAnsi="Times New Roman"/>
                <w:color w:val="000000"/>
                <w:sz w:val="18"/>
                <w:szCs w:val="18"/>
              </w:rPr>
            </w:pPr>
            <w:r>
              <w:rPr>
                <w:rStyle w:val="15"/>
                <w:rFonts w:hint="default"/>
                <w:lang w:bidi="ar"/>
              </w:rPr>
              <w:t>办结率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部门年度重点工作实际完成数与交办或下达数的比率，用以反映部门对重点工作的办理落实程度。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重点工作办结率</w:t>
            </w:r>
            <w:r>
              <w:rPr>
                <w:rStyle w:val="16"/>
                <w:lang w:bidi="ar"/>
              </w:rPr>
              <w:t>=</w:t>
            </w:r>
            <w:r>
              <w:rPr>
                <w:rStyle w:val="15"/>
                <w:rFonts w:hint="default"/>
                <w:lang w:bidi="ar"/>
              </w:rPr>
              <w:t>（重点工作实际完成数</w:t>
            </w:r>
            <w:r>
              <w:rPr>
                <w:rStyle w:val="16"/>
                <w:lang w:bidi="ar"/>
              </w:rPr>
              <w:t>/</w:t>
            </w:r>
            <w:r>
              <w:rPr>
                <w:rStyle w:val="15"/>
                <w:rFonts w:hint="default"/>
                <w:lang w:bidi="ar"/>
              </w:rPr>
              <w:t>交办或下达数）</w:t>
            </w:r>
            <w:r>
              <w:rPr>
                <w:rStyle w:val="16"/>
                <w:lang w:bidi="ar"/>
              </w:rPr>
              <w:t>×100%</w:t>
            </w:r>
            <w:r>
              <w:rPr>
                <w:rStyle w:val="15"/>
                <w:rFonts w:hint="default"/>
                <w:lang w:bidi="ar"/>
              </w:rPr>
              <w:t>。</w:t>
            </w:r>
          </w:p>
          <w:p>
            <w:pPr>
              <w:widowControl/>
              <w:jc w:val="left"/>
              <w:textAlignment w:val="center"/>
              <w:rPr>
                <w:rStyle w:val="15"/>
                <w:rFonts w:hint="default"/>
                <w:lang w:bidi="ar"/>
              </w:rPr>
            </w:pPr>
            <w:r>
              <w:rPr>
                <w:rStyle w:val="15"/>
                <w:rFonts w:hint="default"/>
                <w:lang w:bidi="ar"/>
              </w:rPr>
              <w:t>重点工作是指党委、政府、人大、相关部门交办或下达的工作任务。</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办结率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效果</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17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履职效益（</w:t>
            </w:r>
            <w:r>
              <w:rPr>
                <w:rStyle w:val="16"/>
                <w:lang w:bidi="ar"/>
              </w:rPr>
              <w:t>17</w:t>
            </w:r>
            <w:r>
              <w:rPr>
                <w:rStyle w:val="15"/>
                <w:rFonts w:hint="default"/>
                <w:lang w:bidi="ar"/>
              </w:rPr>
              <w:t>分）</w:t>
            </w: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经济</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9</w:t>
            </w:r>
          </w:p>
        </w:tc>
        <w:tc>
          <w:tcPr>
            <w:tcW w:w="2570" w:type="dxa"/>
            <w:vMerge w:val="restart"/>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部门履行职责对经济发展、社会发展、生态环境所带来的直接或间接影响。</w:t>
            </w:r>
          </w:p>
        </w:tc>
        <w:tc>
          <w:tcPr>
            <w:tcW w:w="5112" w:type="dxa"/>
            <w:vMerge w:val="restart"/>
            <w:tcBorders>
              <w:tl2br w:val="nil"/>
              <w:tr2bl w:val="nil"/>
            </w:tcBorders>
            <w:vAlign w:val="center"/>
          </w:tcPr>
          <w:p>
            <w:pPr>
              <w:widowControl/>
              <w:jc w:val="left"/>
              <w:textAlignment w:val="center"/>
              <w:rPr>
                <w:rStyle w:val="15"/>
                <w:rFonts w:hint="default"/>
                <w:lang w:bidi="ar"/>
              </w:rPr>
            </w:pPr>
            <w:r>
              <w:rPr>
                <w:rStyle w:val="15"/>
                <w:rFonts w:hint="default"/>
                <w:lang w:bidi="ar"/>
              </w:rPr>
              <w:t>此三项指标可根据部门实际并结合部门整体支出绩效目标设立情况有选择的进行评价。</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依据评价内容相应计分。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社会</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生态</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社会公众或服务对象满意度</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社会公众或部门的服务对象对部门履职效果的满意程度。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社会公众或服务对象是指部门履行职责而影响到的部门、群体或个人。一般采取社会调查的方式</w:t>
            </w:r>
            <w:r>
              <w:rPr>
                <w:rStyle w:val="16"/>
                <w:lang w:bidi="ar"/>
              </w:rPr>
              <w:t>(</w:t>
            </w:r>
            <w:r>
              <w:rPr>
                <w:rStyle w:val="15"/>
                <w:rFonts w:hint="default"/>
                <w:lang w:bidi="ar"/>
              </w:rPr>
              <w:t>不少于</w:t>
            </w:r>
            <w:r>
              <w:rPr>
                <w:rStyle w:val="16"/>
                <w:lang w:bidi="ar"/>
              </w:rPr>
              <w:t>30</w:t>
            </w:r>
            <w:r>
              <w:rPr>
                <w:rStyle w:val="15"/>
                <w:rFonts w:hint="default"/>
                <w:lang w:bidi="ar"/>
              </w:rPr>
              <w:t>份</w:t>
            </w:r>
            <w:r>
              <w:rPr>
                <w:rStyle w:val="16"/>
                <w:lang w:bidi="ar"/>
              </w:rPr>
              <w:t>)</w:t>
            </w:r>
            <w:r>
              <w:rPr>
                <w:rStyle w:val="15"/>
                <w:rFonts w:hint="default"/>
                <w:lang w:bidi="ar"/>
              </w:rPr>
              <w:t>。</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满意率</w:t>
            </w:r>
            <w:r>
              <w:rPr>
                <w:rStyle w:val="16"/>
                <w:lang w:bidi="ar"/>
              </w:rPr>
              <w:t>×8</w:t>
            </w:r>
            <w:r>
              <w:rPr>
                <w:rStyle w:val="15"/>
                <w:rFonts w:hint="default"/>
                <w:lang w:bidi="ar"/>
              </w:rPr>
              <w:t>分。</w:t>
            </w:r>
          </w:p>
        </w:tc>
        <w:tc>
          <w:tcPr>
            <w:tcW w:w="2115" w:type="dxa"/>
            <w:tcBorders>
              <w:tl2br w:val="nil"/>
              <w:tr2bl w:val="nil"/>
            </w:tcBorders>
            <w:vAlign w:val="center"/>
          </w:tcPr>
          <w:p>
            <w:pPr>
              <w:jc w:val="left"/>
              <w:rPr>
                <w:rFonts w:hint="eastAsia" w:ascii="宋体" w:hAnsi="宋体" w:cs="宋体"/>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vAlign w:val="center"/>
          </w:tcPr>
          <w:p>
            <w:pPr>
              <w:widowControl/>
              <w:jc w:val="center"/>
              <w:textAlignment w:val="center"/>
              <w:rPr>
                <w:rFonts w:ascii="Times New Roman" w:hAnsi="Times New Roman"/>
                <w:color w:val="000000"/>
                <w:sz w:val="18"/>
                <w:szCs w:val="18"/>
              </w:rPr>
            </w:pPr>
            <w:r>
              <w:rPr>
                <w:rStyle w:val="17"/>
                <w:rFonts w:hint="default"/>
                <w:lang w:bidi="ar"/>
              </w:rPr>
              <w:t>合</w:t>
            </w:r>
            <w:r>
              <w:rPr>
                <w:rStyle w:val="18"/>
                <w:lang w:bidi="ar"/>
              </w:rPr>
              <w:t xml:space="preserve">  </w:t>
            </w:r>
            <w:r>
              <w:rPr>
                <w:rStyle w:val="17"/>
                <w:rFonts w:hint="default"/>
                <w:lang w:bidi="ar"/>
              </w:rPr>
              <w:t>计</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100</w:t>
            </w:r>
          </w:p>
        </w:tc>
        <w:tc>
          <w:tcPr>
            <w:tcW w:w="2570" w:type="dxa"/>
            <w:tcBorders>
              <w:tl2br w:val="nil"/>
              <w:tr2bl w:val="nil"/>
            </w:tcBorders>
            <w:vAlign w:val="center"/>
          </w:tcPr>
          <w:p>
            <w:pPr>
              <w:rPr>
                <w:rFonts w:ascii="Times New Roman" w:hAnsi="Times New Roman"/>
                <w:color w:val="000000"/>
                <w:sz w:val="18"/>
                <w:szCs w:val="18"/>
              </w:rPr>
            </w:pPr>
          </w:p>
        </w:tc>
        <w:tc>
          <w:tcPr>
            <w:tcW w:w="5112" w:type="dxa"/>
            <w:tcBorders>
              <w:tl2br w:val="nil"/>
              <w:tr2bl w:val="nil"/>
            </w:tcBorders>
            <w:vAlign w:val="center"/>
          </w:tcPr>
          <w:p>
            <w:pPr>
              <w:rPr>
                <w:rFonts w:ascii="Times New Roman" w:hAnsi="Times New Roman"/>
                <w:color w:val="000000"/>
                <w:sz w:val="18"/>
                <w:szCs w:val="18"/>
              </w:rPr>
            </w:pPr>
          </w:p>
        </w:tc>
        <w:tc>
          <w:tcPr>
            <w:tcW w:w="2115" w:type="dxa"/>
            <w:tcBorders>
              <w:tl2br w:val="nil"/>
              <w:tr2bl w:val="nil"/>
            </w:tcBorders>
            <w:vAlign w:val="center"/>
          </w:tcPr>
          <w:p>
            <w:pPr>
              <w:rPr>
                <w:rFonts w:ascii="Times New Roman" w:hAnsi="Times New Roman"/>
                <w:color w:val="000000"/>
                <w:sz w:val="18"/>
                <w:szCs w:val="18"/>
              </w:rPr>
            </w:pPr>
          </w:p>
        </w:tc>
        <w:tc>
          <w:tcPr>
            <w:tcW w:w="586" w:type="dxa"/>
            <w:tcBorders>
              <w:tl2br w:val="nil"/>
              <w:tr2bl w:val="nil"/>
            </w:tcBorders>
            <w:vAlign w:val="center"/>
          </w:tcPr>
          <w:p>
            <w:pP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93</w:t>
            </w:r>
          </w:p>
        </w:tc>
      </w:tr>
    </w:tbl>
    <w:p>
      <w:pPr>
        <w:adjustRightInd w:val="0"/>
        <w:spacing w:line="600" w:lineRule="exact"/>
        <w:ind w:right="641"/>
        <w:rPr>
          <w:rFonts w:ascii="黑体" w:eastAsia="黑体"/>
          <w:sz w:val="32"/>
          <w:szCs w:val="32"/>
        </w:rPr>
        <w:sectPr>
          <w:pgSz w:w="16837" w:h="11905" w:orient="landscape"/>
          <w:pgMar w:top="1417" w:right="1417" w:bottom="1417" w:left="1417" w:header="0" w:footer="0" w:gutter="0"/>
          <w:pgNumType w:start="1"/>
          <w:cols w:space="0" w:num="1"/>
          <w:docGrid w:linePitch="636" w:charSpace="0"/>
        </w:sectPr>
      </w:pPr>
    </w:p>
    <w:p>
      <w:pPr>
        <w:pStyle w:val="6"/>
        <w:ind w:firstLine="0" w:firstLineChars="0"/>
        <w:rPr>
          <w:rFonts w:hint="eastAsia" w:ascii="黑体" w:hAnsi="黑体" w:eastAsia="黑体" w:cs="黑体"/>
        </w:rPr>
      </w:pPr>
      <w:r>
        <w:rPr>
          <w:rFonts w:hint="eastAsia" w:ascii="黑体" w:hAnsi="黑体" w:eastAsia="黑体" w:cs="黑体"/>
        </w:rPr>
        <w:t>附件4</w:t>
      </w:r>
    </w:p>
    <w:p>
      <w:pPr>
        <w:pStyle w:val="6"/>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2023年度部门整体支出绩效评价基础数据表</w:t>
      </w:r>
    </w:p>
    <w:tbl>
      <w:tblPr>
        <w:tblStyle w:val="7"/>
        <w:tblW w:w="9270" w:type="dxa"/>
        <w:jc w:val="center"/>
        <w:tblLayout w:type="fixed"/>
        <w:tblCellMar>
          <w:top w:w="0" w:type="dxa"/>
          <w:left w:w="108" w:type="dxa"/>
          <w:bottom w:w="0" w:type="dxa"/>
          <w:right w:w="108" w:type="dxa"/>
        </w:tblCellMar>
      </w:tblPr>
      <w:tblGrid>
        <w:gridCol w:w="2805"/>
        <w:gridCol w:w="1335"/>
        <w:gridCol w:w="1080"/>
        <w:gridCol w:w="2160"/>
        <w:gridCol w:w="1890"/>
      </w:tblGrid>
      <w:tr>
        <w:tblPrEx>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编制数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控制率</w:t>
            </w:r>
          </w:p>
        </w:tc>
      </w:tr>
      <w:tr>
        <w:tblPrEx>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26</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26</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100</w:t>
            </w:r>
            <w:r>
              <w:rPr>
                <w:rFonts w:hint="eastAsia" w:ascii="仿宋" w:hAnsi="仿宋" w:eastAsia="仿宋" w:cs="仿宋"/>
                <w:b/>
                <w:bCs/>
                <w:color w:val="000000"/>
                <w:szCs w:val="21"/>
              </w:rPr>
              <w:t>%</w:t>
            </w:r>
          </w:p>
        </w:tc>
      </w:tr>
      <w:tr>
        <w:tblPrEx>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2022年决算数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年预算数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2023年决算数</w:t>
            </w:r>
          </w:p>
        </w:tc>
      </w:tr>
      <w:tr>
        <w:tblPrEx>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  公车购置</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公车运行维护</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 、 出国经费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 公务接待</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项目支出：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800" w:firstLineChars="4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公用经费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其中：办公经费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15.93</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16.53</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16.53</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14.65</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11.95</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11.95</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2.82</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2.6</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2.6</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政府采购金额</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厉行节约保障措施</w:t>
            </w:r>
          </w:p>
        </w:tc>
        <w:tc>
          <w:tcPr>
            <w:tcW w:w="646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bl>
    <w:p>
      <w:pPr>
        <w:pStyle w:val="6"/>
        <w:ind w:firstLine="480"/>
        <w:rPr>
          <w:rFonts w:hint="eastAsia" w:ascii="仿宋" w:hAnsi="仿宋" w:eastAsia="仿宋" w:cs="仿宋"/>
          <w:sz w:val="24"/>
          <w:szCs w:val="24"/>
        </w:rPr>
      </w:pPr>
      <w:r>
        <w:rPr>
          <w:rFonts w:hint="eastAsia" w:ascii="仿宋" w:hAnsi="仿宋" w:eastAsia="仿宋" w:cs="仿宋"/>
          <w:sz w:val="24"/>
          <w:szCs w:val="24"/>
        </w:rPr>
        <w:t>说明：“项目支出”需要填报基本支出以外的所有项目支出情况，“公用经费”填报基本支出的一般商品和服务支出。</w:t>
      </w:r>
    </w:p>
    <w:p>
      <w:pPr>
        <w:pStyle w:val="6"/>
        <w:ind w:firstLine="0" w:firstLineChars="0"/>
        <w:rPr>
          <w:rFonts w:hint="eastAsia" w:ascii="仿宋" w:hAnsi="仿宋" w:eastAsia="仿宋" w:cs="仿宋"/>
          <w:sz w:val="24"/>
          <w:szCs w:val="24"/>
        </w:rPr>
      </w:pPr>
    </w:p>
    <w:p>
      <w:pPr>
        <w:pStyle w:val="6"/>
        <w:ind w:firstLine="0" w:firstLineChars="0"/>
        <w:rPr>
          <w:rFonts w:hint="eastAsia" w:ascii="仿宋" w:hAnsi="仿宋" w:eastAsia="仿宋" w:cs="仿宋"/>
          <w:sz w:val="22"/>
          <w:szCs w:val="22"/>
          <w:lang w:val="en-US" w:eastAsia="zh-CN"/>
        </w:rPr>
      </w:pPr>
      <w:r>
        <w:rPr>
          <w:rFonts w:hint="eastAsia" w:ascii="仿宋" w:hAnsi="仿宋" w:eastAsia="仿宋" w:cs="仿宋"/>
          <w:sz w:val="24"/>
          <w:szCs w:val="24"/>
        </w:rPr>
        <w:t>填表人：</w:t>
      </w:r>
      <w:r>
        <w:rPr>
          <w:rFonts w:hint="eastAsia" w:ascii="仿宋" w:hAnsi="仿宋" w:eastAsia="仿宋" w:cs="仿宋"/>
          <w:sz w:val="22"/>
          <w:szCs w:val="22"/>
          <w:lang w:val="en-US" w:eastAsia="zh-CN"/>
        </w:rPr>
        <w:t>申龙慧</w:t>
      </w:r>
      <w:r>
        <w:rPr>
          <w:rFonts w:hint="eastAsia" w:ascii="仿宋" w:hAnsi="仿宋" w:eastAsia="仿宋" w:cs="仿宋"/>
          <w:sz w:val="21"/>
          <w:szCs w:val="21"/>
        </w:rPr>
        <w:t xml:space="preserve"> </w:t>
      </w:r>
      <w:r>
        <w:rPr>
          <w:rFonts w:hint="eastAsia" w:ascii="仿宋" w:hAnsi="仿宋" w:eastAsia="仿宋" w:cs="仿宋"/>
          <w:sz w:val="24"/>
          <w:szCs w:val="24"/>
        </w:rPr>
        <w:t>填报日期：</w:t>
      </w:r>
      <w:r>
        <w:rPr>
          <w:rFonts w:hint="eastAsia" w:ascii="仿宋" w:hAnsi="仿宋" w:eastAsia="仿宋" w:cs="仿宋"/>
          <w:sz w:val="21"/>
          <w:szCs w:val="21"/>
        </w:rPr>
        <w:t>20</w:t>
      </w:r>
      <w:r>
        <w:rPr>
          <w:rFonts w:hint="eastAsia" w:ascii="仿宋" w:hAnsi="仿宋" w:eastAsia="仿宋" w:cs="仿宋"/>
          <w:sz w:val="21"/>
          <w:szCs w:val="21"/>
          <w:lang w:eastAsia="zh-CN"/>
        </w:rPr>
        <w:t>26</w:t>
      </w:r>
      <w:r>
        <w:rPr>
          <w:rFonts w:hint="eastAsia" w:ascii="仿宋" w:hAnsi="仿宋" w:eastAsia="仿宋" w:cs="仿宋"/>
          <w:sz w:val="21"/>
          <w:szCs w:val="21"/>
        </w:rPr>
        <w:t>-03-05</w:t>
      </w:r>
      <w:r>
        <w:rPr>
          <w:rFonts w:hint="eastAsia" w:ascii="仿宋" w:hAnsi="仿宋" w:eastAsia="仿宋" w:cs="仿宋"/>
          <w:sz w:val="24"/>
          <w:szCs w:val="24"/>
        </w:rPr>
        <w:t xml:space="preserve"> 联系电话：</w:t>
      </w:r>
      <w:r>
        <w:rPr>
          <w:rFonts w:hint="eastAsia" w:ascii="仿宋" w:hAnsi="仿宋" w:eastAsia="仿宋" w:cs="仿宋"/>
          <w:sz w:val="21"/>
          <w:szCs w:val="21"/>
          <w:lang w:val="en-US" w:eastAsia="zh-CN"/>
        </w:rPr>
        <w:t>17700579387</w:t>
      </w:r>
      <w:r>
        <w:rPr>
          <w:rFonts w:hint="eastAsia" w:ascii="仿宋" w:hAnsi="仿宋" w:eastAsia="仿宋" w:cs="仿宋"/>
          <w:sz w:val="24"/>
          <w:szCs w:val="24"/>
        </w:rPr>
        <w:t>单位负责人签字：</w:t>
      </w:r>
      <w:r>
        <w:rPr>
          <w:rFonts w:hint="eastAsia" w:ascii="仿宋" w:hAnsi="仿宋" w:eastAsia="仿宋" w:cs="仿宋"/>
          <w:sz w:val="22"/>
          <w:szCs w:val="22"/>
          <w:lang w:val="en-US" w:eastAsia="zh-CN"/>
        </w:rPr>
        <w:t>郑铭</w:t>
      </w: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附件5</w:t>
      </w:r>
    </w:p>
    <w:p>
      <w:pPr>
        <w:pStyle w:val="6"/>
        <w:ind w:firstLine="0" w:firstLineChars="0"/>
        <w:jc w:val="center"/>
        <w:rPr>
          <w:rFonts w:hint="eastAsia" w:ascii="楷体" w:hAnsi="楷体" w:eastAsia="楷体" w:cs="楷体"/>
        </w:rPr>
      </w:pPr>
      <w:r>
        <w:rPr>
          <w:rFonts w:hint="eastAsia" w:ascii="黑体" w:hAnsi="黑体" w:eastAsia="黑体" w:cs="黑体"/>
          <w:sz w:val="44"/>
          <w:szCs w:val="44"/>
        </w:rPr>
        <w:t>项目支出绩效自评报告</w:t>
      </w:r>
    </w:p>
    <w:p>
      <w:pPr>
        <w:pStyle w:val="6"/>
        <w:ind w:firstLine="0" w:firstLineChars="0"/>
        <w:rPr>
          <w:rFonts w:hint="eastAsia" w:ascii="黑体" w:hAnsi="黑体" w:eastAsia="黑体" w:cs="黑体"/>
        </w:rPr>
      </w:pPr>
      <w:r>
        <w:rPr>
          <w:rFonts w:hint="eastAsia" w:ascii="黑体" w:hAnsi="黑体" w:eastAsia="黑体" w:cs="黑体"/>
        </w:rPr>
        <w:t xml:space="preserve"> </w:t>
      </w:r>
    </w:p>
    <w:p>
      <w:pPr>
        <w:pStyle w:val="6"/>
        <w:ind w:firstLine="640"/>
        <w:rPr>
          <w:rFonts w:hint="eastAsia" w:ascii="黑体" w:hAnsi="黑体" w:eastAsia="黑体" w:cs="黑体"/>
        </w:rPr>
      </w:pPr>
      <w:r>
        <w:rPr>
          <w:rFonts w:hint="eastAsia" w:ascii="黑体" w:hAnsi="黑体" w:eastAsia="黑体" w:cs="黑体"/>
        </w:rPr>
        <w:t>一、项目支出概况</w:t>
      </w:r>
    </w:p>
    <w:p>
      <w:pPr>
        <w:pStyle w:val="6"/>
        <w:numPr>
          <w:ilvl w:val="0"/>
          <w:numId w:val="0"/>
        </w:numPr>
        <w:ind w:firstLine="643" w:firstLineChars="200"/>
        <w:rPr>
          <w:rFonts w:hint="eastAsia" w:ascii="楷体" w:hAnsi="楷体" w:eastAsia="楷体" w:cs="楷体"/>
          <w:b w:val="0"/>
          <w:bCs/>
        </w:rPr>
      </w:pPr>
      <w:r>
        <w:rPr>
          <w:rFonts w:hint="eastAsia" w:ascii="楷体" w:hAnsi="楷体" w:eastAsia="楷体" w:cs="楷体"/>
          <w:b/>
          <w:bCs w:val="0"/>
        </w:rPr>
        <w:t>（</w:t>
      </w:r>
      <w:r>
        <w:rPr>
          <w:rFonts w:hint="eastAsia" w:ascii="楷体" w:hAnsi="楷体" w:eastAsia="楷体" w:cs="楷体"/>
          <w:b w:val="0"/>
          <w:bCs/>
        </w:rPr>
        <w:t>一）项目实施单位基本情况。</w:t>
      </w:r>
    </w:p>
    <w:p>
      <w:pPr>
        <w:pStyle w:val="6"/>
        <w:numPr>
          <w:ilvl w:val="0"/>
          <w:numId w:val="0"/>
        </w:numPr>
        <w:ind w:firstLine="640" w:firstLineChars="200"/>
        <w:rPr>
          <w:rFonts w:hint="eastAsia" w:ascii="楷体" w:hAnsi="楷体" w:eastAsia="楷体" w:cs="楷体"/>
          <w:b w:val="0"/>
          <w:bCs/>
        </w:rPr>
      </w:pPr>
      <w:r>
        <w:rPr>
          <w:rFonts w:hint="eastAsia" w:ascii="楷体" w:hAnsi="楷体" w:eastAsia="楷体" w:cs="楷体"/>
          <w:b w:val="0"/>
          <w:bCs/>
          <w:lang w:val="en-US" w:eastAsia="zh-CN"/>
        </w:rPr>
        <w:t xml:space="preserve">   </w:t>
      </w:r>
      <w:r>
        <w:rPr>
          <w:rFonts w:hint="eastAsia" w:ascii="楷体" w:hAnsi="楷体" w:eastAsia="楷体" w:cs="楷体"/>
          <w:b w:val="0"/>
          <w:bCs/>
        </w:rPr>
        <w:t>邵阳县郦家坪镇杉木桥初级中学内设机构包括：内设机构5个，分别为：教学教导、办公室、财务室、政教室、团委。</w:t>
      </w:r>
    </w:p>
    <w:p>
      <w:pPr>
        <w:pStyle w:val="6"/>
        <w:numPr>
          <w:ilvl w:val="0"/>
          <w:numId w:val="0"/>
        </w:numPr>
        <w:ind w:firstLine="640" w:firstLineChars="200"/>
        <w:rPr>
          <w:rFonts w:hint="eastAsia" w:ascii="楷体" w:hAnsi="楷体" w:eastAsia="楷体" w:cs="楷体"/>
          <w:b/>
          <w:bCs w:val="0"/>
        </w:rPr>
      </w:pPr>
      <w:r>
        <w:rPr>
          <w:rFonts w:hint="eastAsia" w:ascii="楷体" w:hAnsi="楷体" w:eastAsia="楷体" w:cs="楷体"/>
          <w:b w:val="0"/>
          <w:bCs/>
          <w:lang w:eastAsia="zh-CN"/>
        </w:rPr>
        <w:t>（</w:t>
      </w:r>
      <w:r>
        <w:rPr>
          <w:rFonts w:hint="eastAsia" w:ascii="楷体" w:hAnsi="楷体" w:eastAsia="楷体" w:cs="楷体"/>
          <w:b w:val="0"/>
          <w:bCs/>
          <w:lang w:val="en-US" w:eastAsia="zh-CN"/>
        </w:rPr>
        <w:t>二</w:t>
      </w:r>
      <w:r>
        <w:rPr>
          <w:rFonts w:hint="eastAsia" w:ascii="楷体" w:hAnsi="楷体" w:eastAsia="楷体" w:cs="楷体"/>
          <w:b w:val="0"/>
          <w:bCs/>
          <w:lang w:eastAsia="zh-CN"/>
        </w:rPr>
        <w:t>）</w:t>
      </w:r>
      <w:r>
        <w:rPr>
          <w:rFonts w:hint="eastAsia" w:ascii="楷体" w:hAnsi="楷体" w:eastAsia="楷体" w:cs="楷体"/>
          <w:b/>
          <w:bCs w:val="0"/>
        </w:rPr>
        <w:t>项目资金基本情况</w:t>
      </w:r>
    </w:p>
    <w:p>
      <w:pPr>
        <w:pStyle w:val="6"/>
        <w:ind w:firstLine="643"/>
        <w:rPr>
          <w:rFonts w:hint="eastAsia" w:ascii="楷体" w:hAnsi="楷体" w:eastAsia="楷体" w:cs="楷体"/>
          <w:b w:val="0"/>
          <w:bCs/>
        </w:rPr>
      </w:pPr>
      <w:r>
        <w:rPr>
          <w:rFonts w:hint="eastAsia" w:ascii="楷体" w:hAnsi="楷体" w:eastAsia="楷体" w:cs="楷体"/>
          <w:b w:val="0"/>
          <w:bCs/>
        </w:rPr>
        <w:t>项目资金为一般公共预算拨款，该项资金作为建设资金，用于改善校园基础建设改善校园环境。</w:t>
      </w:r>
    </w:p>
    <w:p>
      <w:pPr>
        <w:pStyle w:val="6"/>
        <w:numPr>
          <w:ilvl w:val="0"/>
          <w:numId w:val="5"/>
        </w:numPr>
        <w:ind w:firstLine="643"/>
        <w:rPr>
          <w:rFonts w:hint="eastAsia" w:ascii="楷体" w:hAnsi="楷体" w:eastAsia="楷体" w:cs="楷体"/>
          <w:b/>
          <w:bCs w:val="0"/>
        </w:rPr>
      </w:pPr>
      <w:r>
        <w:rPr>
          <w:rFonts w:hint="eastAsia" w:ascii="楷体" w:hAnsi="楷体" w:eastAsia="楷体" w:cs="楷体"/>
          <w:b/>
          <w:bCs w:val="0"/>
        </w:rPr>
        <w:t>项目资金绩效目标</w:t>
      </w:r>
    </w:p>
    <w:p>
      <w:pPr>
        <w:pStyle w:val="6"/>
        <w:numPr>
          <w:numId w:val="0"/>
        </w:numPr>
        <w:ind w:firstLine="640" w:firstLineChars="200"/>
        <w:rPr>
          <w:rFonts w:hint="eastAsia" w:ascii="楷体" w:hAnsi="楷体" w:eastAsia="楷体" w:cs="楷体"/>
          <w:b w:val="0"/>
          <w:bCs/>
        </w:rPr>
      </w:pPr>
      <w:r>
        <w:rPr>
          <w:rFonts w:hint="eastAsia" w:ascii="楷体" w:hAnsi="楷体" w:eastAsia="楷体" w:cs="楷体"/>
          <w:b w:val="0"/>
          <w:bCs/>
        </w:rPr>
        <w:t>惠及我校全体在籍在读学生，用于改善校园基础建设改善校园环境。</w:t>
      </w:r>
    </w:p>
    <w:p>
      <w:pPr>
        <w:pStyle w:val="6"/>
        <w:ind w:firstLine="640"/>
        <w:rPr>
          <w:rFonts w:hint="eastAsia" w:ascii="黑体" w:hAnsi="黑体" w:eastAsia="黑体" w:cs="黑体"/>
        </w:rPr>
      </w:pPr>
      <w:r>
        <w:rPr>
          <w:rFonts w:hint="eastAsia" w:ascii="黑体" w:hAnsi="黑体" w:eastAsia="黑体" w:cs="黑体"/>
        </w:rPr>
        <w:t>二、项目资金使用及管理情况</w:t>
      </w:r>
    </w:p>
    <w:p>
      <w:pPr>
        <w:pStyle w:val="6"/>
        <w:ind w:firstLine="643"/>
        <w:rPr>
          <w:rFonts w:hint="eastAsia" w:ascii="楷体" w:hAnsi="楷体" w:eastAsia="楷体" w:cs="楷体"/>
          <w:b/>
          <w:bCs w:val="0"/>
        </w:rPr>
      </w:pPr>
      <w:r>
        <w:rPr>
          <w:rFonts w:hint="eastAsia" w:ascii="楷体" w:hAnsi="楷体" w:eastAsia="楷体" w:cs="楷体"/>
          <w:b/>
          <w:bCs w:val="0"/>
        </w:rPr>
        <w:t>（一）项目资金及自筹资金的安排落实、总投入等情况。</w:t>
      </w:r>
    </w:p>
    <w:p>
      <w:pPr>
        <w:pStyle w:val="6"/>
        <w:ind w:firstLine="643"/>
        <w:rPr>
          <w:rFonts w:hint="eastAsia" w:ascii="楷体" w:hAnsi="楷体" w:eastAsia="楷体" w:cs="楷体"/>
          <w:b w:val="0"/>
          <w:bCs/>
        </w:rPr>
      </w:pPr>
      <w:r>
        <w:rPr>
          <w:rFonts w:hint="eastAsia" w:ascii="楷体" w:hAnsi="楷体" w:eastAsia="楷体" w:cs="楷体"/>
          <w:b w:val="0"/>
          <w:bCs/>
        </w:rPr>
        <w:t>资金总额</w:t>
      </w:r>
      <w:r>
        <w:rPr>
          <w:rFonts w:hint="eastAsia" w:ascii="楷体" w:hAnsi="楷体" w:eastAsia="楷体" w:cs="楷体"/>
          <w:b w:val="0"/>
          <w:bCs/>
          <w:lang w:val="en-US" w:eastAsia="zh-CN"/>
        </w:rPr>
        <w:t>352.41</w:t>
      </w:r>
      <w:r>
        <w:rPr>
          <w:rFonts w:hint="eastAsia" w:ascii="楷体" w:hAnsi="楷体" w:eastAsia="楷体" w:cs="楷体"/>
          <w:b w:val="0"/>
          <w:bCs/>
        </w:rPr>
        <w:t>万元，由财政统一负担。</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项目资金实际使用情况。</w:t>
      </w:r>
    </w:p>
    <w:p>
      <w:pPr>
        <w:pStyle w:val="6"/>
        <w:numPr>
          <w:numId w:val="0"/>
        </w:numPr>
        <w:ind w:left="641" w:leftChars="0"/>
        <w:rPr>
          <w:rFonts w:hint="eastAsia" w:ascii="楷体" w:hAnsi="楷体" w:eastAsia="楷体" w:cs="楷体"/>
          <w:b w:val="0"/>
          <w:bCs/>
        </w:rPr>
      </w:pPr>
      <w:r>
        <w:rPr>
          <w:rFonts w:hint="eastAsia" w:ascii="楷体" w:hAnsi="楷体" w:eastAsia="楷体" w:cs="楷体"/>
          <w:b w:val="0"/>
          <w:bCs/>
        </w:rPr>
        <w:t>按工程进度付款到位。</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项目资金管理情况分析</w:t>
      </w:r>
    </w:p>
    <w:p>
      <w:pPr>
        <w:pStyle w:val="6"/>
        <w:numPr>
          <w:numId w:val="0"/>
        </w:numPr>
        <w:ind w:left="641" w:leftChars="0"/>
        <w:rPr>
          <w:rFonts w:hint="eastAsia" w:ascii="楷体" w:hAnsi="楷体" w:eastAsia="楷体" w:cs="楷体"/>
          <w:b w:val="0"/>
          <w:bCs/>
        </w:rPr>
      </w:pPr>
      <w:r>
        <w:rPr>
          <w:rFonts w:hint="eastAsia" w:ascii="楷体" w:hAnsi="楷体" w:eastAsia="楷体" w:cs="楷体"/>
          <w:b w:val="0"/>
          <w:bCs/>
        </w:rPr>
        <w:t>专款专用，按工程进度结算，确保建设项目按质按时验收。</w:t>
      </w:r>
    </w:p>
    <w:p>
      <w:pPr>
        <w:spacing w:line="0" w:lineRule="atLeast"/>
        <w:rPr>
          <w:rFonts w:eastAsia="方正小标宋_GBK"/>
          <w:kern w:val="0"/>
          <w:sz w:val="36"/>
          <w:szCs w:val="36"/>
        </w:rPr>
      </w:pPr>
    </w:p>
    <w:p>
      <w:pPr>
        <w:spacing w:line="0" w:lineRule="atLeast"/>
        <w:rPr>
          <w:rFonts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附件6</w:t>
      </w:r>
    </w:p>
    <w:p>
      <w:pPr>
        <w:spacing w:line="0" w:lineRule="atLeast"/>
        <w:jc w:val="center"/>
        <w:rPr>
          <w:rFonts w:eastAsia="方正小标宋_GBK"/>
          <w:kern w:val="0"/>
          <w:sz w:val="36"/>
          <w:szCs w:val="36"/>
        </w:rPr>
      </w:pPr>
      <w:r>
        <w:rPr>
          <w:rFonts w:hint="eastAsia" w:eastAsia="方正小标宋_GBK"/>
          <w:kern w:val="0"/>
          <w:sz w:val="36"/>
          <w:szCs w:val="36"/>
        </w:rPr>
        <w:t>项目支出绩效自评表</w:t>
      </w:r>
    </w:p>
    <w:p>
      <w:pPr>
        <w:widowControl/>
        <w:jc w:val="center"/>
        <w:rPr>
          <w:rFonts w:eastAsia="黑体"/>
          <w:sz w:val="32"/>
          <w:szCs w:val="32"/>
        </w:rPr>
      </w:pPr>
      <w:r>
        <w:rPr>
          <w:rFonts w:hint="eastAsia"/>
          <w:kern w:val="0"/>
          <w:sz w:val="22"/>
        </w:rPr>
        <w:t>（2023年度）</w:t>
      </w:r>
    </w:p>
    <w:tbl>
      <w:tblPr>
        <w:tblStyle w:val="7"/>
        <w:tblW w:w="9322" w:type="dxa"/>
        <w:jc w:val="center"/>
        <w:tblLayout w:type="fixed"/>
        <w:tblCellMar>
          <w:top w:w="0" w:type="dxa"/>
          <w:left w:w="108" w:type="dxa"/>
          <w:bottom w:w="0" w:type="dxa"/>
          <w:right w:w="108" w:type="dxa"/>
        </w:tblCellMar>
      </w:tblPr>
      <w:tblGrid>
        <w:gridCol w:w="1057"/>
        <w:gridCol w:w="780"/>
        <w:gridCol w:w="1169"/>
        <w:gridCol w:w="1649"/>
        <w:gridCol w:w="1266"/>
        <w:gridCol w:w="1047"/>
        <w:gridCol w:w="536"/>
        <w:gridCol w:w="400"/>
        <w:gridCol w:w="259"/>
        <w:gridCol w:w="1159"/>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rPr>
              <w:t>义务教育阶段</w:t>
            </w:r>
            <w:r>
              <w:rPr>
                <w:rFonts w:hint="eastAsia" w:eastAsia="仿宋_GB2312"/>
                <w:kern w:val="0"/>
                <w:szCs w:val="21"/>
                <w:lang w:val="en-US" w:eastAsia="zh-CN"/>
              </w:rPr>
              <w:t>工程项目</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sectPr>
      <w:pgSz w:w="11905" w:h="16837"/>
      <w:pgMar w:top="1417" w:right="1417" w:bottom="1417" w:left="1417" w:header="0" w:footer="0" w:gutter="0"/>
      <w:pgNumType w:start="1"/>
      <w:cols w:space="0" w:num="1"/>
      <w:docGrid w:linePitch="6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5CCA1"/>
    <w:multiLevelType w:val="singleLevel"/>
    <w:tmpl w:val="D005CCA1"/>
    <w:lvl w:ilvl="0" w:tentative="0">
      <w:start w:val="3"/>
      <w:numFmt w:val="chineseCounting"/>
      <w:suff w:val="nothing"/>
      <w:lvlText w:val="（%1）"/>
      <w:lvlJc w:val="left"/>
      <w:rPr>
        <w:rFonts w:hint="eastAsia"/>
      </w:rPr>
    </w:lvl>
  </w:abstractNum>
  <w:abstractNum w:abstractNumId="1">
    <w:nsid w:val="0005A6A8"/>
    <w:multiLevelType w:val="singleLevel"/>
    <w:tmpl w:val="0005A6A8"/>
    <w:lvl w:ilvl="0" w:tentative="0">
      <w:start w:val="1"/>
      <w:numFmt w:val="chineseCounting"/>
      <w:suff w:val="nothing"/>
      <w:lvlText w:val="（%1）"/>
      <w:lvlJc w:val="left"/>
      <w:rPr>
        <w:rFonts w:hint="eastAsia"/>
      </w:rPr>
    </w:lvl>
  </w:abstractNum>
  <w:abstractNum w:abstractNumId="2">
    <w:nsid w:val="1FB564A0"/>
    <w:multiLevelType w:val="singleLevel"/>
    <w:tmpl w:val="1FB564A0"/>
    <w:lvl w:ilvl="0" w:tentative="0">
      <w:start w:val="8"/>
      <w:numFmt w:val="chineseCounting"/>
      <w:suff w:val="nothing"/>
      <w:lvlText w:val="%1、"/>
      <w:lvlJc w:val="left"/>
      <w:rPr>
        <w:rFonts w:hint="eastAsia"/>
      </w:rPr>
    </w:lvl>
  </w:abstractNum>
  <w:abstractNum w:abstractNumId="3">
    <w:nsid w:val="22607892"/>
    <w:multiLevelType w:val="singleLevel"/>
    <w:tmpl w:val="22607892"/>
    <w:lvl w:ilvl="0" w:tentative="0">
      <w:start w:val="2"/>
      <w:numFmt w:val="chineseCounting"/>
      <w:suff w:val="nothing"/>
      <w:lvlText w:val="（%1）"/>
      <w:lvlJc w:val="left"/>
      <w:rPr>
        <w:rFonts w:hint="eastAsia"/>
      </w:rPr>
    </w:lvl>
  </w:abstractNum>
  <w:abstractNum w:abstractNumId="4">
    <w:nsid w:val="6201ACF6"/>
    <w:multiLevelType w:val="singleLevel"/>
    <w:tmpl w:val="6201ACF6"/>
    <w:lvl w:ilvl="0" w:tentative="0">
      <w:start w:val="4"/>
      <w:numFmt w:val="chineseCounting"/>
      <w:suff w:val="nothing"/>
      <w:lvlText w:val="%1、"/>
      <w:lvlJc w:val="left"/>
      <w:rPr>
        <w:rFonts w:hint="eastAsia"/>
      </w:rPr>
    </w:lvl>
  </w:abstractNum>
  <w:abstractNum w:abstractNumId="5">
    <w:nsid w:val="6588993E"/>
    <w:multiLevelType w:val="singleLevel"/>
    <w:tmpl w:val="6588993E"/>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6"/>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TkyNzdiMjNiNWNlNGRjYWZhOTQwYjczMDkwYWEifQ=="/>
  </w:docVars>
  <w:rsids>
    <w:rsidRoot w:val="00172A27"/>
    <w:rsid w:val="00060A62"/>
    <w:rsid w:val="000661B1"/>
    <w:rsid w:val="00073D6C"/>
    <w:rsid w:val="000768C7"/>
    <w:rsid w:val="000B44C0"/>
    <w:rsid w:val="000D7D97"/>
    <w:rsid w:val="000E049D"/>
    <w:rsid w:val="000E4EAC"/>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3F7303"/>
    <w:rsid w:val="00422C78"/>
    <w:rsid w:val="004319E5"/>
    <w:rsid w:val="00453C41"/>
    <w:rsid w:val="004563F5"/>
    <w:rsid w:val="00462A9D"/>
    <w:rsid w:val="00463C10"/>
    <w:rsid w:val="00496CD8"/>
    <w:rsid w:val="004A7F44"/>
    <w:rsid w:val="004B36F1"/>
    <w:rsid w:val="004B47BC"/>
    <w:rsid w:val="004C66F5"/>
    <w:rsid w:val="004F1216"/>
    <w:rsid w:val="00501DDC"/>
    <w:rsid w:val="00511824"/>
    <w:rsid w:val="00516AA9"/>
    <w:rsid w:val="005672D6"/>
    <w:rsid w:val="0057317D"/>
    <w:rsid w:val="005773EF"/>
    <w:rsid w:val="00610CD5"/>
    <w:rsid w:val="00612D17"/>
    <w:rsid w:val="00631A52"/>
    <w:rsid w:val="00640E60"/>
    <w:rsid w:val="00645A4C"/>
    <w:rsid w:val="006621F1"/>
    <w:rsid w:val="006B1E81"/>
    <w:rsid w:val="006C3017"/>
    <w:rsid w:val="006E5FF1"/>
    <w:rsid w:val="00700689"/>
    <w:rsid w:val="007067D4"/>
    <w:rsid w:val="007136CC"/>
    <w:rsid w:val="0075493C"/>
    <w:rsid w:val="007760AD"/>
    <w:rsid w:val="00776EC1"/>
    <w:rsid w:val="0078468B"/>
    <w:rsid w:val="007A209E"/>
    <w:rsid w:val="008012C0"/>
    <w:rsid w:val="00817AEC"/>
    <w:rsid w:val="00837118"/>
    <w:rsid w:val="00862CA3"/>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08A2"/>
    <w:rsid w:val="00AB71CD"/>
    <w:rsid w:val="00AD58C8"/>
    <w:rsid w:val="00AE03E4"/>
    <w:rsid w:val="00AF1164"/>
    <w:rsid w:val="00AF6C78"/>
    <w:rsid w:val="00B036B4"/>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826A17"/>
    <w:rsid w:val="03BA01AE"/>
    <w:rsid w:val="055F72FC"/>
    <w:rsid w:val="058C5ACD"/>
    <w:rsid w:val="05C63780"/>
    <w:rsid w:val="062736E9"/>
    <w:rsid w:val="065232EA"/>
    <w:rsid w:val="06B14C94"/>
    <w:rsid w:val="07061C60"/>
    <w:rsid w:val="07601F6F"/>
    <w:rsid w:val="0859360A"/>
    <w:rsid w:val="085C290F"/>
    <w:rsid w:val="087251E8"/>
    <w:rsid w:val="090C0797"/>
    <w:rsid w:val="092550F0"/>
    <w:rsid w:val="09636F12"/>
    <w:rsid w:val="09EF09C1"/>
    <w:rsid w:val="0B402ED3"/>
    <w:rsid w:val="0B5575DE"/>
    <w:rsid w:val="0B595BEC"/>
    <w:rsid w:val="0C3D5924"/>
    <w:rsid w:val="0D013842"/>
    <w:rsid w:val="0D471E88"/>
    <w:rsid w:val="0D605FA4"/>
    <w:rsid w:val="0DAC1131"/>
    <w:rsid w:val="0DCD1FE2"/>
    <w:rsid w:val="0F0351A9"/>
    <w:rsid w:val="0F6040CA"/>
    <w:rsid w:val="0F686EA2"/>
    <w:rsid w:val="0FA4224E"/>
    <w:rsid w:val="10125033"/>
    <w:rsid w:val="13063EC3"/>
    <w:rsid w:val="194621AC"/>
    <w:rsid w:val="19FE07AD"/>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405D02"/>
    <w:rsid w:val="2B9C3577"/>
    <w:rsid w:val="2BBA09D7"/>
    <w:rsid w:val="2BD440AE"/>
    <w:rsid w:val="2BD575BF"/>
    <w:rsid w:val="2C6944DC"/>
    <w:rsid w:val="2DB2495A"/>
    <w:rsid w:val="2EF0518E"/>
    <w:rsid w:val="2F373F0A"/>
    <w:rsid w:val="2F465CE9"/>
    <w:rsid w:val="2FC439E6"/>
    <w:rsid w:val="30133FEC"/>
    <w:rsid w:val="301467A7"/>
    <w:rsid w:val="319E58AE"/>
    <w:rsid w:val="32CE72F6"/>
    <w:rsid w:val="32E672DE"/>
    <w:rsid w:val="33173320"/>
    <w:rsid w:val="33F47CCB"/>
    <w:rsid w:val="367E6347"/>
    <w:rsid w:val="36B74B2C"/>
    <w:rsid w:val="376A7251"/>
    <w:rsid w:val="38FF20BA"/>
    <w:rsid w:val="3B4A4976"/>
    <w:rsid w:val="3CDB1B3C"/>
    <w:rsid w:val="3D6A788A"/>
    <w:rsid w:val="3E1C6CCE"/>
    <w:rsid w:val="3F07230B"/>
    <w:rsid w:val="401A4DB7"/>
    <w:rsid w:val="40275374"/>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4DFE28E5"/>
    <w:rsid w:val="5025403F"/>
    <w:rsid w:val="512D283B"/>
    <w:rsid w:val="51706157"/>
    <w:rsid w:val="51A64FE7"/>
    <w:rsid w:val="51EB398B"/>
    <w:rsid w:val="52245ABB"/>
    <w:rsid w:val="544E62B5"/>
    <w:rsid w:val="54D83964"/>
    <w:rsid w:val="551E5284"/>
    <w:rsid w:val="569958AC"/>
    <w:rsid w:val="57965D12"/>
    <w:rsid w:val="587F7BAB"/>
    <w:rsid w:val="590B7824"/>
    <w:rsid w:val="598A0134"/>
    <w:rsid w:val="59BA41A7"/>
    <w:rsid w:val="5B0867BA"/>
    <w:rsid w:val="5E2D0ECA"/>
    <w:rsid w:val="5E7E2E48"/>
    <w:rsid w:val="5EB920A6"/>
    <w:rsid w:val="5EE15247"/>
    <w:rsid w:val="5FEB66AA"/>
    <w:rsid w:val="611C2A4E"/>
    <w:rsid w:val="615E35D8"/>
    <w:rsid w:val="61ED0983"/>
    <w:rsid w:val="621A2785"/>
    <w:rsid w:val="62380621"/>
    <w:rsid w:val="62882906"/>
    <w:rsid w:val="6296592A"/>
    <w:rsid w:val="62AA63A9"/>
    <w:rsid w:val="64653D4C"/>
    <w:rsid w:val="64821F10"/>
    <w:rsid w:val="64BB7C34"/>
    <w:rsid w:val="657A4758"/>
    <w:rsid w:val="693B1A2C"/>
    <w:rsid w:val="6BDD159D"/>
    <w:rsid w:val="70561C9A"/>
    <w:rsid w:val="719339F9"/>
    <w:rsid w:val="71AF52DC"/>
    <w:rsid w:val="71C15269"/>
    <w:rsid w:val="72384732"/>
    <w:rsid w:val="72DF1F44"/>
    <w:rsid w:val="730642A3"/>
    <w:rsid w:val="752D41F9"/>
    <w:rsid w:val="77F770D8"/>
    <w:rsid w:val="783F1A66"/>
    <w:rsid w:val="786A32D4"/>
    <w:rsid w:val="788155F2"/>
    <w:rsid w:val="78EF290F"/>
    <w:rsid w:val="7A794B87"/>
    <w:rsid w:val="7ACB2BF8"/>
    <w:rsid w:val="7E0E41C6"/>
    <w:rsid w:val="7EE2275E"/>
    <w:rsid w:val="7F4F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表段落1"/>
    <w:basedOn w:val="1"/>
    <w:qFormat/>
    <w:uiPriority w:val="34"/>
    <w:pPr>
      <w:widowControl/>
      <w:ind w:firstLine="420" w:firstLineChars="200"/>
      <w:jc w:val="left"/>
    </w:pPr>
    <w:rPr>
      <w:rFonts w:ascii="Times New Roman" w:hAnsi="Times New Roman" w:eastAsiaTheme="minorEastAsia"/>
      <w:sz w:val="24"/>
    </w:rPr>
  </w:style>
  <w:style w:type="character" w:customStyle="1" w:styleId="12">
    <w:name w:val="页脚 字符"/>
    <w:basedOn w:val="9"/>
    <w:link w:val="3"/>
    <w:qFormat/>
    <w:uiPriority w:val="99"/>
    <w:rPr>
      <w:kern w:val="2"/>
      <w:sz w:val="18"/>
      <w:szCs w:val="18"/>
    </w:rPr>
  </w:style>
  <w:style w:type="character" w:customStyle="1" w:styleId="13">
    <w:name w:val="font41"/>
    <w:basedOn w:val="9"/>
    <w:qFormat/>
    <w:uiPriority w:val="0"/>
    <w:rPr>
      <w:rFonts w:hint="eastAsia" w:ascii="宋体" w:hAnsi="宋体" w:eastAsia="宋体" w:cs="宋体"/>
      <w:color w:val="000000"/>
      <w:sz w:val="18"/>
      <w:szCs w:val="18"/>
      <w:u w:val="none"/>
    </w:rPr>
  </w:style>
  <w:style w:type="character" w:customStyle="1" w:styleId="14">
    <w:name w:val="font51"/>
    <w:basedOn w:val="9"/>
    <w:qFormat/>
    <w:uiPriority w:val="0"/>
    <w:rPr>
      <w:rFonts w:hint="default" w:ascii="Times New Roman" w:hAnsi="Times New Roman" w:cs="Times New Roman"/>
      <w:color w:val="000000"/>
      <w:sz w:val="18"/>
      <w:szCs w:val="18"/>
      <w:u w:val="none"/>
    </w:rPr>
  </w:style>
  <w:style w:type="character" w:customStyle="1" w:styleId="15">
    <w:name w:val="font71"/>
    <w:basedOn w:val="9"/>
    <w:qFormat/>
    <w:uiPriority w:val="0"/>
    <w:rPr>
      <w:rFonts w:hint="eastAsia" w:ascii="宋体" w:hAnsi="宋体" w:eastAsia="宋体" w:cs="宋体"/>
      <w:color w:val="000000"/>
      <w:sz w:val="18"/>
      <w:szCs w:val="18"/>
      <w:u w:val="none"/>
    </w:rPr>
  </w:style>
  <w:style w:type="character" w:customStyle="1" w:styleId="16">
    <w:name w:val="font61"/>
    <w:basedOn w:val="9"/>
    <w:qFormat/>
    <w:uiPriority w:val="0"/>
    <w:rPr>
      <w:rFonts w:hint="default" w:ascii="Times New Roman" w:hAnsi="Times New Roman" w:cs="Times New Roman"/>
      <w:color w:val="000000"/>
      <w:sz w:val="18"/>
      <w:szCs w:val="18"/>
      <w:u w:val="none"/>
    </w:rPr>
  </w:style>
  <w:style w:type="character" w:customStyle="1" w:styleId="17">
    <w:name w:val="font11"/>
    <w:basedOn w:val="9"/>
    <w:qFormat/>
    <w:uiPriority w:val="0"/>
    <w:rPr>
      <w:rFonts w:hint="eastAsia" w:ascii="宋体" w:hAnsi="宋体" w:eastAsia="宋体" w:cs="宋体"/>
      <w:color w:val="000000"/>
      <w:sz w:val="18"/>
      <w:szCs w:val="18"/>
      <w:u w:val="none"/>
    </w:rPr>
  </w:style>
  <w:style w:type="character" w:customStyle="1" w:styleId="18">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F8D2-7E25-4654-B88C-3DA19A1BAFE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8031</Words>
  <Characters>8528</Characters>
  <Lines>70</Lines>
  <Paragraphs>19</Paragraphs>
  <TotalTime>7</TotalTime>
  <ScaleCrop>false</ScaleCrop>
  <LinksUpToDate>false</LinksUpToDate>
  <CharactersWithSpaces>8743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2024-07-19T06:54:00Z</dcterms:created>
  <dc:creator>何阳之</dc:creator>
  <cp:lastModifiedBy>橘子</cp:lastModifiedBy>
  <cp:lastPrinted>2024-02-29T01:34:00Z</cp:lastPrinted>
  <dcterms:modified xsi:type="dcterms:W3CDTF">2024-07-29T08:19:32Z</dcterms:modified>
  <dc:title>湖南省财政厅文件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6616B0875AB44376A9C3110AD1B1EBBD_13</vt:lpwstr>
  </property>
</Properties>
</file>