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5360F">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14:paraId="044FDBC5">
      <w:pPr>
        <w:rPr>
          <w:rFonts w:eastAsia="黑体"/>
          <w:sz w:val="44"/>
        </w:rPr>
      </w:pPr>
    </w:p>
    <w:p w14:paraId="72943FF5">
      <w:pPr>
        <w:rPr>
          <w:rFonts w:eastAsia="黑体"/>
          <w:sz w:val="44"/>
        </w:rPr>
      </w:pPr>
    </w:p>
    <w:p w14:paraId="3A738D52">
      <w:pPr>
        <w:rPr>
          <w:rFonts w:eastAsia="黑体"/>
          <w:sz w:val="44"/>
        </w:rPr>
      </w:pPr>
    </w:p>
    <w:p w14:paraId="504B290A">
      <w:pPr>
        <w:jc w:val="center"/>
        <w:rPr>
          <w:rFonts w:ascii="宋体" w:hAnsi="宋体"/>
          <w:sz w:val="44"/>
          <w:szCs w:val="44"/>
        </w:rPr>
      </w:pPr>
    </w:p>
    <w:p w14:paraId="20CC9F3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14:paraId="355CF7D0">
      <w:pPr>
        <w:jc w:val="center"/>
        <w:rPr>
          <w:rFonts w:hint="eastAsia" w:ascii="方正小标宋简体" w:hAnsi="方正小标宋简体" w:eastAsia="方正小标宋简体" w:cs="方正小标宋简体"/>
          <w:sz w:val="44"/>
          <w:szCs w:val="44"/>
        </w:rPr>
      </w:pPr>
    </w:p>
    <w:p w14:paraId="675909FD">
      <w:pPr>
        <w:jc w:val="center"/>
        <w:rPr>
          <w:rFonts w:ascii="宋体" w:hAnsi="宋体"/>
          <w:sz w:val="44"/>
          <w:szCs w:val="44"/>
        </w:rPr>
      </w:pPr>
    </w:p>
    <w:p w14:paraId="4827D064">
      <w:pPr>
        <w:spacing w:line="600" w:lineRule="exact"/>
        <w:rPr>
          <w:sz w:val="36"/>
        </w:rPr>
      </w:pPr>
    </w:p>
    <w:p w14:paraId="768D2A00">
      <w:pPr>
        <w:spacing w:line="600" w:lineRule="exact"/>
        <w:rPr>
          <w:sz w:val="36"/>
        </w:rPr>
      </w:pPr>
    </w:p>
    <w:p w14:paraId="115B487B">
      <w:pPr>
        <w:spacing w:line="600" w:lineRule="exact"/>
        <w:rPr>
          <w:sz w:val="36"/>
        </w:rPr>
      </w:pPr>
    </w:p>
    <w:p w14:paraId="429B0A44">
      <w:pPr>
        <w:spacing w:line="600" w:lineRule="exact"/>
        <w:rPr>
          <w:sz w:val="36"/>
        </w:rPr>
      </w:pPr>
    </w:p>
    <w:p w14:paraId="155AC91C">
      <w:pPr>
        <w:spacing w:line="600" w:lineRule="exact"/>
        <w:rPr>
          <w:sz w:val="36"/>
        </w:rPr>
      </w:pPr>
    </w:p>
    <w:p w14:paraId="2F90D7FB">
      <w:pPr>
        <w:spacing w:line="600" w:lineRule="exact"/>
        <w:rPr>
          <w:sz w:val="36"/>
        </w:rPr>
      </w:pPr>
    </w:p>
    <w:p w14:paraId="12FCD3CA">
      <w:pPr>
        <w:spacing w:line="1000" w:lineRule="exact"/>
        <w:rPr>
          <w:bCs/>
          <w:sz w:val="32"/>
          <w:szCs w:val="32"/>
          <w:u w:val="single"/>
        </w:rPr>
      </w:pPr>
      <w:r>
        <w:rPr>
          <w:rFonts w:hint="eastAsia"/>
          <w:sz w:val="36"/>
        </w:rPr>
        <w:t xml:space="preserve">  </w:t>
      </w:r>
      <w:r>
        <w:rPr>
          <w:rFonts w:hint="eastAsia"/>
          <w:sz w:val="36"/>
          <w:lang w:val="en-US" w:eastAsia="zh-CN"/>
        </w:rPr>
        <w:t xml:space="preserve">  </w:t>
      </w:r>
      <w:r>
        <w:rPr>
          <w:rFonts w:hint="eastAsia"/>
          <w:b/>
          <w:bCs/>
          <w:sz w:val="32"/>
          <w:szCs w:val="32"/>
        </w:rPr>
        <w:t xml:space="preserve"> 自评单位：</w:t>
      </w:r>
      <w:r>
        <w:rPr>
          <w:rFonts w:hint="eastAsia"/>
          <w:b/>
          <w:bCs/>
          <w:sz w:val="32"/>
          <w:szCs w:val="32"/>
          <w:u w:val="single"/>
          <w:lang w:val="en-US" w:eastAsia="zh-CN"/>
        </w:rPr>
        <w:t xml:space="preserve"> 邵阳县蔡桥乡初级中学 </w:t>
      </w:r>
      <w:r>
        <w:rPr>
          <w:rFonts w:hint="eastAsia"/>
          <w:bCs/>
          <w:sz w:val="32"/>
          <w:szCs w:val="32"/>
        </w:rPr>
        <w:t>（单位公章）</w:t>
      </w:r>
    </w:p>
    <w:p w14:paraId="16A8CC08">
      <w:pPr>
        <w:spacing w:line="600" w:lineRule="exact"/>
      </w:pPr>
    </w:p>
    <w:p w14:paraId="356A472C">
      <w:pPr>
        <w:spacing w:line="600" w:lineRule="exact"/>
      </w:pPr>
    </w:p>
    <w:p w14:paraId="2F688826">
      <w:pPr>
        <w:spacing w:line="600" w:lineRule="exact"/>
      </w:pPr>
    </w:p>
    <w:p w14:paraId="6577703D">
      <w:pPr>
        <w:spacing w:line="600" w:lineRule="exact"/>
      </w:pPr>
    </w:p>
    <w:p w14:paraId="4AF8BB2B">
      <w:pPr>
        <w:spacing w:line="600" w:lineRule="exact"/>
      </w:pPr>
    </w:p>
    <w:p w14:paraId="1DCA47FA">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21</w:t>
      </w:r>
      <w:r>
        <w:rPr>
          <w:rFonts w:hint="eastAsia" w:ascii="楷体" w:hAnsi="楷体" w:eastAsia="楷体" w:cs="楷体"/>
          <w:sz w:val="36"/>
        </w:rPr>
        <w:t>日</w:t>
      </w:r>
    </w:p>
    <w:p w14:paraId="2102B8D4">
      <w:pPr>
        <w:spacing w:line="600" w:lineRule="exact"/>
        <w:rPr>
          <w:rFonts w:eastAsia="仿宋_GB2312"/>
          <w:sz w:val="28"/>
          <w:szCs w:val="28"/>
        </w:rPr>
      </w:pPr>
    </w:p>
    <w:p w14:paraId="4103B3A5">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14:paraId="7D5D0BF6">
      <w:pPr>
        <w:adjustRightInd w:val="0"/>
        <w:spacing w:line="600" w:lineRule="exact"/>
        <w:ind w:right="641"/>
        <w:jc w:val="center"/>
        <w:rPr>
          <w:rFonts w:eastAsia="仿宋_GB2312"/>
          <w:sz w:val="32"/>
          <w:szCs w:val="32"/>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14:paraId="6D4BDBA1">
      <w:pPr>
        <w:widowControl/>
        <w:numPr>
          <w:ilvl w:val="0"/>
          <w:numId w:val="0"/>
        </w:numPr>
        <w:spacing w:line="600" w:lineRule="exact"/>
        <w:ind w:firstLine="645" w:firstLineChars="0"/>
        <w:jc w:val="left"/>
        <w:rPr>
          <w:rFonts w:hint="eastAsia" w:eastAsia="黑体"/>
          <w:sz w:val="32"/>
          <w:szCs w:val="32"/>
        </w:rPr>
      </w:pPr>
      <w:r>
        <w:rPr>
          <w:rFonts w:hint="eastAsia" w:ascii="Calibri" w:hAnsi="Calibri" w:eastAsia="黑体" w:cs="Times New Roman"/>
          <w:kern w:val="2"/>
          <w:sz w:val="32"/>
          <w:szCs w:val="32"/>
          <w:lang w:val="en-US" w:eastAsia="zh-CN" w:bidi="ar-SA"/>
        </w:rPr>
        <w:t>一、</w:t>
      </w:r>
      <w:r>
        <w:rPr>
          <w:rFonts w:hint="eastAsia" w:eastAsia="黑体"/>
          <w:sz w:val="32"/>
          <w:szCs w:val="32"/>
        </w:rPr>
        <w:t>部门、单位基本情况</w:t>
      </w:r>
    </w:p>
    <w:p w14:paraId="2C110E15">
      <w:pPr>
        <w:pStyle w:val="5"/>
        <w:shd w:val="clear" w:color="auto" w:fill="FFFFFF"/>
        <w:spacing w:before="0" w:beforeAutospacing="0" w:after="0" w:afterAutospacing="0" w:line="560" w:lineRule="exact"/>
        <w:ind w:firstLine="640"/>
        <w:rPr>
          <w:rFonts w:hint="eastAsia" w:eastAsia="黑体"/>
          <w:sz w:val="32"/>
          <w:szCs w:val="32"/>
        </w:rPr>
      </w:pPr>
      <w:r>
        <w:rPr>
          <w:rFonts w:hint="eastAsia" w:ascii="Calibri" w:hAnsi="Calibri" w:eastAsia="仿宋_GB2312" w:cs="Times New Roman"/>
          <w:kern w:val="2"/>
          <w:sz w:val="32"/>
          <w:szCs w:val="32"/>
          <w:lang w:val="en-US" w:eastAsia="zh-CN" w:bidi="ar-SA"/>
        </w:rPr>
        <w:t>我单位是政府举办的非营利性公益一类教育服务单位，属县财政全额拨款事业单位，现有在职工作人员47人。内设办公室、教导室、财务室、等部门。主要职责是提供义务教育服务。</w:t>
      </w:r>
    </w:p>
    <w:p w14:paraId="264B490C">
      <w:pPr>
        <w:widowControl/>
        <w:numPr>
          <w:ilvl w:val="0"/>
          <w:numId w:val="0"/>
        </w:numPr>
        <w:spacing w:line="600" w:lineRule="exact"/>
        <w:ind w:left="0" w:leftChars="0" w:firstLine="645" w:firstLineChars="0"/>
        <w:jc w:val="left"/>
        <w:rPr>
          <w:rFonts w:hint="eastAsia" w:eastAsia="黑体"/>
          <w:sz w:val="32"/>
          <w:szCs w:val="32"/>
        </w:rPr>
      </w:pPr>
      <w:r>
        <w:rPr>
          <w:rFonts w:hint="eastAsia" w:ascii="Calibri" w:hAnsi="Calibri" w:eastAsia="黑体" w:cs="Times New Roman"/>
          <w:kern w:val="2"/>
          <w:sz w:val="32"/>
          <w:szCs w:val="32"/>
          <w:lang w:val="en-US" w:eastAsia="zh-CN" w:bidi="ar-SA"/>
        </w:rPr>
        <w:t>二、</w:t>
      </w:r>
      <w:r>
        <w:rPr>
          <w:rFonts w:hint="eastAsia" w:eastAsia="黑体"/>
          <w:sz w:val="32"/>
          <w:szCs w:val="32"/>
        </w:rPr>
        <w:t>一般公共预算支出情况</w:t>
      </w:r>
    </w:p>
    <w:p w14:paraId="20842F1E">
      <w:pPr>
        <w:widowControl/>
        <w:numPr>
          <w:ilvl w:val="0"/>
          <w:numId w:val="0"/>
        </w:numPr>
        <w:spacing w:line="600" w:lineRule="exact"/>
        <w:ind w:firstLine="645" w:firstLineChars="0"/>
        <w:jc w:val="left"/>
        <w:rPr>
          <w:rFonts w:hint="eastAsia" w:eastAsia="仿宋_GB2312"/>
          <w:sz w:val="32"/>
          <w:szCs w:val="32"/>
        </w:rPr>
      </w:pPr>
      <w:r>
        <w:rPr>
          <w:rFonts w:hint="eastAsia" w:ascii="Calibri" w:hAnsi="Calibri" w:eastAsia="仿宋_GB2312" w:cs="Times New Roman"/>
          <w:kern w:val="2"/>
          <w:sz w:val="32"/>
          <w:szCs w:val="32"/>
          <w:lang w:val="en-US" w:eastAsia="zh-CN" w:bidi="ar-SA"/>
        </w:rPr>
        <w:t>1.</w:t>
      </w:r>
      <w:r>
        <w:rPr>
          <w:rFonts w:hint="eastAsia" w:eastAsia="仿宋_GB2312"/>
          <w:sz w:val="32"/>
          <w:szCs w:val="32"/>
        </w:rPr>
        <w:t>基本支出情况</w:t>
      </w:r>
    </w:p>
    <w:p w14:paraId="738DB2A1">
      <w:pPr>
        <w:widowControl/>
        <w:spacing w:line="56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我单位整体支出753.638437万元：工资福利支出584.173862万元，占总支出77.5%；商品和服务支出134.850065万元，占总支出17.9%；对个人与家庭补助30.413838万元，占总支出4%；资本性支出4.200672万元，占总支出0.6%。</w:t>
      </w:r>
    </w:p>
    <w:p w14:paraId="0C7944E4">
      <w:pPr>
        <w:widowControl/>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2023年邵阳县蔡桥乡初级中学预算支出为525.44</w:t>
      </w:r>
      <w:bookmarkStart w:id="0" w:name="_GoBack"/>
      <w:bookmarkEnd w:id="0"/>
      <w:r>
        <w:rPr>
          <w:rFonts w:hint="eastAsia" w:eastAsia="仿宋_GB2312"/>
          <w:sz w:val="32"/>
          <w:szCs w:val="32"/>
          <w:lang w:val="en-US" w:eastAsia="zh-CN"/>
        </w:rPr>
        <w:t>万元，主要包括工资福利支出、商品和服务支出、对个人和家庭的补助支出。</w:t>
      </w:r>
    </w:p>
    <w:p w14:paraId="1E41D15B">
      <w:pPr>
        <w:widowControl/>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我单位认真贯彻落实厉行节约，严控三公经费，降低一般运行经费，加强项目支出管理等方面取得了一定成绩。2023年实际支出没有超出预算规模、范围和标准，所有的三公”经费合法、合规。</w:t>
      </w:r>
    </w:p>
    <w:p w14:paraId="383EE37D">
      <w:pPr>
        <w:widowControl/>
        <w:spacing w:line="560" w:lineRule="exact"/>
        <w:ind w:firstLine="640" w:firstLineChars="200"/>
        <w:jc w:val="left"/>
        <w:rPr>
          <w:rFonts w:hint="eastAsia" w:eastAsia="仿宋_GB2312"/>
          <w:sz w:val="32"/>
          <w:szCs w:val="32"/>
        </w:rPr>
      </w:pPr>
      <w:r>
        <w:rPr>
          <w:rFonts w:hint="eastAsia" w:eastAsia="仿宋_GB2312"/>
          <w:sz w:val="32"/>
          <w:szCs w:val="32"/>
          <w:lang w:val="en-US" w:eastAsia="zh-CN"/>
        </w:rPr>
        <w:t>严格控制公务接待。我单位公务接待按照务实节约、杜绝浪费的原则管理和规范公务接待工作，并明确招待用餐档次和限额，要求出具接待函、介绍信和参加人员明细清单方可报销招待费。</w:t>
      </w:r>
    </w:p>
    <w:p w14:paraId="1F9C546B">
      <w:pPr>
        <w:widowControl/>
        <w:numPr>
          <w:ilvl w:val="0"/>
          <w:numId w:val="0"/>
        </w:numPr>
        <w:spacing w:line="600" w:lineRule="exact"/>
        <w:ind w:firstLine="645" w:firstLineChars="0"/>
        <w:jc w:val="left"/>
        <w:rPr>
          <w:rFonts w:hint="eastAsia" w:eastAsia="仿宋_GB2312"/>
          <w:sz w:val="32"/>
          <w:szCs w:val="32"/>
        </w:rPr>
      </w:pPr>
      <w:r>
        <w:rPr>
          <w:rFonts w:hint="eastAsia" w:ascii="Calibri" w:hAnsi="Calibri" w:eastAsia="仿宋_GB2312" w:cs="Times New Roman"/>
          <w:kern w:val="2"/>
          <w:sz w:val="32"/>
          <w:szCs w:val="32"/>
          <w:lang w:val="en-US" w:eastAsia="zh-CN" w:bidi="ar-SA"/>
        </w:rPr>
        <w:t>2.</w:t>
      </w:r>
      <w:r>
        <w:rPr>
          <w:rFonts w:hint="eastAsia" w:eastAsia="仿宋_GB2312"/>
          <w:sz w:val="32"/>
          <w:szCs w:val="32"/>
        </w:rPr>
        <w:t>项目支出情况</w:t>
      </w:r>
    </w:p>
    <w:p w14:paraId="765585AE">
      <w:pPr>
        <w:widowControl/>
        <w:spacing w:line="560" w:lineRule="exact"/>
        <w:ind w:firstLine="640" w:firstLineChars="200"/>
        <w:jc w:val="left"/>
        <w:rPr>
          <w:rFonts w:hint="eastAsia" w:eastAsia="仿宋_GB2312"/>
          <w:sz w:val="32"/>
          <w:szCs w:val="32"/>
        </w:rPr>
      </w:pPr>
      <w:r>
        <w:rPr>
          <w:rFonts w:hint="eastAsia" w:eastAsia="仿宋_GB2312"/>
          <w:sz w:val="32"/>
          <w:szCs w:val="32"/>
          <w:lang w:val="en-US" w:eastAsia="zh-CN"/>
        </w:rPr>
        <w:t>2023年度县财政安排专项经费0万元。</w:t>
      </w:r>
    </w:p>
    <w:p w14:paraId="679F534C">
      <w:pPr>
        <w:widowControl/>
        <w:numPr>
          <w:ilvl w:val="0"/>
          <w:numId w:val="0"/>
        </w:numPr>
        <w:spacing w:line="600" w:lineRule="exact"/>
        <w:ind w:firstLine="645" w:firstLineChars="0"/>
        <w:jc w:val="left"/>
        <w:rPr>
          <w:rFonts w:hint="eastAsia" w:eastAsia="黑体"/>
          <w:sz w:val="32"/>
          <w:szCs w:val="32"/>
        </w:rPr>
      </w:pPr>
      <w:r>
        <w:rPr>
          <w:rFonts w:hint="eastAsia" w:ascii="Calibri" w:hAnsi="Calibri" w:eastAsia="黑体" w:cs="Times New Roman"/>
          <w:kern w:val="2"/>
          <w:sz w:val="32"/>
          <w:szCs w:val="32"/>
          <w:lang w:val="en-US" w:eastAsia="zh-CN" w:bidi="ar-SA"/>
        </w:rPr>
        <w:t>三、</w:t>
      </w:r>
      <w:r>
        <w:rPr>
          <w:rFonts w:hint="eastAsia" w:eastAsia="黑体"/>
          <w:sz w:val="32"/>
          <w:szCs w:val="32"/>
        </w:rPr>
        <w:t>政府性基金预算支出情况</w:t>
      </w:r>
    </w:p>
    <w:p w14:paraId="4C67447A">
      <w:pPr>
        <w:pStyle w:val="11"/>
        <w:spacing w:line="560" w:lineRule="exact"/>
        <w:ind w:left="640" w:firstLine="0" w:firstLineChars="0"/>
        <w:rPr>
          <w:rFonts w:hint="eastAsia" w:eastAsia="黑体"/>
          <w:sz w:val="32"/>
          <w:szCs w:val="32"/>
        </w:rPr>
      </w:pPr>
      <w:r>
        <w:rPr>
          <w:rFonts w:hint="eastAsia" w:ascii="Calibri" w:hAnsi="Calibri" w:eastAsia="仿宋_GB2312" w:cs="Times New Roman"/>
          <w:kern w:val="2"/>
          <w:sz w:val="32"/>
          <w:szCs w:val="32"/>
          <w:lang w:val="en-US" w:eastAsia="zh-CN" w:bidi="ar-SA"/>
        </w:rPr>
        <w:t>2023年度我单位无政府性基金预算支出。</w:t>
      </w:r>
    </w:p>
    <w:p w14:paraId="34DA4DDC">
      <w:pPr>
        <w:widowControl/>
        <w:numPr>
          <w:ilvl w:val="0"/>
          <w:numId w:val="0"/>
        </w:numPr>
        <w:spacing w:line="600" w:lineRule="exact"/>
        <w:ind w:firstLine="645" w:firstLineChars="0"/>
        <w:jc w:val="left"/>
        <w:rPr>
          <w:rFonts w:hint="eastAsia" w:eastAsia="黑体"/>
          <w:sz w:val="32"/>
          <w:szCs w:val="32"/>
        </w:rPr>
      </w:pPr>
      <w:r>
        <w:rPr>
          <w:rFonts w:hint="eastAsia" w:ascii="Calibri" w:hAnsi="Calibri" w:eastAsia="黑体" w:cs="Times New Roman"/>
          <w:kern w:val="2"/>
          <w:sz w:val="32"/>
          <w:szCs w:val="32"/>
          <w:lang w:val="en-US" w:eastAsia="zh-CN" w:bidi="ar-SA"/>
        </w:rPr>
        <w:t>四、</w:t>
      </w:r>
      <w:r>
        <w:rPr>
          <w:rFonts w:hint="eastAsia" w:eastAsia="黑体"/>
          <w:sz w:val="32"/>
          <w:szCs w:val="32"/>
        </w:rPr>
        <w:t>国有资本经营预算支出情况</w:t>
      </w:r>
    </w:p>
    <w:p w14:paraId="3CF10689">
      <w:pPr>
        <w:pStyle w:val="11"/>
        <w:spacing w:line="560" w:lineRule="exact"/>
        <w:ind w:left="640" w:firstLine="0" w:firstLineChars="0"/>
        <w:rPr>
          <w:rFonts w:hint="eastAsia" w:eastAsia="黑体"/>
          <w:sz w:val="32"/>
          <w:szCs w:val="32"/>
        </w:rPr>
      </w:pPr>
      <w:r>
        <w:rPr>
          <w:rFonts w:hint="eastAsia" w:ascii="Calibri" w:hAnsi="Calibri" w:eastAsia="仿宋_GB2312" w:cs="Times New Roman"/>
          <w:kern w:val="2"/>
          <w:sz w:val="32"/>
          <w:szCs w:val="32"/>
          <w:lang w:val="en-US" w:eastAsia="zh-CN" w:bidi="ar-SA"/>
        </w:rPr>
        <w:t>2023年度我单位无国有资本经营预算支出。</w:t>
      </w:r>
    </w:p>
    <w:p w14:paraId="7F676CDF">
      <w:pPr>
        <w:widowControl/>
        <w:numPr>
          <w:ilvl w:val="0"/>
          <w:numId w:val="0"/>
        </w:numPr>
        <w:spacing w:line="600" w:lineRule="exact"/>
        <w:ind w:firstLine="645" w:firstLineChars="0"/>
        <w:jc w:val="left"/>
        <w:rPr>
          <w:rFonts w:hint="eastAsia" w:eastAsia="黑体"/>
          <w:sz w:val="32"/>
          <w:szCs w:val="32"/>
        </w:rPr>
      </w:pPr>
      <w:r>
        <w:rPr>
          <w:rFonts w:hint="eastAsia" w:ascii="Calibri" w:hAnsi="Calibri" w:eastAsia="黑体" w:cs="Times New Roman"/>
          <w:kern w:val="2"/>
          <w:sz w:val="32"/>
          <w:szCs w:val="32"/>
          <w:lang w:val="en-US" w:eastAsia="zh-CN" w:bidi="ar-SA"/>
        </w:rPr>
        <w:t>五、</w:t>
      </w:r>
      <w:r>
        <w:rPr>
          <w:rFonts w:hint="eastAsia" w:eastAsia="黑体"/>
          <w:sz w:val="32"/>
          <w:szCs w:val="32"/>
        </w:rPr>
        <w:t>社会保险基金预算支出情况</w:t>
      </w:r>
    </w:p>
    <w:p w14:paraId="3E6F889A">
      <w:pPr>
        <w:pStyle w:val="11"/>
        <w:spacing w:line="560" w:lineRule="exact"/>
        <w:ind w:left="640" w:firstLine="0" w:firstLineChars="0"/>
        <w:rPr>
          <w:rFonts w:hint="eastAsia" w:eastAsia="黑体"/>
          <w:sz w:val="32"/>
          <w:szCs w:val="32"/>
        </w:rPr>
      </w:pPr>
      <w:r>
        <w:rPr>
          <w:rFonts w:hint="eastAsia" w:ascii="Calibri" w:hAnsi="Calibri" w:eastAsia="仿宋_GB2312" w:cs="Times New Roman"/>
          <w:kern w:val="2"/>
          <w:sz w:val="32"/>
          <w:szCs w:val="32"/>
          <w:lang w:val="en-US" w:eastAsia="zh-CN" w:bidi="ar-SA"/>
        </w:rPr>
        <w:t>2023年度我单位无社会保险基金预算支出。</w:t>
      </w:r>
    </w:p>
    <w:p w14:paraId="61D1326F">
      <w:pPr>
        <w:widowControl/>
        <w:numPr>
          <w:ilvl w:val="0"/>
          <w:numId w:val="0"/>
        </w:numPr>
        <w:spacing w:line="600" w:lineRule="exact"/>
        <w:ind w:firstLine="645" w:firstLineChars="0"/>
        <w:jc w:val="left"/>
        <w:rPr>
          <w:rFonts w:hint="eastAsia" w:eastAsia="黑体"/>
          <w:sz w:val="32"/>
          <w:szCs w:val="32"/>
        </w:rPr>
      </w:pPr>
      <w:r>
        <w:rPr>
          <w:rFonts w:hint="eastAsia" w:ascii="Calibri" w:hAnsi="Calibri" w:eastAsia="黑体" w:cs="Times New Roman"/>
          <w:kern w:val="2"/>
          <w:sz w:val="32"/>
          <w:szCs w:val="32"/>
          <w:lang w:val="en-US" w:eastAsia="zh-CN" w:bidi="ar-SA"/>
        </w:rPr>
        <w:t>六、</w:t>
      </w:r>
      <w:r>
        <w:rPr>
          <w:rFonts w:hint="eastAsia" w:eastAsia="黑体"/>
          <w:sz w:val="32"/>
          <w:szCs w:val="32"/>
        </w:rPr>
        <w:t>部门整体支出绩效情况</w:t>
      </w:r>
    </w:p>
    <w:p w14:paraId="159F79BB">
      <w:pPr>
        <w:widowControl/>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从预算配置情况看，预算资金覆盖所有工作的各个需求方面，“三公”经费预算没有超过上年预算安排。2023年预算资金能保障单位正常运转需要，考虑的因素必要合理，分配的结果合理，能基本保证人员经费支出和单位全年工作任务的完成。</w:t>
      </w:r>
    </w:p>
    <w:p w14:paraId="6FE9493E">
      <w:pPr>
        <w:widowControl/>
        <w:spacing w:line="560" w:lineRule="exact"/>
        <w:ind w:firstLine="640" w:firstLineChars="200"/>
        <w:jc w:val="left"/>
        <w:rPr>
          <w:rFonts w:hint="eastAsia" w:eastAsia="黑体"/>
          <w:sz w:val="32"/>
          <w:szCs w:val="32"/>
        </w:rPr>
      </w:pPr>
      <w:r>
        <w:rPr>
          <w:rFonts w:hint="eastAsia" w:eastAsia="仿宋_GB2312"/>
          <w:sz w:val="32"/>
          <w:szCs w:val="32"/>
          <w:lang w:val="en-US" w:eastAsia="zh-CN"/>
        </w:rPr>
        <w:t>从预算执行情况看，我单位结转资金已按照规定上报，“三公”经费支出控制在年初预算内。从预算管理看，建立健全的《专项经费管理暂行规定》、《财务支出会审制度》等内部制度。从资产管理看，固定资产做到帐帐、帐证、帐实相符，无闲置浪费现象。</w:t>
      </w:r>
    </w:p>
    <w:p w14:paraId="7EE63207">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14:paraId="6F403BA6">
      <w:p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通过对我单位整体支出情况的分析，反映出目前在整体支出的预算编制、执行和管理过程中，依然存在一些不足。主要是对于绩效评价的认识不够深入，实际工作中存在把预算绩效简单等同于工作目标、工作考核，绩效目标和指标往往根据项目实际完成情况制定，对项目执行过程有效约束不够，存在一定的偏差。</w:t>
      </w:r>
    </w:p>
    <w:p w14:paraId="5A824B59">
      <w:pPr>
        <w:numPr>
          <w:ilvl w:val="0"/>
          <w:numId w:val="0"/>
        </w:numPr>
        <w:spacing w:line="560" w:lineRule="exact"/>
        <w:ind w:firstLine="640" w:firstLineChars="200"/>
        <w:rPr>
          <w:rFonts w:hint="eastAsia" w:eastAsia="黑体"/>
          <w:sz w:val="32"/>
          <w:szCs w:val="32"/>
        </w:rPr>
      </w:pPr>
      <w:r>
        <w:rPr>
          <w:rFonts w:hint="eastAsia" w:ascii="Calibri" w:hAnsi="Calibri" w:eastAsia="黑体" w:cs="Times New Roman"/>
          <w:kern w:val="2"/>
          <w:sz w:val="32"/>
          <w:szCs w:val="32"/>
          <w:lang w:val="en-US" w:eastAsia="zh-CN" w:bidi="ar-SA"/>
        </w:rPr>
        <w:t>八、</w:t>
      </w:r>
      <w:r>
        <w:rPr>
          <w:rFonts w:hint="eastAsia" w:eastAsia="黑体"/>
          <w:sz w:val="32"/>
          <w:szCs w:val="32"/>
        </w:rPr>
        <w:t>下一步改进措施</w:t>
      </w:r>
    </w:p>
    <w:p w14:paraId="21C3555E">
      <w:pPr>
        <w:numPr>
          <w:ilvl w:val="0"/>
          <w:numId w:val="0"/>
        </w:numPr>
        <w:spacing w:line="560" w:lineRule="exact"/>
        <w:ind w:firstLine="640" w:firstLineChars="200"/>
        <w:rPr>
          <w:rFonts w:hint="eastAsia" w:eastAsia="黑体"/>
          <w:sz w:val="32"/>
          <w:szCs w:val="32"/>
        </w:rPr>
      </w:pPr>
      <w:r>
        <w:rPr>
          <w:rFonts w:hint="eastAsia" w:eastAsia="仿宋_GB2312"/>
          <w:sz w:val="32"/>
          <w:szCs w:val="32"/>
          <w:lang w:val="en-US" w:eastAsia="zh-CN"/>
        </w:rPr>
        <w:t>规范账务处理，提高财务信息质量；完善管理制度，进一步加强资产管理；加强新行政事业单位会计制度和新预算法的学习及培训。</w:t>
      </w:r>
    </w:p>
    <w:p w14:paraId="422CAC23">
      <w:pPr>
        <w:widowControl/>
        <w:spacing w:line="600" w:lineRule="exact"/>
        <w:ind w:firstLine="645"/>
        <w:jc w:val="left"/>
        <w:rPr>
          <w:rFonts w:hint="eastAsia" w:eastAsia="仿宋_GB2312"/>
          <w:sz w:val="32"/>
          <w:szCs w:val="32"/>
          <w:lang w:eastAsia="zh-CN"/>
        </w:rPr>
      </w:pPr>
      <w:r>
        <w:rPr>
          <w:rFonts w:hint="eastAsia" w:eastAsia="黑体"/>
          <w:sz w:val="32"/>
          <w:szCs w:val="32"/>
        </w:rPr>
        <w:t>九、其他需要说明的情况</w:t>
      </w:r>
    </w:p>
    <w:p w14:paraId="1F65D700">
      <w:pPr>
        <w:adjustRightInd w:val="0"/>
        <w:snapToGrid w:val="0"/>
        <w:spacing w:line="560" w:lineRule="exact"/>
        <w:rPr>
          <w:rFonts w:hint="eastAsia" w:ascii="黑体" w:hAnsi="黑体" w:eastAsia="黑体" w:cs="黑体"/>
          <w:sz w:val="32"/>
          <w:szCs w:val="32"/>
        </w:rPr>
      </w:pPr>
    </w:p>
    <w:p w14:paraId="288BACDE">
      <w:pPr>
        <w:widowControl/>
        <w:spacing w:line="560" w:lineRule="exact"/>
        <w:ind w:firstLine="645"/>
        <w:jc w:val="left"/>
        <w:rPr>
          <w:rFonts w:eastAsia="仿宋_GB2312"/>
          <w:sz w:val="32"/>
          <w:szCs w:val="32"/>
        </w:rPr>
      </w:pPr>
      <w:r>
        <w:rPr>
          <w:rFonts w:hint="eastAsia" w:eastAsia="仿宋_GB2312"/>
          <w:sz w:val="32"/>
          <w:szCs w:val="32"/>
        </w:rPr>
        <w:t>报告应包括以下附件：</w:t>
      </w:r>
    </w:p>
    <w:p w14:paraId="09672A48">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14:paraId="1D22AE98">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14:paraId="4A7BE0B5">
      <w:pPr>
        <w:rPr>
          <w:rFonts w:ascii="仿宋" w:hAnsi="仿宋" w:eastAsia="仿宋" w:cs="仿宋"/>
          <w:sz w:val="32"/>
          <w:szCs w:val="32"/>
        </w:rPr>
      </w:pPr>
    </w:p>
    <w:p w14:paraId="50868068">
      <w:pPr>
        <w:rPr>
          <w:rFonts w:ascii="仿宋" w:hAnsi="仿宋" w:eastAsia="仿宋" w:cs="仿宋"/>
          <w:sz w:val="32"/>
          <w:szCs w:val="32"/>
        </w:rPr>
      </w:pPr>
    </w:p>
    <w:p w14:paraId="0C09914A">
      <w:pPr>
        <w:rPr>
          <w:rFonts w:ascii="仿宋" w:hAnsi="仿宋" w:eastAsia="仿宋" w:cs="仿宋"/>
          <w:sz w:val="32"/>
          <w:szCs w:val="32"/>
        </w:rPr>
      </w:pPr>
    </w:p>
    <w:p w14:paraId="1EB6D113">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14:paraId="5F965E89">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3FD701E9">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01BA1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715A6B5C">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7D7533C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692297E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75FEDBB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114C800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4CFC87A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6322963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4B7E1B2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184C2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59685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投入</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14</w:t>
            </w:r>
            <w:r>
              <w:rPr>
                <w:rStyle w:val="13"/>
                <w:lang w:val="en-US" w:eastAsia="zh-CN" w:bidi="ar"/>
              </w:rPr>
              <w:t>分）</w:t>
            </w:r>
          </w:p>
        </w:tc>
        <w:tc>
          <w:tcPr>
            <w:tcW w:w="870" w:type="dxa"/>
            <w:vMerge w:val="restart"/>
            <w:tcBorders>
              <w:tl2br w:val="nil"/>
              <w:tr2bl w:val="nil"/>
            </w:tcBorders>
            <w:noWrap w:val="0"/>
            <w:vAlign w:val="center"/>
          </w:tcPr>
          <w:p w14:paraId="1697B9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目标</w:t>
            </w:r>
            <w:r>
              <w:rPr>
                <w:rStyle w:val="14"/>
                <w:rFonts w:eastAsia="宋体"/>
                <w:lang w:val="en-US" w:eastAsia="zh-CN" w:bidi="ar"/>
              </w:rPr>
              <w:br w:type="textWrapping"/>
            </w:r>
            <w:r>
              <w:rPr>
                <w:rStyle w:val="13"/>
                <w:lang w:val="en-US" w:eastAsia="zh-CN" w:bidi="ar"/>
              </w:rPr>
              <w:t>设定</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14:paraId="7165E1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w:t>
            </w:r>
            <w:r>
              <w:rPr>
                <w:rStyle w:val="14"/>
                <w:rFonts w:eastAsia="宋体"/>
                <w:lang w:val="en-US" w:eastAsia="zh-CN" w:bidi="ar"/>
              </w:rPr>
              <w:br w:type="textWrapping"/>
            </w:r>
            <w:r>
              <w:rPr>
                <w:rStyle w:val="13"/>
                <w:lang w:val="en-US" w:eastAsia="zh-CN" w:bidi="ar"/>
              </w:rPr>
              <w:t>合理性</w:t>
            </w:r>
          </w:p>
        </w:tc>
        <w:tc>
          <w:tcPr>
            <w:tcW w:w="495" w:type="dxa"/>
            <w:tcBorders>
              <w:tl2br w:val="nil"/>
              <w:tr2bl w:val="nil"/>
            </w:tcBorders>
            <w:noWrap w:val="0"/>
            <w:vAlign w:val="center"/>
          </w:tcPr>
          <w:p w14:paraId="4527C3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4717D01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23119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①是否符合国家法律法规、国民经济和社会发展总体规划；</w:t>
            </w:r>
            <w:r>
              <w:rPr>
                <w:rStyle w:val="14"/>
                <w:rFonts w:eastAsia="宋体"/>
                <w:lang w:val="en-US" w:eastAsia="zh-CN" w:bidi="ar"/>
              </w:rPr>
              <w:br w:type="textWrapping"/>
            </w:r>
            <w:r>
              <w:rPr>
                <w:rStyle w:val="13"/>
                <w:lang w:val="en-US" w:eastAsia="zh-CN" w:bidi="ar"/>
              </w:rPr>
              <w:t>②是否符合部门</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方案确定的职责；</w:t>
            </w:r>
            <w:r>
              <w:rPr>
                <w:rStyle w:val="14"/>
                <w:rFonts w:eastAsia="宋体"/>
                <w:lang w:val="en-US" w:eastAsia="zh-CN" w:bidi="ar"/>
              </w:rPr>
              <w:br w:type="textWrapping"/>
            </w:r>
            <w:r>
              <w:rPr>
                <w:rStyle w:val="13"/>
                <w:lang w:val="en-US" w:eastAsia="zh-CN" w:bidi="ar"/>
              </w:rPr>
              <w:t>③是否符合部门制定的中长期实施规划。</w:t>
            </w:r>
            <w:r>
              <w:rPr>
                <w:rStyle w:val="14"/>
                <w:rFonts w:eastAsia="宋体"/>
                <w:lang w:val="en-US" w:eastAsia="zh-CN" w:bidi="ar"/>
              </w:rPr>
              <w:br w:type="textWrapping"/>
            </w:r>
            <w:r>
              <w:rPr>
                <w:rStyle w:val="13"/>
                <w:lang w:val="en-US" w:eastAsia="zh-CN" w:bidi="ar"/>
              </w:rPr>
              <w:t>以上各项每发现一起不符合要求扣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14:paraId="2B2320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方案；部门职责；部门制定的中长期实施规划等。</w:t>
            </w:r>
          </w:p>
        </w:tc>
        <w:tc>
          <w:tcPr>
            <w:tcW w:w="586" w:type="dxa"/>
            <w:tcBorders>
              <w:tl2br w:val="nil"/>
              <w:tr2bl w:val="nil"/>
            </w:tcBorders>
            <w:noWrap w:val="0"/>
            <w:vAlign w:val="center"/>
          </w:tcPr>
          <w:p w14:paraId="639E2B0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525D7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7E92573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4166225">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7DB0D6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绩效指标</w:t>
            </w:r>
            <w:r>
              <w:rPr>
                <w:rStyle w:val="14"/>
                <w:rFonts w:eastAsia="宋体"/>
                <w:lang w:val="en-US" w:eastAsia="zh-CN" w:bidi="ar"/>
              </w:rPr>
              <w:br w:type="textWrapping"/>
            </w:r>
            <w:r>
              <w:rPr>
                <w:rStyle w:val="13"/>
                <w:lang w:val="en-US" w:eastAsia="zh-CN" w:bidi="ar"/>
              </w:rPr>
              <w:t>明确性</w:t>
            </w:r>
          </w:p>
        </w:tc>
        <w:tc>
          <w:tcPr>
            <w:tcW w:w="495" w:type="dxa"/>
            <w:tcBorders>
              <w:tl2br w:val="nil"/>
              <w:tr2bl w:val="nil"/>
            </w:tcBorders>
            <w:noWrap w:val="0"/>
            <w:vAlign w:val="center"/>
          </w:tcPr>
          <w:p w14:paraId="79161B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430AC6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1BFB7BF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①有目标，计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②目标明确，细化量化良好，个性指标中量化指标超过</w:t>
            </w:r>
            <w:r>
              <w:rPr>
                <w:rStyle w:val="14"/>
                <w:rFonts w:eastAsia="宋体"/>
                <w:lang w:val="en-US" w:eastAsia="zh-CN" w:bidi="ar"/>
              </w:rPr>
              <w:t>3</w:t>
            </w:r>
            <w:r>
              <w:rPr>
                <w:rStyle w:val="13"/>
                <w:lang w:val="en-US" w:eastAsia="zh-CN" w:bidi="ar"/>
              </w:rPr>
              <w:t>个，计</w:t>
            </w:r>
            <w:r>
              <w:rPr>
                <w:rStyle w:val="14"/>
                <w:rFonts w:eastAsia="宋体"/>
                <w:lang w:val="en-US" w:eastAsia="zh-CN" w:bidi="ar"/>
              </w:rPr>
              <w:t>1</w:t>
            </w:r>
            <w:r>
              <w:rPr>
                <w:rStyle w:val="13"/>
                <w:lang w:val="en-US" w:eastAsia="zh-CN" w:bidi="ar"/>
              </w:rPr>
              <w:t>分，量化指标为</w:t>
            </w:r>
            <w:r>
              <w:rPr>
                <w:rStyle w:val="14"/>
                <w:rFonts w:eastAsia="宋体"/>
                <w:lang w:val="en-US" w:eastAsia="zh-CN" w:bidi="ar"/>
              </w:rPr>
              <w:t>2</w:t>
            </w:r>
            <w:r>
              <w:rPr>
                <w:rStyle w:val="13"/>
                <w:lang w:val="en-US" w:eastAsia="zh-CN" w:bidi="ar"/>
              </w:rPr>
              <w:t>个，计</w:t>
            </w:r>
            <w:r>
              <w:rPr>
                <w:rStyle w:val="14"/>
                <w:rFonts w:eastAsia="宋体"/>
                <w:lang w:val="en-US" w:eastAsia="zh-CN" w:bidi="ar"/>
              </w:rPr>
              <w:t>0.5</w:t>
            </w:r>
            <w:r>
              <w:rPr>
                <w:rStyle w:val="13"/>
                <w:lang w:val="en-US" w:eastAsia="zh-CN" w:bidi="ar"/>
              </w:rPr>
              <w:t>分，</w:t>
            </w:r>
            <w:r>
              <w:rPr>
                <w:rStyle w:val="14"/>
                <w:rFonts w:eastAsia="宋体"/>
                <w:lang w:val="en-US" w:eastAsia="zh-CN" w:bidi="ar"/>
              </w:rPr>
              <w:t>2</w:t>
            </w:r>
            <w:r>
              <w:rPr>
                <w:rStyle w:val="13"/>
                <w:lang w:val="en-US" w:eastAsia="zh-CN" w:bidi="ar"/>
              </w:rPr>
              <w:t>个以下不得分；</w:t>
            </w:r>
            <w:r>
              <w:rPr>
                <w:rStyle w:val="14"/>
                <w:rFonts w:eastAsia="宋体"/>
                <w:lang w:val="en-US" w:eastAsia="zh-CN" w:bidi="ar"/>
              </w:rPr>
              <w:br w:type="textWrapping"/>
            </w:r>
            <w:r>
              <w:rPr>
                <w:rStyle w:val="13"/>
                <w:lang w:val="en-US" w:eastAsia="zh-CN" w:bidi="ar"/>
              </w:rPr>
              <w:t>③与年度任务数或计划数相对应，计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50%</w:t>
            </w:r>
            <w:r>
              <w:rPr>
                <w:rStyle w:val="13"/>
                <w:lang w:val="en-US" w:eastAsia="zh-CN" w:bidi="ar"/>
              </w:rPr>
              <w:t>计</w:t>
            </w:r>
            <w:r>
              <w:rPr>
                <w:rStyle w:val="14"/>
                <w:rFonts w:eastAsia="宋体"/>
                <w:lang w:val="en-US" w:eastAsia="zh-CN" w:bidi="ar"/>
              </w:rPr>
              <w:t>0.5</w:t>
            </w:r>
            <w:r>
              <w:rPr>
                <w:rStyle w:val="13"/>
                <w:lang w:val="en-US" w:eastAsia="zh-CN" w:bidi="ar"/>
              </w:rPr>
              <w:t>分，对应低于</w:t>
            </w:r>
            <w:r>
              <w:rPr>
                <w:rStyle w:val="14"/>
                <w:rFonts w:eastAsia="宋体"/>
                <w:lang w:val="en-US" w:eastAsia="zh-CN" w:bidi="ar"/>
              </w:rPr>
              <w:t>50%</w:t>
            </w:r>
            <w:r>
              <w:rPr>
                <w:rStyle w:val="13"/>
                <w:lang w:val="en-US" w:eastAsia="zh-CN" w:bidi="ar"/>
              </w:rPr>
              <w:t>不计分；</w:t>
            </w:r>
            <w:r>
              <w:rPr>
                <w:rStyle w:val="14"/>
                <w:rFonts w:eastAsia="宋体"/>
                <w:lang w:val="en-US" w:eastAsia="zh-CN" w:bidi="ar"/>
              </w:rPr>
              <w:br w:type="textWrapping"/>
            </w:r>
            <w:r>
              <w:rPr>
                <w:rStyle w:val="13"/>
                <w:lang w:val="en-US" w:eastAsia="zh-CN" w:bidi="ar"/>
              </w:rPr>
              <w:t>④目标与资金匹配良好，逻辑关系明确，计</w:t>
            </w:r>
            <w:r>
              <w:rPr>
                <w:rStyle w:val="14"/>
                <w:rFonts w:eastAsia="宋体"/>
                <w:lang w:val="en-US" w:eastAsia="zh-CN" w:bidi="ar"/>
              </w:rPr>
              <w:t>1</w:t>
            </w:r>
            <w:r>
              <w:rPr>
                <w:rStyle w:val="13"/>
                <w:lang w:val="en-US" w:eastAsia="zh-CN" w:bidi="ar"/>
              </w:rPr>
              <w:t>分，否则不得分。</w:t>
            </w:r>
          </w:p>
        </w:tc>
        <w:tc>
          <w:tcPr>
            <w:tcW w:w="2115" w:type="dxa"/>
            <w:tcBorders>
              <w:tl2br w:val="nil"/>
              <w:tr2bl w:val="nil"/>
            </w:tcBorders>
            <w:noWrap w:val="0"/>
            <w:vAlign w:val="center"/>
          </w:tcPr>
          <w:p w14:paraId="5C5256A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绩效目标申报表；年度任务数或计划数；预算批复等。</w:t>
            </w:r>
          </w:p>
        </w:tc>
        <w:tc>
          <w:tcPr>
            <w:tcW w:w="586" w:type="dxa"/>
            <w:tcBorders>
              <w:tl2br w:val="nil"/>
              <w:tr2bl w:val="nil"/>
            </w:tcBorders>
            <w:noWrap w:val="0"/>
            <w:vAlign w:val="center"/>
          </w:tcPr>
          <w:p w14:paraId="1221238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57D83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6FC2B9F6">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021B2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配置</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14:paraId="23777E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人员</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14:paraId="2219AE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7D61B2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0D8164F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w:t>
            </w:r>
            <w:r>
              <w:rPr>
                <w:rStyle w:val="13"/>
                <w:lang w:val="en-US" w:eastAsia="zh-CN" w:bidi="ar"/>
              </w:rPr>
              <w:t>（在职人员数</w:t>
            </w:r>
            <w:r>
              <w:rPr>
                <w:rStyle w:val="14"/>
                <w:rFonts w:eastAsia="宋体"/>
                <w:lang w:val="en-US" w:eastAsia="zh-CN" w:bidi="ar"/>
              </w:rPr>
              <w:t>/</w:t>
            </w:r>
            <w:r>
              <w:rPr>
                <w:rStyle w:val="13"/>
                <w:lang w:val="en-US" w:eastAsia="zh-CN" w:bidi="ar"/>
              </w:rPr>
              <w:t>编制数）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在职人员数：部门（单位）实际在职人数</w:t>
            </w:r>
            <w:r>
              <w:rPr>
                <w:rStyle w:val="14"/>
                <w:rFonts w:eastAsia="宋体"/>
                <w:lang w:val="en-US" w:eastAsia="zh-CN" w:bidi="ar"/>
              </w:rPr>
              <w:t>,</w:t>
            </w:r>
            <w:r>
              <w:rPr>
                <w:rStyle w:val="13"/>
                <w:lang w:val="en-US" w:eastAsia="zh-CN" w:bidi="ar"/>
              </w:rPr>
              <w:t>以财政部门确定的部门决算编制口径为准。</w:t>
            </w:r>
            <w:r>
              <w:rPr>
                <w:rStyle w:val="14"/>
                <w:rFonts w:eastAsia="宋体"/>
                <w:lang w:val="en-US" w:eastAsia="zh-CN" w:bidi="ar"/>
              </w:rPr>
              <w:br w:type="textWrapping"/>
            </w:r>
            <w:r>
              <w:rPr>
                <w:rStyle w:val="13"/>
                <w:lang w:val="en-US" w:eastAsia="zh-CN" w:bidi="ar"/>
              </w:rPr>
              <w:t>编制数：机构编制部门核定批复的部门（单位）人员编制数。</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1%</w:t>
            </w:r>
            <w:r>
              <w:rPr>
                <w:rStyle w:val="13"/>
                <w:lang w:val="en-US" w:eastAsia="zh-CN" w:bidi="ar"/>
              </w:rPr>
              <w:t>扣</w:t>
            </w:r>
            <w:r>
              <w:rPr>
                <w:rStyle w:val="14"/>
                <w:rFonts w:eastAsia="宋体"/>
                <w:lang w:val="en-US" w:eastAsia="zh-CN" w:bidi="ar"/>
              </w:rPr>
              <w:t>0.2</w:t>
            </w:r>
            <w:r>
              <w:rPr>
                <w:rStyle w:val="13"/>
                <w:lang w:val="en-US" w:eastAsia="zh-CN" w:bidi="ar"/>
              </w:rPr>
              <w:t>分，扣完为止。</w:t>
            </w:r>
          </w:p>
        </w:tc>
        <w:tc>
          <w:tcPr>
            <w:tcW w:w="2115" w:type="dxa"/>
            <w:tcBorders>
              <w:tl2br w:val="nil"/>
              <w:tr2bl w:val="nil"/>
            </w:tcBorders>
            <w:noWrap w:val="0"/>
            <w:vAlign w:val="center"/>
          </w:tcPr>
          <w:p w14:paraId="16C7109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部门（单位）决算报表；机构编制部门核定批复的部门（单位）的人员编制数。</w:t>
            </w:r>
          </w:p>
        </w:tc>
        <w:tc>
          <w:tcPr>
            <w:tcW w:w="586" w:type="dxa"/>
            <w:tcBorders>
              <w:tl2br w:val="nil"/>
              <w:tr2bl w:val="nil"/>
            </w:tcBorders>
            <w:noWrap w:val="0"/>
            <w:vAlign w:val="center"/>
          </w:tcPr>
          <w:p w14:paraId="7DC0CE8D">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6ECC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0E68CA0A">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F5E801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188A6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变动率</w:t>
            </w:r>
          </w:p>
        </w:tc>
        <w:tc>
          <w:tcPr>
            <w:tcW w:w="495" w:type="dxa"/>
            <w:tcBorders>
              <w:tl2br w:val="nil"/>
              <w:tr2bl w:val="nil"/>
            </w:tcBorders>
            <w:noWrap w:val="0"/>
            <w:vAlign w:val="center"/>
          </w:tcPr>
          <w:p w14:paraId="371023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858E05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预算数与上年度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7EFA7EB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变动率</w:t>
            </w:r>
            <w:r>
              <w:rPr>
                <w:rStyle w:val="14"/>
                <w:rFonts w:eastAsia="宋体"/>
                <w:lang w:val="en-US" w:eastAsia="zh-CN" w:bidi="ar"/>
              </w:rPr>
              <w:t>=[</w:t>
            </w:r>
            <w:r>
              <w:rPr>
                <w:rStyle w:val="13"/>
                <w:lang w:val="en-US" w:eastAsia="zh-CN" w:bidi="ar"/>
              </w:rPr>
              <w:t>（本年度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]×100%</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：年度预算安排的因公出国（境）费、公务车辆购置及运行费和公务招待费。</w:t>
            </w:r>
            <w:r>
              <w:rPr>
                <w:rStyle w:val="14"/>
                <w:rFonts w:eastAsia="宋体"/>
                <w:lang w:val="en-US" w:eastAsia="zh-CN" w:bidi="ar"/>
              </w:rPr>
              <w:br w:type="textWrapping"/>
            </w:r>
            <w:r>
              <w:rPr>
                <w:rStyle w:val="13"/>
                <w:lang w:val="en-US" w:eastAsia="zh-CN" w:bidi="ar"/>
              </w:rPr>
              <w:t>该项得分，变动率为负数，计</w:t>
            </w:r>
            <w:r>
              <w:rPr>
                <w:rStyle w:val="14"/>
                <w:rFonts w:eastAsia="宋体"/>
                <w:lang w:val="en-US" w:eastAsia="zh-CN" w:bidi="ar"/>
              </w:rPr>
              <w:t>2</w:t>
            </w:r>
            <w:r>
              <w:rPr>
                <w:rStyle w:val="13"/>
                <w:lang w:val="en-US" w:eastAsia="zh-CN" w:bidi="ar"/>
              </w:rPr>
              <w:t>分，变动率为正数，计</w:t>
            </w:r>
            <w:r>
              <w:rPr>
                <w:rStyle w:val="14"/>
                <w:rFonts w:eastAsia="宋体"/>
                <w:lang w:val="en-US" w:eastAsia="zh-CN" w:bidi="ar"/>
              </w:rPr>
              <w:t>0</w:t>
            </w:r>
            <w:r>
              <w:rPr>
                <w:rStyle w:val="13"/>
                <w:lang w:val="en-US" w:eastAsia="zh-CN" w:bidi="ar"/>
              </w:rPr>
              <w:t>分。年度内</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完成数超过预算数，则该项计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5DC7EED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本年度和上年度部门（单位）预算</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报表；</w:t>
            </w:r>
          </w:p>
        </w:tc>
        <w:tc>
          <w:tcPr>
            <w:tcW w:w="586" w:type="dxa"/>
            <w:tcBorders>
              <w:tl2br w:val="nil"/>
              <w:tr2bl w:val="nil"/>
            </w:tcBorders>
            <w:noWrap w:val="0"/>
            <w:vAlign w:val="center"/>
          </w:tcPr>
          <w:p w14:paraId="3BB4EB3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768F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62D0463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672DF3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B9B1C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w:t>
            </w:r>
            <w:r>
              <w:rPr>
                <w:rStyle w:val="14"/>
                <w:rFonts w:eastAsia="宋体"/>
                <w:lang w:val="en-US" w:eastAsia="zh-CN" w:bidi="ar"/>
              </w:rPr>
              <w:br w:type="textWrapping"/>
            </w:r>
            <w:r>
              <w:rPr>
                <w:rStyle w:val="13"/>
                <w:lang w:val="en-US" w:eastAsia="zh-CN" w:bidi="ar"/>
              </w:rPr>
              <w:t>支出</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14:paraId="68CBC7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490C3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71B44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重点支出安排率</w:t>
            </w:r>
            <w:r>
              <w:rPr>
                <w:rStyle w:val="14"/>
                <w:rFonts w:eastAsia="宋体"/>
                <w:lang w:val="en-US" w:eastAsia="zh-CN" w:bidi="ar"/>
              </w:rPr>
              <w:t>=</w:t>
            </w:r>
            <w:r>
              <w:rPr>
                <w:rStyle w:val="13"/>
                <w:lang w:val="en-US" w:eastAsia="zh-CN" w:bidi="ar"/>
              </w:rPr>
              <w:t>（重点实际支出</w:t>
            </w:r>
            <w:r>
              <w:rPr>
                <w:rStyle w:val="14"/>
                <w:rFonts w:eastAsia="宋体"/>
                <w:lang w:val="en-US" w:eastAsia="zh-CN" w:bidi="ar"/>
              </w:rPr>
              <w:t>/</w:t>
            </w:r>
            <w:r>
              <w:rPr>
                <w:rStyle w:val="13"/>
                <w:lang w:val="en-US" w:eastAsia="zh-CN" w:bidi="ar"/>
              </w:rPr>
              <w:t>重点预算支出）</w:t>
            </w:r>
            <w:r>
              <w:rPr>
                <w:rStyle w:val="14"/>
                <w:rFonts w:eastAsia="宋体"/>
                <w:lang w:val="en-US" w:eastAsia="zh-CN" w:bidi="ar"/>
              </w:rPr>
              <w:t>×100%</w:t>
            </w:r>
            <w:r>
              <w:rPr>
                <w:rStyle w:val="13"/>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安排率</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5</w:t>
            </w:r>
            <w:r>
              <w:rPr>
                <w:rStyle w:val="13"/>
                <w:lang w:val="en-US" w:eastAsia="zh-CN" w:bidi="ar"/>
              </w:rPr>
              <w:t>%扣</w:t>
            </w:r>
            <w:r>
              <w:rPr>
                <w:rStyle w:val="14"/>
                <w:rFonts w:eastAsia="宋体"/>
                <w:lang w:val="en-US" w:eastAsia="zh-CN" w:bidi="ar"/>
              </w:rPr>
              <w:t>0.5</w:t>
            </w:r>
            <w:r>
              <w:rPr>
                <w:rStyle w:val="13"/>
                <w:lang w:val="en-US" w:eastAsia="zh-CN" w:bidi="ar"/>
              </w:rPr>
              <w:t>分，扣完为止。</w:t>
            </w:r>
          </w:p>
        </w:tc>
        <w:tc>
          <w:tcPr>
            <w:tcW w:w="2115" w:type="dxa"/>
            <w:tcBorders>
              <w:tl2br w:val="nil"/>
              <w:tr2bl w:val="nil"/>
            </w:tcBorders>
            <w:noWrap w:val="0"/>
            <w:vAlign w:val="center"/>
          </w:tcPr>
          <w:p w14:paraId="10527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1E87D1F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38A7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7B7563E1">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176C88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F58DF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w:t>
            </w:r>
            <w:r>
              <w:rPr>
                <w:rStyle w:val="14"/>
                <w:rFonts w:eastAsia="宋体"/>
                <w:lang w:val="en-US" w:eastAsia="zh-CN" w:bidi="ar"/>
              </w:rPr>
              <w:br w:type="textWrapping"/>
            </w:r>
            <w:r>
              <w:rPr>
                <w:rStyle w:val="13"/>
                <w:lang w:val="en-US" w:eastAsia="zh-CN" w:bidi="ar"/>
              </w:rPr>
              <w:t>收入</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14:paraId="1F03E4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4EF857B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反映部门本年度非税收入完成情况。</w:t>
            </w:r>
          </w:p>
        </w:tc>
        <w:tc>
          <w:tcPr>
            <w:tcW w:w="5112" w:type="dxa"/>
            <w:tcBorders>
              <w:tl2br w:val="nil"/>
              <w:tr2bl w:val="nil"/>
            </w:tcBorders>
            <w:noWrap w:val="0"/>
            <w:vAlign w:val="center"/>
          </w:tcPr>
          <w:p w14:paraId="77908F5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非税收入完成率</w:t>
            </w:r>
            <w:r>
              <w:rPr>
                <w:rStyle w:val="14"/>
                <w:rFonts w:eastAsia="宋体"/>
                <w:lang w:val="en-US" w:eastAsia="zh-CN" w:bidi="ar"/>
              </w:rPr>
              <w:t>=</w:t>
            </w:r>
            <w:r>
              <w:rPr>
                <w:rStyle w:val="13"/>
                <w:lang w:val="en-US" w:eastAsia="zh-CN" w:bidi="ar"/>
              </w:rPr>
              <w:t>（非税实际收入完成数</w:t>
            </w:r>
            <w:r>
              <w:rPr>
                <w:rStyle w:val="14"/>
                <w:rFonts w:eastAsia="宋体"/>
                <w:lang w:val="en-US" w:eastAsia="zh-CN" w:bidi="ar"/>
              </w:rPr>
              <w:t>/</w:t>
            </w:r>
            <w:r>
              <w:rPr>
                <w:rStyle w:val="13"/>
                <w:lang w:val="en-US" w:eastAsia="zh-CN" w:bidi="ar"/>
              </w:rPr>
              <w:t>非税收入预算数）</w:t>
            </w:r>
            <w:r>
              <w:rPr>
                <w:rStyle w:val="14"/>
                <w:rFonts w:eastAsia="宋体"/>
                <w:lang w:val="en-US" w:eastAsia="zh-CN" w:bidi="ar"/>
              </w:rPr>
              <w:t>×100%</w:t>
            </w:r>
            <w:r>
              <w:rPr>
                <w:rStyle w:val="13"/>
                <w:lang w:val="en-US" w:eastAsia="zh-CN" w:bidi="ar"/>
              </w:rPr>
              <w:t>，有减免因素的，以财政事务中心确定的为准。</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14:paraId="365F2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C8484B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30AF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529E2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过程</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47</w:t>
            </w:r>
            <w:r>
              <w:rPr>
                <w:rStyle w:val="13"/>
                <w:lang w:val="en-US" w:eastAsia="zh-CN" w:bidi="ar"/>
              </w:rPr>
              <w:t>分）</w:t>
            </w:r>
          </w:p>
        </w:tc>
        <w:tc>
          <w:tcPr>
            <w:tcW w:w="870" w:type="dxa"/>
            <w:vMerge w:val="restart"/>
            <w:tcBorders>
              <w:tl2br w:val="nil"/>
              <w:tr2bl w:val="nil"/>
            </w:tcBorders>
            <w:noWrap w:val="0"/>
            <w:vAlign w:val="center"/>
          </w:tcPr>
          <w:p w14:paraId="75063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w:t>
            </w:r>
            <w:r>
              <w:rPr>
                <w:rStyle w:val="14"/>
                <w:rFonts w:eastAsia="宋体"/>
                <w:lang w:val="en-US" w:eastAsia="zh-CN" w:bidi="ar"/>
              </w:rPr>
              <w:br w:type="textWrapping"/>
            </w:r>
            <w:r>
              <w:rPr>
                <w:rStyle w:val="14"/>
                <w:rFonts w:eastAsia="宋体"/>
                <w:lang w:val="en-US" w:eastAsia="zh-CN" w:bidi="ar"/>
              </w:rPr>
              <w:t>(13</w:t>
            </w:r>
            <w:r>
              <w:rPr>
                <w:rStyle w:val="13"/>
                <w:lang w:val="en-US" w:eastAsia="zh-CN" w:bidi="ar"/>
              </w:rPr>
              <w:t>分）</w:t>
            </w:r>
          </w:p>
        </w:tc>
        <w:tc>
          <w:tcPr>
            <w:tcW w:w="1050" w:type="dxa"/>
            <w:tcBorders>
              <w:tl2br w:val="nil"/>
              <w:tr2bl w:val="nil"/>
            </w:tcBorders>
            <w:noWrap w:val="0"/>
            <w:vAlign w:val="center"/>
          </w:tcPr>
          <w:p w14:paraId="05694F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执行率</w:t>
            </w:r>
          </w:p>
        </w:tc>
        <w:tc>
          <w:tcPr>
            <w:tcW w:w="495" w:type="dxa"/>
            <w:tcBorders>
              <w:tl2br w:val="nil"/>
              <w:tr2bl w:val="nil"/>
            </w:tcBorders>
            <w:noWrap w:val="0"/>
            <w:vAlign w:val="center"/>
          </w:tcPr>
          <w:p w14:paraId="646B24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44989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6CEAF76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①预算执行率</w:t>
            </w:r>
            <w:r>
              <w:rPr>
                <w:rStyle w:val="14"/>
                <w:rFonts w:eastAsia="宋体"/>
                <w:lang w:val="en-US" w:eastAsia="zh-CN" w:bidi="ar"/>
              </w:rPr>
              <w:t>=</w:t>
            </w:r>
            <w:r>
              <w:rPr>
                <w:rStyle w:val="13"/>
                <w:lang w:val="en-US" w:eastAsia="zh-CN" w:bidi="ar"/>
              </w:rPr>
              <w:t>（预算完成数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预算执行数：部门（单位）本年度实际完成的预算数。</w:t>
            </w:r>
            <w:r>
              <w:rPr>
                <w:rStyle w:val="14"/>
                <w:rFonts w:eastAsia="宋体"/>
                <w:lang w:val="en-US" w:eastAsia="zh-CN" w:bidi="ar"/>
              </w:rPr>
              <w:br w:type="textWrapping"/>
            </w:r>
            <w:r>
              <w:rPr>
                <w:rStyle w:val="13"/>
                <w:lang w:val="en-US" w:eastAsia="zh-CN" w:bidi="ar"/>
              </w:rPr>
              <w:t>预算数：财政部门批复的本年度部门（单位）预算数及追加的预算数。</w:t>
            </w:r>
            <w:r>
              <w:rPr>
                <w:rStyle w:val="14"/>
                <w:rFonts w:eastAsia="宋体"/>
                <w:lang w:val="en-US" w:eastAsia="zh-CN" w:bidi="ar"/>
              </w:rPr>
              <w:br w:type="textWrapping"/>
            </w:r>
            <w:r>
              <w:rPr>
                <w:rStyle w:val="13"/>
                <w:lang w:val="en-US" w:eastAsia="zh-CN" w:bidi="ar"/>
              </w:rPr>
              <w:t>该项得分，全年预算执行率</w:t>
            </w:r>
            <w:r>
              <w:rPr>
                <w:rStyle w:val="14"/>
                <w:rFonts w:eastAsia="宋体"/>
                <w:lang w:val="en-US" w:eastAsia="zh-CN" w:bidi="ar"/>
              </w:rPr>
              <w:t>95%</w:t>
            </w:r>
            <w:r>
              <w:rPr>
                <w:rStyle w:val="13"/>
                <w:lang w:val="en-US" w:eastAsia="zh-CN" w:bidi="ar"/>
              </w:rPr>
              <w:t>以上计</w:t>
            </w:r>
            <w:r>
              <w:rPr>
                <w:rStyle w:val="14"/>
                <w:rFonts w:eastAsia="宋体"/>
                <w:lang w:val="en-US" w:eastAsia="zh-CN" w:bidi="ar"/>
              </w:rPr>
              <w:t>2</w:t>
            </w:r>
            <w:r>
              <w:rPr>
                <w:rStyle w:val="13"/>
                <w:lang w:val="en-US" w:eastAsia="zh-CN" w:bidi="ar"/>
              </w:rPr>
              <w:t>分，</w:t>
            </w:r>
            <w:r>
              <w:rPr>
                <w:rStyle w:val="14"/>
                <w:rFonts w:eastAsia="宋体"/>
                <w:lang w:val="en-US" w:eastAsia="zh-CN" w:bidi="ar"/>
              </w:rPr>
              <w:t>95-90%</w:t>
            </w:r>
            <w:r>
              <w:rPr>
                <w:rStyle w:val="13"/>
                <w:lang w:val="en-US" w:eastAsia="zh-CN" w:bidi="ar"/>
              </w:rPr>
              <w:t>（含），计</w:t>
            </w:r>
            <w:r>
              <w:rPr>
                <w:rStyle w:val="14"/>
                <w:rFonts w:eastAsia="宋体"/>
                <w:lang w:val="en-US" w:eastAsia="zh-CN" w:bidi="ar"/>
              </w:rPr>
              <w:t>1</w:t>
            </w:r>
            <w:r>
              <w:rPr>
                <w:rStyle w:val="13"/>
                <w:lang w:val="en-US" w:eastAsia="zh-CN" w:bidi="ar"/>
              </w:rPr>
              <w:t>分，</w:t>
            </w:r>
            <w:r>
              <w:rPr>
                <w:rStyle w:val="14"/>
                <w:rFonts w:eastAsia="宋体"/>
                <w:lang w:val="en-US" w:eastAsia="zh-CN" w:bidi="ar"/>
              </w:rPr>
              <w:t>90-80%</w:t>
            </w:r>
            <w:r>
              <w:rPr>
                <w:rStyle w:val="13"/>
                <w:lang w:val="en-US" w:eastAsia="zh-CN" w:bidi="ar"/>
              </w:rPr>
              <w:t>（含），计</w:t>
            </w:r>
            <w:r>
              <w:rPr>
                <w:rStyle w:val="14"/>
                <w:rFonts w:eastAsia="宋体"/>
                <w:lang w:val="en-US" w:eastAsia="zh-CN" w:bidi="ar"/>
              </w:rPr>
              <w:t>0.5</w:t>
            </w:r>
            <w:r>
              <w:rPr>
                <w:rStyle w:val="13"/>
                <w:lang w:val="en-US" w:eastAsia="zh-CN" w:bidi="ar"/>
              </w:rPr>
              <w:t>分，小于</w:t>
            </w:r>
            <w:r>
              <w:rPr>
                <w:rStyle w:val="14"/>
                <w:rFonts w:eastAsia="宋体"/>
                <w:lang w:val="en-US" w:eastAsia="zh-CN" w:bidi="ar"/>
              </w:rPr>
              <w:t>80%</w:t>
            </w:r>
            <w:r>
              <w:rPr>
                <w:rStyle w:val="13"/>
                <w:lang w:val="en-US" w:eastAsia="zh-CN" w:bidi="ar"/>
              </w:rPr>
              <w:t>不得分；</w:t>
            </w:r>
            <w:r>
              <w:rPr>
                <w:rStyle w:val="14"/>
                <w:rFonts w:eastAsia="宋体"/>
                <w:lang w:val="en-US" w:eastAsia="zh-CN" w:bidi="ar"/>
              </w:rPr>
              <w:br w:type="textWrapping"/>
            </w:r>
            <w:r>
              <w:rPr>
                <w:rStyle w:val="13"/>
                <w:lang w:val="en-US" w:eastAsia="zh-CN" w:bidi="ar"/>
              </w:rPr>
              <w:t>②绩效目标执行监控是否按要求完成。</w:t>
            </w:r>
            <w:r>
              <w:rPr>
                <w:rStyle w:val="14"/>
                <w:rFonts w:eastAsia="宋体"/>
                <w:lang w:val="en-US" w:eastAsia="zh-CN" w:bidi="ar"/>
              </w:rPr>
              <w:br w:type="textWrapping"/>
            </w:r>
            <w:r>
              <w:rPr>
                <w:rStyle w:val="13"/>
                <w:lang w:val="en-US" w:eastAsia="zh-CN" w:bidi="ar"/>
              </w:rPr>
              <w:t>该项得分，实施项目资金运行监控的得</w:t>
            </w:r>
            <w:r>
              <w:rPr>
                <w:rStyle w:val="14"/>
                <w:rFonts w:eastAsia="宋体"/>
                <w:lang w:val="en-US" w:eastAsia="zh-CN" w:bidi="ar"/>
              </w:rPr>
              <w:t>2</w:t>
            </w:r>
            <w:r>
              <w:rPr>
                <w:rStyle w:val="13"/>
                <w:lang w:val="en-US" w:eastAsia="zh-CN" w:bidi="ar"/>
              </w:rPr>
              <w:t>分，未实施的不得分。</w:t>
            </w:r>
          </w:p>
        </w:tc>
        <w:tc>
          <w:tcPr>
            <w:tcW w:w="2115" w:type="dxa"/>
            <w:tcBorders>
              <w:tl2br w:val="nil"/>
              <w:tr2bl w:val="nil"/>
            </w:tcBorders>
            <w:noWrap w:val="0"/>
            <w:vAlign w:val="center"/>
          </w:tcPr>
          <w:p w14:paraId="1620F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3C4B4DF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283E2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3D65C655">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7B0902F">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73AEF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调整率</w:t>
            </w:r>
          </w:p>
        </w:tc>
        <w:tc>
          <w:tcPr>
            <w:tcW w:w="495" w:type="dxa"/>
            <w:tcBorders>
              <w:tl2br w:val="nil"/>
              <w:tr2bl w:val="nil"/>
            </w:tcBorders>
            <w:noWrap w:val="0"/>
            <w:vAlign w:val="center"/>
          </w:tcPr>
          <w:p w14:paraId="376CC7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2BC8239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7DD1441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预算调整率</w:t>
            </w:r>
            <w:r>
              <w:rPr>
                <w:rStyle w:val="14"/>
                <w:rFonts w:eastAsia="宋体"/>
                <w:lang w:val="en-US" w:eastAsia="zh-CN" w:bidi="ar"/>
              </w:rPr>
              <w:t>=</w:t>
            </w:r>
            <w:r>
              <w:rPr>
                <w:rStyle w:val="13"/>
                <w:lang w:val="en-US" w:eastAsia="zh-CN" w:bidi="ar"/>
              </w:rPr>
              <w:t>（预算调整数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4"/>
                <w:rFonts w:eastAsia="宋体"/>
                <w:lang w:val="en-US" w:eastAsia="zh-CN" w:bidi="ar"/>
              </w:rPr>
              <w:br w:type="textWrapping"/>
            </w:r>
            <w:r>
              <w:rPr>
                <w:rStyle w:val="13"/>
                <w:lang w:val="en-US" w:eastAsia="zh-CN" w:bidi="ar"/>
              </w:rPr>
              <w:t>该项得分，预算调整率</w:t>
            </w:r>
            <w:r>
              <w:rPr>
                <w:rStyle w:val="14"/>
                <w:rFonts w:eastAsia="宋体"/>
                <w:lang w:val="en-US" w:eastAsia="zh-CN" w:bidi="ar"/>
              </w:rPr>
              <w:t>&lt;5%</w:t>
            </w:r>
            <w:r>
              <w:rPr>
                <w:rStyle w:val="13"/>
                <w:lang w:val="en-US" w:eastAsia="zh-CN" w:bidi="ar"/>
              </w:rPr>
              <w:t>，计</w:t>
            </w:r>
            <w:r>
              <w:rPr>
                <w:rStyle w:val="14"/>
                <w:rFonts w:eastAsia="宋体"/>
                <w:lang w:val="en-US" w:eastAsia="zh-CN" w:bidi="ar"/>
              </w:rPr>
              <w:t>2</w:t>
            </w:r>
            <w:r>
              <w:rPr>
                <w:rStyle w:val="13"/>
                <w:lang w:val="en-US" w:eastAsia="zh-CN" w:bidi="ar"/>
              </w:rPr>
              <w:t>分；</w:t>
            </w:r>
            <w:r>
              <w:rPr>
                <w:rStyle w:val="14"/>
                <w:rFonts w:eastAsia="宋体"/>
                <w:lang w:val="en-US" w:eastAsia="zh-CN" w:bidi="ar"/>
              </w:rPr>
              <w:t>5-10%</w:t>
            </w:r>
            <w:r>
              <w:rPr>
                <w:rStyle w:val="13"/>
                <w:lang w:val="en-US" w:eastAsia="zh-CN" w:bidi="ar"/>
              </w:rPr>
              <w:t>（含），计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10%</w:t>
            </w:r>
            <w:r>
              <w:rPr>
                <w:rStyle w:val="13"/>
                <w:lang w:val="en-US" w:eastAsia="zh-CN" w:bidi="ar"/>
              </w:rPr>
              <w:t>不得分。</w:t>
            </w:r>
          </w:p>
        </w:tc>
        <w:tc>
          <w:tcPr>
            <w:tcW w:w="2115" w:type="dxa"/>
            <w:tcBorders>
              <w:tl2br w:val="nil"/>
              <w:tr2bl w:val="nil"/>
            </w:tcBorders>
            <w:noWrap w:val="0"/>
            <w:vAlign w:val="center"/>
          </w:tcPr>
          <w:p w14:paraId="00AA585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577D7699">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6A29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7A66ADE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E1C2653">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976E2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结转</w:t>
            </w:r>
            <w:r>
              <w:rPr>
                <w:rStyle w:val="14"/>
                <w:rFonts w:eastAsia="宋体"/>
                <w:lang w:val="en-US" w:eastAsia="zh-CN" w:bidi="ar"/>
              </w:rPr>
              <w:br w:type="textWrapping"/>
            </w:r>
            <w:r>
              <w:rPr>
                <w:rStyle w:val="13"/>
                <w:lang w:val="en-US" w:eastAsia="zh-CN" w:bidi="ar"/>
              </w:rPr>
              <w:t>结余</w:t>
            </w:r>
          </w:p>
        </w:tc>
        <w:tc>
          <w:tcPr>
            <w:tcW w:w="495" w:type="dxa"/>
            <w:tcBorders>
              <w:tl2br w:val="nil"/>
              <w:tr2bl w:val="nil"/>
            </w:tcBorders>
            <w:noWrap w:val="0"/>
            <w:vAlign w:val="center"/>
          </w:tcPr>
          <w:p w14:paraId="305BC1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5FC1EA0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0F6AEF95">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结转结余率</w:t>
            </w:r>
            <w:r>
              <w:rPr>
                <w:rStyle w:val="14"/>
                <w:rFonts w:eastAsia="宋体"/>
                <w:lang w:val="en-US" w:eastAsia="zh-CN" w:bidi="ar"/>
              </w:rPr>
              <w:t>=</w:t>
            </w:r>
            <w:r>
              <w:rPr>
                <w:rStyle w:val="13"/>
                <w:lang w:val="en-US" w:eastAsia="zh-CN" w:bidi="ar"/>
              </w:rPr>
              <w:t>结转结余总额</w:t>
            </w:r>
            <w:r>
              <w:rPr>
                <w:rStyle w:val="14"/>
                <w:rFonts w:eastAsia="宋体"/>
                <w:lang w:val="en-US" w:eastAsia="zh-CN" w:bidi="ar"/>
              </w:rPr>
              <w:t>/</w:t>
            </w:r>
            <w:r>
              <w:rPr>
                <w:rStyle w:val="13"/>
                <w:lang w:val="en-US" w:eastAsia="zh-CN" w:bidi="ar"/>
              </w:rPr>
              <w:t>支出预算数</w:t>
            </w:r>
            <w:r>
              <w:rPr>
                <w:rStyle w:val="14"/>
                <w:rFonts w:eastAsia="宋体"/>
                <w:lang w:val="en-US" w:eastAsia="zh-CN" w:bidi="ar"/>
              </w:rPr>
              <w:t>×100%</w:t>
            </w:r>
            <w:r>
              <w:rPr>
                <w:rStyle w:val="13"/>
                <w:lang w:val="en-US" w:eastAsia="zh-CN" w:bidi="ar"/>
              </w:rPr>
              <w:t>。结转结余总额：部门本年度的结转资金与结余资金之和（以决算数为准）。</w:t>
            </w:r>
            <w:r>
              <w:rPr>
                <w:rStyle w:val="14"/>
                <w:rFonts w:eastAsia="宋体"/>
                <w:lang w:val="en-US" w:eastAsia="zh-CN" w:bidi="ar"/>
              </w:rPr>
              <w:br w:type="textWrapping"/>
            </w:r>
            <w:r>
              <w:rPr>
                <w:rStyle w:val="13"/>
                <w:lang w:val="en-US" w:eastAsia="zh-CN" w:bidi="ar"/>
              </w:rPr>
              <w:t>该项得分，结余率</w:t>
            </w:r>
            <w:r>
              <w:rPr>
                <w:rStyle w:val="14"/>
                <w:rFonts w:eastAsia="宋体"/>
                <w:lang w:val="en-US" w:eastAsia="zh-CN" w:bidi="ar"/>
              </w:rPr>
              <w:t>≤10%</w:t>
            </w:r>
            <w:r>
              <w:rPr>
                <w:rStyle w:val="13"/>
                <w:lang w:val="en-US" w:eastAsia="zh-CN" w:bidi="ar"/>
              </w:rPr>
              <w:t>的，计</w:t>
            </w:r>
            <w:r>
              <w:rPr>
                <w:rStyle w:val="14"/>
                <w:rFonts w:eastAsia="宋体"/>
                <w:lang w:val="en-US" w:eastAsia="zh-CN" w:bidi="ar"/>
              </w:rPr>
              <w:t>1</w:t>
            </w:r>
            <w:r>
              <w:rPr>
                <w:rStyle w:val="13"/>
                <w:lang w:val="en-US" w:eastAsia="zh-CN" w:bidi="ar"/>
              </w:rPr>
              <w:t>分；结余率</w:t>
            </w:r>
            <w:r>
              <w:rPr>
                <w:rStyle w:val="14"/>
                <w:rFonts w:eastAsia="宋体"/>
                <w:lang w:val="en-US" w:eastAsia="zh-CN" w:bidi="ar"/>
              </w:rPr>
              <w:t>&gt;10%</w:t>
            </w:r>
            <w:r>
              <w:rPr>
                <w:rStyle w:val="13"/>
                <w:lang w:val="en-US" w:eastAsia="zh-CN" w:bidi="ar"/>
              </w:rPr>
              <w:t>（不含），</w:t>
            </w:r>
            <w:r>
              <w:rPr>
                <w:rStyle w:val="14"/>
                <w:rFonts w:eastAsia="宋体"/>
                <w:lang w:val="en-US" w:eastAsia="zh-CN" w:bidi="ar"/>
              </w:rPr>
              <w:t>0.5</w:t>
            </w:r>
            <w:r>
              <w:rPr>
                <w:rStyle w:val="13"/>
                <w:lang w:val="en-US" w:eastAsia="zh-CN" w:bidi="ar"/>
              </w:rPr>
              <w:t>分；本年超支的，计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56135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9984A3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1A2E0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256E089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BC761E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A26AF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公用经费</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14:paraId="77893F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03FBB5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18C149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公用经费控制率</w:t>
            </w:r>
            <w:r>
              <w:rPr>
                <w:rStyle w:val="14"/>
                <w:rFonts w:eastAsia="宋体"/>
                <w:lang w:val="en-US" w:eastAsia="zh-CN" w:bidi="ar"/>
              </w:rPr>
              <w:t>=</w:t>
            </w:r>
            <w:r>
              <w:rPr>
                <w:rStyle w:val="13"/>
                <w:lang w:val="en-US" w:eastAsia="zh-CN" w:bidi="ar"/>
              </w:rPr>
              <w:t>（实际支出公用经费总额</w:t>
            </w:r>
            <w:r>
              <w:rPr>
                <w:rStyle w:val="14"/>
                <w:rFonts w:eastAsia="宋体"/>
                <w:lang w:val="en-US" w:eastAsia="zh-CN" w:bidi="ar"/>
              </w:rPr>
              <w:t>/</w:t>
            </w:r>
            <w:r>
              <w:rPr>
                <w:rStyle w:val="13"/>
                <w:lang w:val="en-US" w:eastAsia="zh-CN" w:bidi="ar"/>
              </w:rPr>
              <w:t>预算安排公用经费总额）</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3EDD0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26D5CBB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E304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269404F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0954F5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1F659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14:paraId="18EBC1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6AB3F53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实际支出数与预算安排数的比率，用以反映和考核部门（单位）对</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的实际控制程度。</w:t>
            </w:r>
          </w:p>
        </w:tc>
        <w:tc>
          <w:tcPr>
            <w:tcW w:w="5112" w:type="dxa"/>
            <w:tcBorders>
              <w:tl2br w:val="nil"/>
              <w:tr2bl w:val="nil"/>
            </w:tcBorders>
            <w:noWrap w:val="0"/>
            <w:vAlign w:val="center"/>
          </w:tcPr>
          <w:p w14:paraId="66266F7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控制率</w:t>
            </w:r>
            <w:r>
              <w:rPr>
                <w:rStyle w:val="14"/>
                <w:rFonts w:eastAsia="宋体"/>
                <w:lang w:val="en-US" w:eastAsia="zh-CN" w:bidi="ar"/>
              </w:rPr>
              <w:t>=</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预算安排数）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20914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48C024A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CAED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478570D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65EC0E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BD0D9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政府采购</w:t>
            </w:r>
            <w:r>
              <w:rPr>
                <w:rStyle w:val="14"/>
                <w:rFonts w:eastAsia="宋体"/>
                <w:lang w:val="en-US" w:eastAsia="zh-CN" w:bidi="ar"/>
              </w:rPr>
              <w:br w:type="textWrapping"/>
            </w:r>
            <w:r>
              <w:rPr>
                <w:rStyle w:val="13"/>
                <w:lang w:val="en-US" w:eastAsia="zh-CN" w:bidi="ar"/>
              </w:rPr>
              <w:t>执行率和</w:t>
            </w:r>
            <w:r>
              <w:rPr>
                <w:rStyle w:val="14"/>
                <w:rFonts w:eastAsia="宋体"/>
                <w:lang w:val="en-US" w:eastAsia="zh-CN" w:bidi="ar"/>
              </w:rPr>
              <w:br w:type="textWrapping"/>
            </w:r>
            <w:r>
              <w:rPr>
                <w:rStyle w:val="13"/>
                <w:lang w:val="en-US" w:eastAsia="zh-CN" w:bidi="ar"/>
              </w:rPr>
              <w:t>规范性</w:t>
            </w:r>
          </w:p>
        </w:tc>
        <w:tc>
          <w:tcPr>
            <w:tcW w:w="495" w:type="dxa"/>
            <w:tcBorders>
              <w:tl2br w:val="nil"/>
              <w:tr2bl w:val="nil"/>
            </w:tcBorders>
            <w:noWrap w:val="0"/>
            <w:vAlign w:val="center"/>
          </w:tcPr>
          <w:p w14:paraId="6665E5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758A5A3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6E259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①政府采购预算执行率</w:t>
            </w:r>
            <w:r>
              <w:rPr>
                <w:rStyle w:val="14"/>
                <w:rFonts w:eastAsia="宋体"/>
                <w:lang w:val="en-US" w:eastAsia="zh-CN" w:bidi="ar"/>
              </w:rPr>
              <w:t>=</w:t>
            </w:r>
            <w:r>
              <w:rPr>
                <w:rStyle w:val="13"/>
                <w:lang w:val="en-US" w:eastAsia="zh-CN" w:bidi="ar"/>
              </w:rPr>
              <w:t>（实际政府采购金额</w:t>
            </w:r>
            <w:r>
              <w:rPr>
                <w:rStyle w:val="14"/>
                <w:rFonts w:eastAsia="宋体"/>
                <w:lang w:val="en-US" w:eastAsia="zh-CN" w:bidi="ar"/>
              </w:rPr>
              <w:t>/</w:t>
            </w:r>
            <w:r>
              <w:rPr>
                <w:rStyle w:val="13"/>
                <w:lang w:val="en-US" w:eastAsia="zh-CN" w:bidi="ar"/>
              </w:rPr>
              <w:t>政府采购预算数）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政府采购预算：采购机关根据事业发展计划和行政任务编制的、并经过规定程序批准的年度政府采购计划。</w:t>
            </w:r>
            <w:r>
              <w:rPr>
                <w:rStyle w:val="14"/>
                <w:rFonts w:eastAsia="宋体"/>
                <w:lang w:val="en-US" w:eastAsia="zh-CN" w:bidi="ar"/>
              </w:rPr>
              <w:br w:type="textWrapping"/>
            </w:r>
            <w:r>
              <w:rPr>
                <w:rStyle w:val="13"/>
                <w:lang w:val="en-US" w:eastAsia="zh-CN" w:bidi="ar"/>
              </w:rPr>
              <w:t>该项得分，完成本年度采购计划的，政府采购执行率≤</w:t>
            </w:r>
            <w:r>
              <w:rPr>
                <w:rStyle w:val="14"/>
                <w:rFonts w:eastAsia="宋体"/>
                <w:lang w:val="en-US" w:eastAsia="zh-CN" w:bidi="ar"/>
              </w:rPr>
              <w:t>100%</w:t>
            </w:r>
            <w:r>
              <w:rPr>
                <w:rStyle w:val="13"/>
                <w:lang w:val="en-US" w:eastAsia="zh-CN" w:bidi="ar"/>
              </w:rPr>
              <w:t>，计</w:t>
            </w:r>
            <w:r>
              <w:rPr>
                <w:rStyle w:val="14"/>
                <w:rFonts w:eastAsia="宋体"/>
                <w:lang w:val="en-US" w:eastAsia="zh-CN" w:bidi="ar"/>
              </w:rPr>
              <w:t>1</w:t>
            </w:r>
            <w:r>
              <w:rPr>
                <w:rStyle w:val="13"/>
                <w:lang w:val="en-US" w:eastAsia="zh-CN" w:bidi="ar"/>
              </w:rPr>
              <w:t>分，每超过</w:t>
            </w:r>
            <w:r>
              <w:rPr>
                <w:rStyle w:val="14"/>
                <w:rFonts w:eastAsia="宋体"/>
                <w:lang w:val="en-US" w:eastAsia="zh-CN" w:bidi="ar"/>
              </w:rPr>
              <w:t>1%</w:t>
            </w:r>
            <w:r>
              <w:rPr>
                <w:rStyle w:val="13"/>
                <w:lang w:val="en-US" w:eastAsia="zh-CN" w:bidi="ar"/>
              </w:rPr>
              <w:t>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②所有项目依法采购，无规避政府采购或化整为零进行政府采购的行为，并履行验收手续，计0.5分，否则不得分；</w:t>
            </w:r>
            <w:r>
              <w:rPr>
                <w:rStyle w:val="14"/>
                <w:rFonts w:eastAsia="宋体"/>
                <w:lang w:val="en-US" w:eastAsia="zh-CN" w:bidi="ar"/>
              </w:rPr>
              <w:br w:type="textWrapping"/>
            </w:r>
            <w:r>
              <w:rPr>
                <w:rStyle w:val="13"/>
                <w:lang w:val="en-US" w:eastAsia="zh-CN" w:bidi="ar"/>
              </w:rPr>
              <w:t>③预算单位建立了政府采购内控制度，计0.5分，否则不得分。</w:t>
            </w:r>
          </w:p>
        </w:tc>
        <w:tc>
          <w:tcPr>
            <w:tcW w:w="2115" w:type="dxa"/>
            <w:tcBorders>
              <w:tl2br w:val="nil"/>
              <w:tr2bl w:val="nil"/>
            </w:tcBorders>
            <w:noWrap w:val="0"/>
            <w:vAlign w:val="center"/>
          </w:tcPr>
          <w:p w14:paraId="7309851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7C19B41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390CA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317BBF39">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3B86B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29</w:t>
            </w:r>
            <w:r>
              <w:rPr>
                <w:rStyle w:val="13"/>
                <w:lang w:val="en-US" w:eastAsia="zh-CN" w:bidi="ar"/>
              </w:rPr>
              <w:t>分）</w:t>
            </w:r>
          </w:p>
        </w:tc>
        <w:tc>
          <w:tcPr>
            <w:tcW w:w="1050" w:type="dxa"/>
            <w:tcBorders>
              <w:tl2br w:val="nil"/>
              <w:tr2bl w:val="nil"/>
            </w:tcBorders>
            <w:noWrap w:val="0"/>
            <w:vAlign w:val="center"/>
          </w:tcPr>
          <w:p w14:paraId="1BEAC4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管理制度</w:t>
            </w:r>
            <w:r>
              <w:rPr>
                <w:rStyle w:val="14"/>
                <w:rFonts w:eastAsia="宋体"/>
                <w:lang w:val="en-US" w:eastAsia="zh-CN" w:bidi="ar"/>
              </w:rPr>
              <w:br w:type="textWrapping"/>
            </w:r>
            <w:r>
              <w:rPr>
                <w:rStyle w:val="13"/>
                <w:lang w:val="en-US" w:eastAsia="zh-CN" w:bidi="ar"/>
              </w:rPr>
              <w:t>健全性</w:t>
            </w:r>
          </w:p>
        </w:tc>
        <w:tc>
          <w:tcPr>
            <w:tcW w:w="495" w:type="dxa"/>
            <w:tcBorders>
              <w:tl2br w:val="nil"/>
              <w:tr2bl w:val="nil"/>
            </w:tcBorders>
            <w:noWrap w:val="0"/>
            <w:vAlign w:val="center"/>
          </w:tcPr>
          <w:p w14:paraId="5109DE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7FF99C4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131A8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①是否已制定或具有预算资金管理办法、内部财务管理制度、会计核算制度等管理制度；</w:t>
            </w:r>
            <w:r>
              <w:rPr>
                <w:rStyle w:val="14"/>
                <w:rFonts w:eastAsia="宋体"/>
                <w:lang w:val="en-US" w:eastAsia="zh-CN" w:bidi="ar"/>
              </w:rPr>
              <w:br w:type="textWrapping"/>
            </w:r>
            <w:r>
              <w:rPr>
                <w:rStyle w:val="13"/>
                <w:lang w:val="en-US" w:eastAsia="zh-CN" w:bidi="ar"/>
              </w:rPr>
              <w:t>②相关管理制度是否合法、合规、完整；</w:t>
            </w:r>
            <w:r>
              <w:rPr>
                <w:rStyle w:val="14"/>
                <w:rFonts w:eastAsia="宋体"/>
                <w:lang w:val="en-US" w:eastAsia="zh-CN" w:bidi="ar"/>
              </w:rPr>
              <w:br w:type="textWrapping"/>
            </w:r>
            <w:r>
              <w:rPr>
                <w:rStyle w:val="13"/>
                <w:lang w:val="en-US" w:eastAsia="zh-CN" w:bidi="ar"/>
              </w:rPr>
              <w:t>③相关管理制度是否得到有效执行。</w:t>
            </w:r>
            <w:r>
              <w:rPr>
                <w:rStyle w:val="14"/>
                <w:rFonts w:eastAsia="宋体"/>
                <w:lang w:val="en-US" w:eastAsia="zh-CN" w:bidi="ar"/>
              </w:rPr>
              <w:br w:type="textWrapping"/>
            </w:r>
            <w:r>
              <w:rPr>
                <w:rStyle w:val="13"/>
                <w:lang w:val="en-US" w:eastAsia="zh-CN" w:bidi="ar"/>
              </w:rPr>
              <w:t>④会计人员、机构是否按规定设置；</w:t>
            </w:r>
            <w:r>
              <w:rPr>
                <w:rStyle w:val="14"/>
                <w:rFonts w:eastAsia="宋体"/>
                <w:lang w:val="en-US" w:eastAsia="zh-CN" w:bidi="ar"/>
              </w:rPr>
              <w:br w:type="textWrapping"/>
            </w:r>
            <w:r>
              <w:rPr>
                <w:rStyle w:val="13"/>
                <w:lang w:val="en-US" w:eastAsia="zh-CN" w:bidi="ar"/>
              </w:rPr>
              <w:t>⑤会计基础工作是否健全；</w:t>
            </w:r>
            <w:r>
              <w:rPr>
                <w:rStyle w:val="14"/>
                <w:rFonts w:eastAsia="宋体"/>
                <w:lang w:val="en-US" w:eastAsia="zh-CN" w:bidi="ar"/>
              </w:rPr>
              <w:br w:type="textWrapping"/>
            </w:r>
            <w:r>
              <w:rPr>
                <w:rStyle w:val="13"/>
                <w:lang w:val="en-US" w:eastAsia="zh-CN" w:bidi="ar"/>
              </w:rPr>
              <w:t>⑥会计档案是否符合规定要求；</w:t>
            </w:r>
            <w:r>
              <w:rPr>
                <w:rStyle w:val="14"/>
                <w:rFonts w:eastAsia="宋体"/>
                <w:lang w:val="en-US" w:eastAsia="zh-CN" w:bidi="ar"/>
              </w:rPr>
              <w:br w:type="textWrapping"/>
            </w:r>
            <w:r>
              <w:rPr>
                <w:rStyle w:val="13"/>
                <w:lang w:val="en-US" w:eastAsia="zh-CN" w:bidi="ar"/>
              </w:rPr>
              <w:t>⑦项目管理是否规范（包括项目立项、申报、招投标、合同或协议要素、制度建立、按时完工等）。</w:t>
            </w:r>
            <w:r>
              <w:rPr>
                <w:rStyle w:val="14"/>
                <w:rFonts w:eastAsia="宋体"/>
                <w:lang w:val="en-US" w:eastAsia="zh-CN" w:bidi="ar"/>
              </w:rPr>
              <w:br w:type="textWrapping"/>
            </w:r>
            <w:r>
              <w:rPr>
                <w:rStyle w:val="13"/>
                <w:lang w:val="en-US" w:eastAsia="zh-CN" w:bidi="ar"/>
              </w:rPr>
              <w:t>以上情况每发现一例不符合要求的扣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14:paraId="5C7758E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部门（单位）管理制度。</w:t>
            </w:r>
          </w:p>
        </w:tc>
        <w:tc>
          <w:tcPr>
            <w:tcW w:w="586" w:type="dxa"/>
            <w:tcBorders>
              <w:tl2br w:val="nil"/>
              <w:tr2bl w:val="nil"/>
            </w:tcBorders>
            <w:noWrap w:val="0"/>
            <w:vAlign w:val="center"/>
          </w:tcPr>
          <w:p w14:paraId="34FF3A7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r>
      <w:tr w14:paraId="6A49C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4CB707F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BA046C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A8757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w:t>
            </w:r>
            <w:r>
              <w:rPr>
                <w:rStyle w:val="14"/>
                <w:rFonts w:eastAsia="宋体"/>
                <w:lang w:val="en-US" w:eastAsia="zh-CN" w:bidi="ar"/>
              </w:rPr>
              <w:br w:type="textWrapping"/>
            </w:r>
            <w:r>
              <w:rPr>
                <w:rStyle w:val="13"/>
                <w:lang w:val="en-US" w:eastAsia="zh-CN" w:bidi="ar"/>
              </w:rPr>
              <w:t>合规性</w:t>
            </w:r>
          </w:p>
        </w:tc>
        <w:tc>
          <w:tcPr>
            <w:tcW w:w="495" w:type="dxa"/>
            <w:tcBorders>
              <w:tl2br w:val="nil"/>
              <w:tr2bl w:val="nil"/>
            </w:tcBorders>
            <w:noWrap w:val="0"/>
            <w:vAlign w:val="center"/>
          </w:tcPr>
          <w:p w14:paraId="5E43DB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1998D0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4A5B5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①符合国家财经法规和财务管理制度以及有关专项资金管理办法的规定，计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②资金的支付有完整的审批程序和手续，计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③重大项目开支和大额资金使用经过单位党组集体研究决策，计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④符合项目预算批复或合同规定的用途，计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⑤没有截留、挤占、挪用、虚列支出等情况，计</w:t>
            </w:r>
            <w:r>
              <w:rPr>
                <w:rStyle w:val="14"/>
                <w:rFonts w:eastAsia="宋体"/>
                <w:lang w:val="en-US" w:eastAsia="zh-CN" w:bidi="ar"/>
              </w:rPr>
              <w:t>1</w:t>
            </w:r>
            <w:r>
              <w:rPr>
                <w:rStyle w:val="13"/>
                <w:lang w:val="en-US" w:eastAsia="zh-CN" w:bidi="ar"/>
              </w:rPr>
              <w:t>分，发生</w:t>
            </w:r>
            <w:r>
              <w:rPr>
                <w:rStyle w:val="14"/>
                <w:rFonts w:eastAsia="宋体"/>
                <w:lang w:val="en-US" w:eastAsia="zh-CN" w:bidi="ar"/>
              </w:rPr>
              <w:t>1</w:t>
            </w:r>
            <w:r>
              <w:rPr>
                <w:rStyle w:val="13"/>
                <w:lang w:val="en-US" w:eastAsia="zh-CN" w:bidi="ar"/>
              </w:rPr>
              <w:t>例不符合本指标的现象</w:t>
            </w:r>
            <w:r>
              <w:rPr>
                <w:rStyle w:val="14"/>
                <w:rFonts w:eastAsia="宋体"/>
                <w:lang w:val="en-US" w:eastAsia="zh-CN" w:bidi="ar"/>
              </w:rPr>
              <w:t>7</w:t>
            </w:r>
            <w:r>
              <w:rPr>
                <w:rStyle w:val="13"/>
                <w:lang w:val="en-US" w:eastAsia="zh-CN" w:bidi="ar"/>
              </w:rPr>
              <w:t>分全扣；</w:t>
            </w:r>
            <w:r>
              <w:rPr>
                <w:rStyle w:val="14"/>
                <w:rFonts w:eastAsia="宋体"/>
                <w:lang w:val="en-US" w:eastAsia="zh-CN" w:bidi="ar"/>
              </w:rPr>
              <w:br w:type="textWrapping"/>
            </w:r>
            <w:r>
              <w:rPr>
                <w:rStyle w:val="13"/>
                <w:lang w:val="en-US" w:eastAsia="zh-CN" w:bidi="ar"/>
              </w:rPr>
              <w:t>⑥原始凭证的取得真实有效，计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⑦无超标准发放津补贴、奖金、无用公款支付应个人支付的款项，计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3"/>
                <w:lang w:val="en-US" w:eastAsia="zh-CN" w:bidi="ar"/>
              </w:rPr>
              <w:br w:type="textWrapping"/>
            </w:r>
            <w:r>
              <w:rPr>
                <w:rStyle w:val="13"/>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39DE189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1BF6648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66A1D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3A7C830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01F13F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EC588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信息</w:t>
            </w:r>
            <w:r>
              <w:rPr>
                <w:rStyle w:val="14"/>
                <w:rFonts w:eastAsia="宋体"/>
                <w:lang w:val="en-US" w:eastAsia="zh-CN" w:bidi="ar"/>
              </w:rPr>
              <w:br w:type="textWrapping"/>
            </w:r>
            <w:r>
              <w:rPr>
                <w:rStyle w:val="13"/>
                <w:lang w:val="en-US" w:eastAsia="zh-CN" w:bidi="ar"/>
              </w:rPr>
              <w:t>公开性</w:t>
            </w:r>
          </w:p>
        </w:tc>
        <w:tc>
          <w:tcPr>
            <w:tcW w:w="495" w:type="dxa"/>
            <w:tcBorders>
              <w:tl2br w:val="nil"/>
              <w:tr2bl w:val="nil"/>
            </w:tcBorders>
            <w:noWrap w:val="0"/>
            <w:vAlign w:val="center"/>
          </w:tcPr>
          <w:p w14:paraId="5A725A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06BF01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1F954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①无涉密情况的预算单位按规定及时、准确、完整的公开预决算和绩效管理信息，计</w:t>
            </w:r>
            <w:r>
              <w:rPr>
                <w:rStyle w:val="14"/>
                <w:rFonts w:eastAsia="宋体"/>
                <w:lang w:val="en-US" w:eastAsia="zh-CN" w:bidi="ar"/>
              </w:rPr>
              <w:t>1</w:t>
            </w:r>
            <w:r>
              <w:rPr>
                <w:rStyle w:val="13"/>
                <w:lang w:val="en-US" w:eastAsia="zh-CN" w:bidi="ar"/>
              </w:rPr>
              <w:t>分，否则，酌情扣分；</w:t>
            </w:r>
            <w:r>
              <w:rPr>
                <w:rStyle w:val="14"/>
                <w:rFonts w:eastAsia="宋体"/>
                <w:lang w:val="en-US" w:eastAsia="zh-CN" w:bidi="ar"/>
              </w:rPr>
              <w:br w:type="textWrapping"/>
            </w:r>
            <w:r>
              <w:rPr>
                <w:rStyle w:val="13"/>
                <w:lang w:val="en-US" w:eastAsia="zh-CN" w:bidi="ar"/>
              </w:rPr>
              <w:t>②基础数据信息和会计信息资料真实、准确、完整，计</w:t>
            </w:r>
            <w:r>
              <w:rPr>
                <w:rStyle w:val="14"/>
                <w:rFonts w:eastAsia="宋体"/>
                <w:lang w:val="en-US" w:eastAsia="zh-CN" w:bidi="ar"/>
              </w:rPr>
              <w:t>1</w:t>
            </w:r>
            <w:r>
              <w:rPr>
                <w:rStyle w:val="13"/>
                <w:lang w:val="en-US" w:eastAsia="zh-CN" w:bidi="ar"/>
              </w:rPr>
              <w:t>分，否则，酌情扣分。</w:t>
            </w:r>
            <w:r>
              <w:rPr>
                <w:rStyle w:val="13"/>
                <w:lang w:val="en-US" w:eastAsia="zh-CN" w:bidi="ar"/>
              </w:rPr>
              <w:br w:type="textWrapping"/>
            </w:r>
            <w:r>
              <w:rPr>
                <w:rStyle w:val="13"/>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1A843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5C7711D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02675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33EA48F5">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B35C1E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95E1B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非税收入</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管理</w:t>
            </w:r>
          </w:p>
        </w:tc>
        <w:tc>
          <w:tcPr>
            <w:tcW w:w="495" w:type="dxa"/>
            <w:tcBorders>
              <w:tl2br w:val="nil"/>
              <w:tr2bl w:val="nil"/>
            </w:tcBorders>
            <w:noWrap w:val="0"/>
            <w:vAlign w:val="center"/>
          </w:tcPr>
          <w:p w14:paraId="23DFED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0271DC3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反映部门非税收入的使用、管理情况。</w:t>
            </w:r>
          </w:p>
        </w:tc>
        <w:tc>
          <w:tcPr>
            <w:tcW w:w="5112" w:type="dxa"/>
            <w:tcBorders>
              <w:tl2br w:val="nil"/>
              <w:tr2bl w:val="nil"/>
            </w:tcBorders>
            <w:noWrap w:val="0"/>
            <w:vAlign w:val="center"/>
          </w:tcPr>
          <w:p w14:paraId="084F1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①实行收支两条线，计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r>
              <w:rPr>
                <w:rStyle w:val="14"/>
                <w:rFonts w:eastAsia="宋体"/>
                <w:lang w:val="en-US" w:eastAsia="zh-CN" w:bidi="ar"/>
              </w:rPr>
              <w:br w:type="textWrapping"/>
            </w:r>
            <w:r>
              <w:rPr>
                <w:rStyle w:val="13"/>
                <w:lang w:val="en-US" w:eastAsia="zh-CN" w:bidi="ar"/>
              </w:rPr>
              <w:t>②未发生截留、坐支或转移，计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1BF37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03C9E97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1FD54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6FA7428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96A3052">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B3AD4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绩效自评</w:t>
            </w:r>
            <w:r>
              <w:rPr>
                <w:rStyle w:val="14"/>
                <w:rFonts w:eastAsia="宋体"/>
                <w:lang w:val="en-US" w:eastAsia="zh-CN" w:bidi="ar"/>
              </w:rPr>
              <w:br w:type="textWrapping"/>
            </w:r>
            <w:r>
              <w:rPr>
                <w:rStyle w:val="13"/>
                <w:lang w:val="en-US" w:eastAsia="zh-CN" w:bidi="ar"/>
              </w:rPr>
              <w:t>管理情况</w:t>
            </w:r>
          </w:p>
        </w:tc>
        <w:tc>
          <w:tcPr>
            <w:tcW w:w="495" w:type="dxa"/>
            <w:tcBorders>
              <w:tl2br w:val="nil"/>
              <w:tr2bl w:val="nil"/>
            </w:tcBorders>
            <w:noWrap w:val="0"/>
            <w:vAlign w:val="center"/>
          </w:tcPr>
          <w:p w14:paraId="7AC866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1871C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18AE7BA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①是否按要求开展部门（单位）整体支出绩效自评和专项资金支出自评工作。</w:t>
            </w:r>
            <w:r>
              <w:rPr>
                <w:rStyle w:val="14"/>
                <w:rFonts w:eastAsia="宋体"/>
                <w:lang w:val="en-US" w:eastAsia="zh-CN" w:bidi="ar"/>
              </w:rPr>
              <w:br w:type="textWrapping"/>
            </w:r>
            <w:r>
              <w:rPr>
                <w:rStyle w:val="13"/>
                <w:lang w:val="en-US" w:eastAsia="zh-CN" w:bidi="ar"/>
              </w:rPr>
              <w:t>②是否及时报送绩效自评报告；</w:t>
            </w:r>
            <w:r>
              <w:rPr>
                <w:rStyle w:val="14"/>
                <w:rFonts w:eastAsia="宋体"/>
                <w:lang w:val="en-US" w:eastAsia="zh-CN" w:bidi="ar"/>
              </w:rPr>
              <w:br w:type="textWrapping"/>
            </w:r>
            <w:r>
              <w:rPr>
                <w:rStyle w:val="13"/>
                <w:lang w:val="en-US" w:eastAsia="zh-CN" w:bidi="ar"/>
              </w:rPr>
              <w:t>③绩效自评报告是否完整，数据是否全面、真实、准确，绩效指标是否细化量化和科学合理；</w:t>
            </w:r>
            <w:r>
              <w:rPr>
                <w:rStyle w:val="14"/>
                <w:rFonts w:eastAsia="宋体"/>
                <w:lang w:val="en-US" w:eastAsia="zh-CN" w:bidi="ar"/>
              </w:rPr>
              <w:br w:type="textWrapping"/>
            </w:r>
            <w:r>
              <w:rPr>
                <w:rStyle w:val="13"/>
                <w:lang w:val="en-US" w:eastAsia="zh-CN" w:bidi="ar"/>
              </w:rPr>
              <w:t>④绩效自评反映的问题是否具体，意见是否可行，自评发现的问题是否整改；</w:t>
            </w:r>
            <w:r>
              <w:rPr>
                <w:rStyle w:val="14"/>
                <w:rFonts w:eastAsia="宋体"/>
                <w:lang w:val="en-US" w:eastAsia="zh-CN" w:bidi="ar"/>
              </w:rPr>
              <w:br w:type="textWrapping"/>
            </w:r>
            <w:r>
              <w:rPr>
                <w:rStyle w:val="13"/>
                <w:lang w:val="en-US" w:eastAsia="zh-CN" w:bidi="ar"/>
              </w:rPr>
              <w:t>该项得分，①、②、③、④各计</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14:paraId="2BEA9F7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67BC698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0D20E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5AE7DCB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F36C04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C1243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重点绩效</w:t>
            </w:r>
            <w:r>
              <w:rPr>
                <w:rStyle w:val="14"/>
                <w:rFonts w:eastAsia="宋体"/>
                <w:lang w:val="en-US" w:eastAsia="zh-CN" w:bidi="ar"/>
              </w:rPr>
              <w:br w:type="textWrapping"/>
            </w:r>
            <w:r>
              <w:rPr>
                <w:rStyle w:val="13"/>
                <w:lang w:val="en-US" w:eastAsia="zh-CN" w:bidi="ar"/>
              </w:rPr>
              <w:t>评价整改</w:t>
            </w:r>
            <w:r>
              <w:rPr>
                <w:rStyle w:val="14"/>
                <w:rFonts w:eastAsia="宋体"/>
                <w:lang w:val="en-US" w:eastAsia="zh-CN" w:bidi="ar"/>
              </w:rPr>
              <w:br w:type="textWrapping"/>
            </w:r>
            <w:r>
              <w:rPr>
                <w:rStyle w:val="13"/>
                <w:lang w:val="en-US" w:eastAsia="zh-CN" w:bidi="ar"/>
              </w:rPr>
              <w:t>情况</w:t>
            </w:r>
          </w:p>
        </w:tc>
        <w:tc>
          <w:tcPr>
            <w:tcW w:w="495" w:type="dxa"/>
            <w:tcBorders>
              <w:tl2br w:val="nil"/>
              <w:tr2bl w:val="nil"/>
            </w:tcBorders>
            <w:noWrap w:val="0"/>
            <w:vAlign w:val="center"/>
          </w:tcPr>
          <w:p w14:paraId="753296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652CA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59423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上轮重点评价问题全部整改，计3分；上轮重点评价问题部分整改，计</w:t>
            </w:r>
            <w:r>
              <w:rPr>
                <w:rStyle w:val="14"/>
                <w:rFonts w:eastAsia="宋体"/>
                <w:lang w:val="en-US" w:eastAsia="zh-CN" w:bidi="ar"/>
              </w:rPr>
              <w:t>1</w:t>
            </w:r>
            <w:r>
              <w:rPr>
                <w:rStyle w:val="13"/>
                <w:lang w:val="en-US" w:eastAsia="zh-CN" w:bidi="ar"/>
              </w:rPr>
              <w:t>分；上轮重点评价问题未整改且无整改情况说明的不计分。</w:t>
            </w:r>
          </w:p>
        </w:tc>
        <w:tc>
          <w:tcPr>
            <w:tcW w:w="2115" w:type="dxa"/>
            <w:tcBorders>
              <w:tl2br w:val="nil"/>
              <w:tr2bl w:val="nil"/>
            </w:tcBorders>
            <w:noWrap w:val="0"/>
            <w:vAlign w:val="center"/>
          </w:tcPr>
          <w:p w14:paraId="4CBB2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3DCC9ED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61ACF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51E9A0CF">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103A9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资产</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（5分）</w:t>
            </w:r>
          </w:p>
        </w:tc>
        <w:tc>
          <w:tcPr>
            <w:tcW w:w="1050" w:type="dxa"/>
            <w:tcBorders>
              <w:tl2br w:val="nil"/>
              <w:tr2bl w:val="nil"/>
            </w:tcBorders>
            <w:noWrap w:val="0"/>
            <w:vAlign w:val="center"/>
          </w:tcPr>
          <w:p w14:paraId="7E53E1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制度健全性</w:t>
            </w:r>
          </w:p>
        </w:tc>
        <w:tc>
          <w:tcPr>
            <w:tcW w:w="495" w:type="dxa"/>
            <w:tcBorders>
              <w:tl2br w:val="nil"/>
              <w:tr2bl w:val="nil"/>
            </w:tcBorders>
            <w:noWrap w:val="0"/>
            <w:vAlign w:val="center"/>
          </w:tcPr>
          <w:p w14:paraId="62AACC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1492215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506C6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①已制定合法、合规、完整的资产管理制度，计</w:t>
            </w:r>
            <w:r>
              <w:rPr>
                <w:rStyle w:val="14"/>
                <w:rFonts w:eastAsia="宋体"/>
                <w:lang w:val="en-US" w:eastAsia="zh-CN" w:bidi="ar"/>
              </w:rPr>
              <w:t>0.5</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②相关资产管理制度得到有效执行，计</w:t>
            </w:r>
            <w:r>
              <w:rPr>
                <w:rStyle w:val="14"/>
                <w:rFonts w:eastAsia="宋体"/>
                <w:lang w:val="en-US" w:eastAsia="zh-CN" w:bidi="ar"/>
              </w:rPr>
              <w:t>0.5</w:t>
            </w:r>
            <w:r>
              <w:rPr>
                <w:rStyle w:val="13"/>
                <w:lang w:val="en-US" w:eastAsia="zh-CN" w:bidi="ar"/>
              </w:rPr>
              <w:t>分，否则不得分；</w:t>
            </w:r>
          </w:p>
        </w:tc>
        <w:tc>
          <w:tcPr>
            <w:tcW w:w="2115" w:type="dxa"/>
            <w:tcBorders>
              <w:tl2br w:val="nil"/>
              <w:tr2bl w:val="nil"/>
            </w:tcBorders>
            <w:noWrap w:val="0"/>
            <w:vAlign w:val="center"/>
          </w:tcPr>
          <w:p w14:paraId="4056C56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部门（单位）资产管理制度；采购资产相关资料。</w:t>
            </w:r>
          </w:p>
        </w:tc>
        <w:tc>
          <w:tcPr>
            <w:tcW w:w="586" w:type="dxa"/>
            <w:tcBorders>
              <w:tl2br w:val="nil"/>
              <w:tr2bl w:val="nil"/>
            </w:tcBorders>
            <w:noWrap w:val="0"/>
            <w:vAlign w:val="center"/>
          </w:tcPr>
          <w:p w14:paraId="3F51990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3112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46A66FE7">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99F3A8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907C7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安全性</w:t>
            </w:r>
          </w:p>
        </w:tc>
        <w:tc>
          <w:tcPr>
            <w:tcW w:w="495" w:type="dxa"/>
            <w:tcBorders>
              <w:tl2br w:val="nil"/>
              <w:tr2bl w:val="nil"/>
            </w:tcBorders>
            <w:noWrap w:val="0"/>
            <w:vAlign w:val="center"/>
          </w:tcPr>
          <w:p w14:paraId="4EF035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1A3A3F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4E436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①资产配置合理符合标准、保管完整，账务管理规范，定期盘点并有台账，账实相符的，计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②资产处置规范，计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③资产有偿使用或处置收入及时足额上缴，计</w:t>
            </w:r>
            <w:r>
              <w:rPr>
                <w:rStyle w:val="14"/>
                <w:rFonts w:eastAsia="宋体"/>
                <w:lang w:val="en-US" w:eastAsia="zh-CN" w:bidi="ar"/>
              </w:rPr>
              <w:t>0.5</w:t>
            </w:r>
            <w:r>
              <w:rPr>
                <w:rStyle w:val="13"/>
                <w:lang w:val="en-US" w:eastAsia="zh-CN" w:bidi="ar"/>
              </w:rPr>
              <w:t>分，发现未上缴，本项不得分；</w:t>
            </w:r>
            <w:r>
              <w:rPr>
                <w:rStyle w:val="14"/>
                <w:rFonts w:eastAsia="宋体"/>
                <w:lang w:val="en-US" w:eastAsia="zh-CN" w:bidi="ar"/>
              </w:rPr>
              <w:br w:type="textWrapping"/>
            </w:r>
            <w:r>
              <w:rPr>
                <w:rStyle w:val="13"/>
                <w:lang w:val="en-US" w:eastAsia="zh-CN" w:bidi="ar"/>
              </w:rPr>
              <w:t>④资产购置履行政府采购手续，计</w:t>
            </w:r>
            <w:r>
              <w:rPr>
                <w:rStyle w:val="14"/>
                <w:rFonts w:eastAsia="宋体"/>
                <w:lang w:val="en-US" w:eastAsia="zh-CN" w:bidi="ar"/>
              </w:rPr>
              <w:t>0.3</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分，扣完为止；外租资产全部走合规程序，计</w:t>
            </w:r>
            <w:r>
              <w:rPr>
                <w:rStyle w:val="14"/>
                <w:rFonts w:eastAsia="宋体"/>
                <w:lang w:val="en-US" w:eastAsia="zh-CN" w:bidi="ar"/>
              </w:rPr>
              <w:t>0.2</w:t>
            </w:r>
            <w:r>
              <w:rPr>
                <w:rStyle w:val="13"/>
                <w:lang w:val="en-US" w:eastAsia="zh-CN" w:bidi="ar"/>
              </w:rPr>
              <w:t>分，发现一例不合规，扣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14:paraId="612FC57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3A88543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44B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6B38A11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00BF71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E841A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固定资产</w:t>
            </w:r>
            <w:r>
              <w:rPr>
                <w:rStyle w:val="14"/>
                <w:rFonts w:eastAsia="宋体"/>
                <w:lang w:val="en-US" w:eastAsia="zh-CN" w:bidi="ar"/>
              </w:rPr>
              <w:br w:type="textWrapping"/>
            </w:r>
            <w:r>
              <w:rPr>
                <w:rStyle w:val="13"/>
                <w:lang w:val="en-US" w:eastAsia="zh-CN" w:bidi="ar"/>
              </w:rPr>
              <w:t>保管和使用情况</w:t>
            </w:r>
          </w:p>
        </w:tc>
        <w:tc>
          <w:tcPr>
            <w:tcW w:w="495" w:type="dxa"/>
            <w:tcBorders>
              <w:tl2br w:val="nil"/>
              <w:tr2bl w:val="nil"/>
            </w:tcBorders>
            <w:noWrap w:val="0"/>
            <w:vAlign w:val="center"/>
          </w:tcPr>
          <w:p w14:paraId="7AAB7D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2E4EEE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掌握预算单位固定资产配置管理使用情况。</w:t>
            </w:r>
          </w:p>
        </w:tc>
        <w:tc>
          <w:tcPr>
            <w:tcW w:w="5112" w:type="dxa"/>
            <w:tcBorders>
              <w:tl2br w:val="nil"/>
              <w:tr2bl w:val="nil"/>
            </w:tcBorders>
            <w:noWrap w:val="0"/>
            <w:vAlign w:val="center"/>
          </w:tcPr>
          <w:p w14:paraId="004E1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①建了固定资产台账实行编码管理，且编码与实物完全匹配计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②建立了固定资产增减变化审批程序的计0.5分，否则不得分；</w:t>
            </w:r>
            <w:r>
              <w:rPr>
                <w:rStyle w:val="14"/>
                <w:rFonts w:eastAsia="宋体"/>
                <w:lang w:val="en-US" w:eastAsia="zh-CN" w:bidi="ar"/>
              </w:rPr>
              <w:br w:type="textWrapping"/>
            </w:r>
            <w:r>
              <w:rPr>
                <w:rStyle w:val="13"/>
                <w:lang w:val="en-US" w:eastAsia="zh-CN" w:bidi="ar"/>
              </w:rPr>
              <w:t>③固定资产无闲置浪费现象计0.5分，发现一处扣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14:paraId="457EF9A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部门（单位）固定资产实际使用情况；固定资产账。</w:t>
            </w:r>
          </w:p>
        </w:tc>
        <w:tc>
          <w:tcPr>
            <w:tcW w:w="586" w:type="dxa"/>
            <w:tcBorders>
              <w:tl2br w:val="nil"/>
              <w:tr2bl w:val="nil"/>
            </w:tcBorders>
            <w:noWrap w:val="0"/>
            <w:vAlign w:val="center"/>
          </w:tcPr>
          <w:p w14:paraId="5EE0576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E152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4638E9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产出</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22</w:t>
            </w:r>
            <w:r>
              <w:rPr>
                <w:rStyle w:val="13"/>
                <w:lang w:val="en-US" w:eastAsia="zh-CN" w:bidi="ar"/>
              </w:rPr>
              <w:t>分）</w:t>
            </w:r>
          </w:p>
        </w:tc>
        <w:tc>
          <w:tcPr>
            <w:tcW w:w="870" w:type="dxa"/>
            <w:vMerge w:val="restart"/>
            <w:tcBorders>
              <w:tl2br w:val="nil"/>
              <w:tr2bl w:val="nil"/>
            </w:tcBorders>
            <w:noWrap w:val="0"/>
            <w:vAlign w:val="center"/>
          </w:tcPr>
          <w:p w14:paraId="7F2D0E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职责履行（</w:t>
            </w:r>
            <w:r>
              <w:rPr>
                <w:rStyle w:val="14"/>
                <w:rFonts w:eastAsia="宋体"/>
                <w:lang w:val="en-US" w:eastAsia="zh-CN" w:bidi="ar"/>
              </w:rPr>
              <w:t>22</w:t>
            </w:r>
            <w:r>
              <w:rPr>
                <w:rStyle w:val="13"/>
                <w:lang w:val="en-US" w:eastAsia="zh-CN" w:bidi="ar"/>
              </w:rPr>
              <w:t>分）</w:t>
            </w:r>
          </w:p>
        </w:tc>
        <w:tc>
          <w:tcPr>
            <w:tcW w:w="1050" w:type="dxa"/>
            <w:tcBorders>
              <w:tl2br w:val="nil"/>
              <w:tr2bl w:val="nil"/>
            </w:tcBorders>
            <w:noWrap w:val="0"/>
            <w:vAlign w:val="center"/>
          </w:tcPr>
          <w:p w14:paraId="0BFD7F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部门整体</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工作质量</w:t>
            </w:r>
          </w:p>
        </w:tc>
        <w:tc>
          <w:tcPr>
            <w:tcW w:w="495" w:type="dxa"/>
            <w:tcBorders>
              <w:tl2br w:val="nil"/>
              <w:tr2bl w:val="nil"/>
            </w:tcBorders>
            <w:noWrap w:val="0"/>
            <w:vAlign w:val="center"/>
          </w:tcPr>
          <w:p w14:paraId="51F1FC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5C9F605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反映部门党委政府绩效考核评估等级</w:t>
            </w:r>
          </w:p>
        </w:tc>
        <w:tc>
          <w:tcPr>
            <w:tcW w:w="5112" w:type="dxa"/>
            <w:tcBorders>
              <w:tl2br w:val="nil"/>
              <w:tr2bl w:val="nil"/>
            </w:tcBorders>
            <w:noWrap w:val="0"/>
            <w:vAlign w:val="center"/>
          </w:tcPr>
          <w:p w14:paraId="19056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以市委、市政府绩效效考核评估结果为依据：优秀，计</w:t>
            </w:r>
            <w:r>
              <w:rPr>
                <w:rStyle w:val="14"/>
                <w:rFonts w:eastAsia="宋体"/>
                <w:lang w:val="en-US" w:eastAsia="zh-CN" w:bidi="ar"/>
              </w:rPr>
              <w:t>6</w:t>
            </w:r>
            <w:r>
              <w:rPr>
                <w:rStyle w:val="13"/>
                <w:lang w:val="en-US" w:eastAsia="zh-CN" w:bidi="ar"/>
              </w:rPr>
              <w:t>分；良好，</w:t>
            </w:r>
            <w:r>
              <w:rPr>
                <w:rStyle w:val="14"/>
                <w:rFonts w:eastAsia="宋体"/>
                <w:lang w:val="en-US" w:eastAsia="zh-CN" w:bidi="ar"/>
              </w:rPr>
              <w:t>4</w:t>
            </w:r>
            <w:r>
              <w:rPr>
                <w:rStyle w:val="13"/>
                <w:lang w:val="en-US" w:eastAsia="zh-CN" w:bidi="ar"/>
              </w:rPr>
              <w:t>分；合格，</w:t>
            </w:r>
            <w:r>
              <w:rPr>
                <w:rStyle w:val="14"/>
                <w:rFonts w:eastAsia="宋体"/>
                <w:lang w:val="en-US" w:eastAsia="zh-CN" w:bidi="ar"/>
              </w:rPr>
              <w:t>2</w:t>
            </w:r>
            <w:r>
              <w:rPr>
                <w:rStyle w:val="13"/>
                <w:lang w:val="en-US" w:eastAsia="zh-CN" w:bidi="ar"/>
              </w:rPr>
              <w:t>分；不合格，</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5A8FC11F">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4D69F6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1CA4A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23672CDB">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72E2066">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266390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实际</w:t>
            </w:r>
            <w:r>
              <w:rPr>
                <w:rStyle w:val="16"/>
                <w:rFonts w:eastAsia="宋体"/>
                <w:lang w:val="en-US" w:eastAsia="zh-CN" w:bidi="ar"/>
              </w:rPr>
              <w:br w:type="textWrapping"/>
            </w:r>
            <w:r>
              <w:rPr>
                <w:rStyle w:val="15"/>
                <w:lang w:val="en-US" w:eastAsia="zh-CN" w:bidi="ar"/>
              </w:rPr>
              <w:t>完成率</w:t>
            </w:r>
          </w:p>
        </w:tc>
        <w:tc>
          <w:tcPr>
            <w:tcW w:w="495" w:type="dxa"/>
            <w:tcBorders>
              <w:tl2br w:val="nil"/>
              <w:tr2bl w:val="nil"/>
            </w:tcBorders>
            <w:noWrap w:val="0"/>
            <w:vAlign w:val="center"/>
          </w:tcPr>
          <w:p w14:paraId="5C15DF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1727DEE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5CF4458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实际完成率</w:t>
            </w:r>
            <w:r>
              <w:rPr>
                <w:rStyle w:val="16"/>
                <w:rFonts w:eastAsia="宋体"/>
                <w:lang w:val="en-US" w:eastAsia="zh-CN" w:bidi="ar"/>
              </w:rPr>
              <w:t>=</w:t>
            </w:r>
            <w:r>
              <w:rPr>
                <w:rStyle w:val="15"/>
                <w:lang w:val="en-US" w:eastAsia="zh-CN" w:bidi="ar"/>
              </w:rPr>
              <w:t>（实际完成工作数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。实际完成工作数：一定时期（年度或规划期）内部门实际完成工作任务的数量。计划工作数：部门整体绩效目标确定的一定时期（年度或规划期）内预计完成工作任务的数量。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4D754160">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1C47A88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04A68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0D773544">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1897C2C7">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CF7FE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完成</w:t>
            </w:r>
            <w:r>
              <w:rPr>
                <w:rStyle w:val="16"/>
                <w:rFonts w:eastAsia="宋体"/>
                <w:lang w:val="en-US" w:eastAsia="zh-CN" w:bidi="ar"/>
              </w:rPr>
              <w:br w:type="textWrapping"/>
            </w:r>
            <w:r>
              <w:rPr>
                <w:rStyle w:val="15"/>
                <w:lang w:val="en-US" w:eastAsia="zh-CN" w:bidi="ar"/>
              </w:rPr>
              <w:t>及时性</w:t>
            </w:r>
          </w:p>
        </w:tc>
        <w:tc>
          <w:tcPr>
            <w:tcW w:w="495" w:type="dxa"/>
            <w:tcBorders>
              <w:tl2br w:val="nil"/>
              <w:tr2bl w:val="nil"/>
            </w:tcBorders>
            <w:noWrap w:val="0"/>
            <w:vAlign w:val="center"/>
          </w:tcPr>
          <w:p w14:paraId="7BE4EF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F77A1C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3B837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完成及时率</w:t>
            </w:r>
            <w:r>
              <w:rPr>
                <w:rStyle w:val="16"/>
                <w:rFonts w:eastAsia="宋体"/>
                <w:lang w:val="en-US" w:eastAsia="zh-CN" w:bidi="ar"/>
              </w:rPr>
              <w:t>=</w:t>
            </w:r>
            <w:r>
              <w:rPr>
                <w:rStyle w:val="15"/>
                <w:lang w:val="en-US" w:eastAsia="zh-CN" w:bidi="ar"/>
              </w:rPr>
              <w:t>（及时完成实际工作数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。及时完成实际工作数：部门按照整体绩效目标确定的时限实际完成的工作任务数量。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完成及时率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581E1564">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544B89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6FAEE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2974866F">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B7391D4">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5C3B8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质量</w:t>
            </w:r>
            <w:r>
              <w:rPr>
                <w:rStyle w:val="16"/>
                <w:rFonts w:eastAsia="宋体"/>
                <w:lang w:val="en-US" w:eastAsia="zh-CN" w:bidi="ar"/>
              </w:rPr>
              <w:br w:type="textWrapping"/>
            </w:r>
            <w:r>
              <w:rPr>
                <w:rStyle w:val="15"/>
                <w:lang w:val="en-US" w:eastAsia="zh-CN" w:bidi="ar"/>
              </w:rPr>
              <w:t>达标率</w:t>
            </w:r>
          </w:p>
        </w:tc>
        <w:tc>
          <w:tcPr>
            <w:tcW w:w="495" w:type="dxa"/>
            <w:tcBorders>
              <w:tl2br w:val="nil"/>
              <w:tr2bl w:val="nil"/>
            </w:tcBorders>
            <w:noWrap w:val="0"/>
            <w:vAlign w:val="center"/>
          </w:tcPr>
          <w:p w14:paraId="0560E1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B931F6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达到质量标准（绩效标准值）的实际工作数与计划工作数的比率</w:t>
            </w:r>
            <w:r>
              <w:rPr>
                <w:rStyle w:val="16"/>
                <w:rFonts w:eastAsia="宋体"/>
                <w:lang w:val="en-US" w:eastAsia="zh-CN" w:bidi="ar"/>
              </w:rPr>
              <w:t>,</w:t>
            </w:r>
            <w:r>
              <w:rPr>
                <w:rStyle w:val="15"/>
                <w:lang w:val="en-US" w:eastAsia="zh-CN" w:bidi="ar"/>
              </w:rPr>
              <w:t>用以反映和考核部门履职质量目标的实现程度。</w:t>
            </w:r>
          </w:p>
        </w:tc>
        <w:tc>
          <w:tcPr>
            <w:tcW w:w="5112" w:type="dxa"/>
            <w:tcBorders>
              <w:tl2br w:val="nil"/>
              <w:tr2bl w:val="nil"/>
            </w:tcBorders>
            <w:noWrap w:val="0"/>
            <w:vAlign w:val="center"/>
          </w:tcPr>
          <w:p w14:paraId="396955C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质量达标率</w:t>
            </w:r>
            <w:r>
              <w:rPr>
                <w:rStyle w:val="16"/>
                <w:rFonts w:eastAsia="宋体"/>
                <w:lang w:val="en-US" w:eastAsia="zh-CN" w:bidi="ar"/>
              </w:rPr>
              <w:t>=</w:t>
            </w:r>
            <w:r>
              <w:rPr>
                <w:rStyle w:val="15"/>
                <w:lang w:val="en-US" w:eastAsia="zh-CN" w:bidi="ar"/>
              </w:rPr>
              <w:t>（质量达标实际工作数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。质量达标实际工作数：一定时期（年度或规划期）内部门实际完成工作数中达到部门绩效目标要求（绩效标准值）的工作任务数量。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达标率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5255C39B">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B75F48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0DFCA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5B641141">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535908B">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670A8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w:t>
            </w:r>
            <w:r>
              <w:rPr>
                <w:rStyle w:val="16"/>
                <w:rFonts w:eastAsia="宋体"/>
                <w:lang w:val="en-US" w:eastAsia="zh-CN" w:bidi="ar"/>
              </w:rPr>
              <w:br w:type="textWrapping"/>
            </w:r>
            <w:r>
              <w:rPr>
                <w:rStyle w:val="15"/>
                <w:lang w:val="en-US" w:eastAsia="zh-CN" w:bidi="ar"/>
              </w:rPr>
              <w:t>办结率</w:t>
            </w:r>
          </w:p>
        </w:tc>
        <w:tc>
          <w:tcPr>
            <w:tcW w:w="495" w:type="dxa"/>
            <w:tcBorders>
              <w:tl2br w:val="nil"/>
              <w:tr2bl w:val="nil"/>
            </w:tcBorders>
            <w:noWrap w:val="0"/>
            <w:vAlign w:val="center"/>
          </w:tcPr>
          <w:p w14:paraId="11B566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69B392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7DE8332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重点工作办结率</w:t>
            </w:r>
            <w:r>
              <w:rPr>
                <w:rStyle w:val="16"/>
                <w:rFonts w:eastAsia="宋体"/>
                <w:lang w:val="en-US" w:eastAsia="zh-CN" w:bidi="ar"/>
              </w:rPr>
              <w:t>=</w:t>
            </w:r>
            <w:r>
              <w:rPr>
                <w:rStyle w:val="15"/>
                <w:lang w:val="en-US" w:eastAsia="zh-CN" w:bidi="ar"/>
              </w:rPr>
              <w:t>（重点工作实际完成数</w:t>
            </w:r>
            <w:r>
              <w:rPr>
                <w:rStyle w:val="16"/>
                <w:rFonts w:eastAsia="宋体"/>
                <w:lang w:val="en-US" w:eastAsia="zh-CN" w:bidi="ar"/>
              </w:rPr>
              <w:t>/</w:t>
            </w:r>
            <w:r>
              <w:rPr>
                <w:rStyle w:val="15"/>
                <w:lang w:val="en-US" w:eastAsia="zh-CN" w:bidi="ar"/>
              </w:rPr>
              <w:t>交办或下达数）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重点工作是指党委、政府、人大、相关部门交办或下达的工作任务。</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办结率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00435FDB">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28E72E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51A53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06ECED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效果</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17</w:t>
            </w:r>
            <w:r>
              <w:rPr>
                <w:rStyle w:val="13"/>
                <w:lang w:val="en-US" w:eastAsia="zh-CN" w:bidi="ar"/>
              </w:rPr>
              <w:t>分）</w:t>
            </w:r>
          </w:p>
        </w:tc>
        <w:tc>
          <w:tcPr>
            <w:tcW w:w="870" w:type="dxa"/>
            <w:vMerge w:val="restart"/>
            <w:tcBorders>
              <w:tl2br w:val="nil"/>
              <w:tr2bl w:val="nil"/>
            </w:tcBorders>
            <w:noWrap w:val="0"/>
            <w:vAlign w:val="center"/>
          </w:tcPr>
          <w:p w14:paraId="64F747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履职效益（</w:t>
            </w:r>
            <w:r>
              <w:rPr>
                <w:rStyle w:val="16"/>
                <w:rFonts w:eastAsia="宋体"/>
                <w:lang w:val="en-US" w:eastAsia="zh-CN" w:bidi="ar"/>
              </w:rPr>
              <w:t>17</w:t>
            </w:r>
            <w:r>
              <w:rPr>
                <w:rStyle w:val="15"/>
                <w:lang w:val="en-US" w:eastAsia="zh-CN" w:bidi="ar"/>
              </w:rPr>
              <w:t>分）</w:t>
            </w:r>
          </w:p>
        </w:tc>
        <w:tc>
          <w:tcPr>
            <w:tcW w:w="1050" w:type="dxa"/>
            <w:tcBorders>
              <w:tl2br w:val="nil"/>
              <w:tr2bl w:val="nil"/>
            </w:tcBorders>
            <w:noWrap w:val="0"/>
            <w:vAlign w:val="center"/>
          </w:tcPr>
          <w:p w14:paraId="0EB8D6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经济</w:t>
            </w:r>
            <w:r>
              <w:rPr>
                <w:rStyle w:val="16"/>
                <w:rFonts w:eastAsia="宋体"/>
                <w:lang w:val="en-US" w:eastAsia="zh-CN" w:bidi="ar"/>
              </w:rPr>
              <w:br w:type="textWrapping"/>
            </w:r>
            <w:r>
              <w:rPr>
                <w:rStyle w:val="15"/>
                <w:lang w:val="en-US" w:eastAsia="zh-CN" w:bidi="ar"/>
              </w:rPr>
              <w:t>效益</w:t>
            </w:r>
          </w:p>
        </w:tc>
        <w:tc>
          <w:tcPr>
            <w:tcW w:w="495" w:type="dxa"/>
            <w:vMerge w:val="restart"/>
            <w:tcBorders>
              <w:tl2br w:val="nil"/>
              <w:tr2bl w:val="nil"/>
            </w:tcBorders>
            <w:noWrap w:val="0"/>
            <w:vAlign w:val="center"/>
          </w:tcPr>
          <w:p w14:paraId="08A1D8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7556CC2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2E65E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此三项指标可根据部门实际并结合部门整体支出绩效目标设立情况有选择的进行评价。</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依据评价内容相应计分。</w:t>
            </w:r>
          </w:p>
        </w:tc>
        <w:tc>
          <w:tcPr>
            <w:tcW w:w="2115" w:type="dxa"/>
            <w:tcBorders>
              <w:tl2br w:val="nil"/>
              <w:tr2bl w:val="nil"/>
            </w:tcBorders>
            <w:noWrap w:val="0"/>
            <w:vAlign w:val="center"/>
          </w:tcPr>
          <w:p w14:paraId="7D946C0A">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1CDD5E6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241FB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5FC0EB80">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0FE22B5">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31A34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14:paraId="2A9FDCF7">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04396537">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54356EB6">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65D7D8B3">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BFAD79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2A24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44E72AF2">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3DF557D5">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777170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生态</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14:paraId="255EC8A6">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34B5BEB4">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64301111">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1ADDCB46">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A123C7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3293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22E60D6A">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42DA17A">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2D82A3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社会公众或服务对象满意度</w:t>
            </w:r>
          </w:p>
        </w:tc>
        <w:tc>
          <w:tcPr>
            <w:tcW w:w="495" w:type="dxa"/>
            <w:tcBorders>
              <w:tl2br w:val="nil"/>
              <w:tr2bl w:val="nil"/>
            </w:tcBorders>
            <w:noWrap w:val="0"/>
            <w:vAlign w:val="center"/>
          </w:tcPr>
          <w:p w14:paraId="390F6D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2A0D837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社会公众或部门的服务对象对部门履职效果的满意程度。</w:t>
            </w:r>
          </w:p>
        </w:tc>
        <w:tc>
          <w:tcPr>
            <w:tcW w:w="5112" w:type="dxa"/>
            <w:tcBorders>
              <w:tl2br w:val="nil"/>
              <w:tr2bl w:val="nil"/>
            </w:tcBorders>
            <w:noWrap w:val="0"/>
            <w:vAlign w:val="center"/>
          </w:tcPr>
          <w:p w14:paraId="0EA7F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社会公众或服务对象是指部门履行职责而影响到的部门、群体或个人。一般采取社会调查的方式</w:t>
            </w:r>
            <w:r>
              <w:rPr>
                <w:rStyle w:val="16"/>
                <w:rFonts w:eastAsia="宋体"/>
                <w:lang w:val="en-US" w:eastAsia="zh-CN" w:bidi="ar"/>
              </w:rPr>
              <w:t>(</w:t>
            </w:r>
            <w:r>
              <w:rPr>
                <w:rStyle w:val="15"/>
                <w:lang w:val="en-US" w:eastAsia="zh-CN" w:bidi="ar"/>
              </w:rPr>
              <w:t>不少于</w:t>
            </w:r>
            <w:r>
              <w:rPr>
                <w:rStyle w:val="16"/>
                <w:rFonts w:eastAsia="宋体"/>
                <w:lang w:val="en-US" w:eastAsia="zh-CN" w:bidi="ar"/>
              </w:rPr>
              <w:t>30</w:t>
            </w:r>
            <w:r>
              <w:rPr>
                <w:rStyle w:val="15"/>
                <w:lang w:val="en-US" w:eastAsia="zh-CN" w:bidi="ar"/>
              </w:rPr>
              <w:t>份</w:t>
            </w:r>
            <w:r>
              <w:rPr>
                <w:rStyle w:val="16"/>
                <w:rFonts w:eastAsia="宋体"/>
                <w:lang w:val="en-US" w:eastAsia="zh-CN" w:bidi="ar"/>
              </w:rPr>
              <w:t>)</w:t>
            </w:r>
            <w:r>
              <w:rPr>
                <w:rStyle w:val="15"/>
                <w:lang w:val="en-US" w:eastAsia="zh-CN" w:bidi="ar"/>
              </w:rPr>
              <w:t>。</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满意率</w:t>
            </w:r>
            <w:r>
              <w:rPr>
                <w:rStyle w:val="16"/>
                <w:rFonts w:eastAsia="宋体"/>
                <w:lang w:val="en-US" w:eastAsia="zh-CN" w:bidi="ar"/>
              </w:rPr>
              <w:t>×8</w:t>
            </w:r>
            <w:r>
              <w:rPr>
                <w:rStyle w:val="15"/>
                <w:lang w:val="en-US" w:eastAsia="zh-CN" w:bidi="ar"/>
              </w:rPr>
              <w:t>分。</w:t>
            </w:r>
          </w:p>
        </w:tc>
        <w:tc>
          <w:tcPr>
            <w:tcW w:w="2115" w:type="dxa"/>
            <w:tcBorders>
              <w:tl2br w:val="nil"/>
              <w:tr2bl w:val="nil"/>
            </w:tcBorders>
            <w:noWrap w:val="0"/>
            <w:vAlign w:val="center"/>
          </w:tcPr>
          <w:p w14:paraId="30148BAF">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7EC5D60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0BB89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14:paraId="017CF7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合</w:t>
            </w:r>
            <w:r>
              <w:rPr>
                <w:rStyle w:val="18"/>
                <w:rFonts w:eastAsia="宋体"/>
                <w:lang w:val="en-US" w:eastAsia="zh-CN" w:bidi="ar"/>
              </w:rPr>
              <w:t xml:space="preserve">  </w:t>
            </w:r>
            <w:r>
              <w:rPr>
                <w:rStyle w:val="17"/>
                <w:lang w:val="en-US" w:eastAsia="zh-CN" w:bidi="ar"/>
              </w:rPr>
              <w:t>计</w:t>
            </w:r>
          </w:p>
        </w:tc>
        <w:tc>
          <w:tcPr>
            <w:tcW w:w="0" w:type="auto"/>
            <w:tcBorders>
              <w:tl2br w:val="nil"/>
              <w:tr2bl w:val="nil"/>
            </w:tcBorders>
            <w:noWrap/>
            <w:vAlign w:val="center"/>
          </w:tcPr>
          <w:p w14:paraId="4F6B3B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14:paraId="1012AEA4">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6D35DC85">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1B2D722A">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40CE463A">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97</w:t>
            </w:r>
          </w:p>
        </w:tc>
      </w:tr>
    </w:tbl>
    <w:p w14:paraId="38709683">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14:paraId="28BC4145">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14:paraId="09645555">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53B15C15">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428" w:type="dxa"/>
        <w:jc w:val="center"/>
        <w:tblLayout w:type="fixed"/>
        <w:tblCellMar>
          <w:top w:w="0" w:type="dxa"/>
          <w:left w:w="108" w:type="dxa"/>
          <w:bottom w:w="0" w:type="dxa"/>
          <w:right w:w="108" w:type="dxa"/>
        </w:tblCellMar>
      </w:tblPr>
      <w:tblGrid>
        <w:gridCol w:w="1015"/>
        <w:gridCol w:w="767"/>
        <w:gridCol w:w="1097"/>
        <w:gridCol w:w="2029"/>
        <w:gridCol w:w="1200"/>
        <w:gridCol w:w="1200"/>
        <w:gridCol w:w="538"/>
        <w:gridCol w:w="550"/>
        <w:gridCol w:w="926"/>
        <w:gridCol w:w="106"/>
      </w:tblGrid>
      <w:tr w14:paraId="109E417E">
        <w:tblPrEx>
          <w:tblCellMar>
            <w:top w:w="0" w:type="dxa"/>
            <w:left w:w="108" w:type="dxa"/>
            <w:bottom w:w="0" w:type="dxa"/>
            <w:right w:w="108" w:type="dxa"/>
          </w:tblCellMar>
        </w:tblPrEx>
        <w:trPr>
          <w:gridAfter w:val="1"/>
          <w:wAfter w:w="106" w:type="dxa"/>
          <w:trHeight w:val="393"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14:paraId="7DA643D5">
            <w:pPr>
              <w:widowControl/>
              <w:spacing w:line="0" w:lineRule="atLeast"/>
              <w:jc w:val="center"/>
              <w:rPr>
                <w:rFonts w:eastAsia="仿宋_GB2312"/>
                <w:kern w:val="0"/>
                <w:szCs w:val="21"/>
              </w:rPr>
            </w:pPr>
            <w:r>
              <w:rPr>
                <w:rFonts w:hint="eastAsia" w:eastAsia="仿宋_GB2312"/>
                <w:kern w:val="0"/>
                <w:szCs w:val="21"/>
              </w:rPr>
              <w:t>项目支</w:t>
            </w:r>
          </w:p>
          <w:p w14:paraId="4455B488">
            <w:pPr>
              <w:widowControl/>
              <w:spacing w:line="0" w:lineRule="atLeast"/>
              <w:jc w:val="center"/>
              <w:rPr>
                <w:rFonts w:eastAsia="仿宋_GB2312"/>
                <w:kern w:val="0"/>
                <w:szCs w:val="21"/>
              </w:rPr>
            </w:pPr>
            <w:r>
              <w:rPr>
                <w:rFonts w:hint="eastAsia" w:eastAsia="仿宋_GB2312"/>
                <w:kern w:val="0"/>
                <w:szCs w:val="21"/>
              </w:rPr>
              <w:t>出名称</w:t>
            </w:r>
          </w:p>
        </w:tc>
        <w:tc>
          <w:tcPr>
            <w:tcW w:w="8307" w:type="dxa"/>
            <w:gridSpan w:val="8"/>
            <w:tcBorders>
              <w:top w:val="single" w:color="auto" w:sz="4" w:space="0"/>
              <w:left w:val="nil"/>
              <w:bottom w:val="single" w:color="auto" w:sz="4" w:space="0"/>
              <w:right w:val="single" w:color="000000" w:sz="4" w:space="0"/>
            </w:tcBorders>
            <w:vAlign w:val="center"/>
          </w:tcPr>
          <w:p w14:paraId="72D467B2">
            <w:pPr>
              <w:widowControl/>
              <w:spacing w:line="0" w:lineRule="atLeast"/>
              <w:jc w:val="center"/>
              <w:rPr>
                <w:rFonts w:eastAsia="仿宋_GB2312"/>
                <w:kern w:val="0"/>
                <w:szCs w:val="21"/>
              </w:rPr>
            </w:pPr>
            <w:r>
              <w:rPr>
                <w:rFonts w:hint="eastAsia" w:eastAsia="仿宋_GB2312"/>
                <w:kern w:val="0"/>
                <w:szCs w:val="21"/>
                <w:lang w:val="en-US" w:eastAsia="zh-CN"/>
              </w:rPr>
              <w:t>邵阳县蔡桥乡初级中学部门整体支出</w:t>
            </w:r>
            <w:r>
              <w:rPr>
                <w:rFonts w:hint="eastAsia" w:eastAsia="仿宋_GB2312"/>
                <w:kern w:val="0"/>
                <w:szCs w:val="21"/>
              </w:rPr>
              <w:t>　</w:t>
            </w:r>
          </w:p>
        </w:tc>
      </w:tr>
      <w:tr w14:paraId="30CE1139">
        <w:tblPrEx>
          <w:tblCellMar>
            <w:top w:w="0" w:type="dxa"/>
            <w:left w:w="108" w:type="dxa"/>
            <w:bottom w:w="0" w:type="dxa"/>
            <w:right w:w="108" w:type="dxa"/>
          </w:tblCellMar>
        </w:tblPrEx>
        <w:trPr>
          <w:gridAfter w:val="1"/>
          <w:wAfter w:w="106" w:type="dxa"/>
          <w:trHeight w:val="340" w:hRule="atLeast"/>
          <w:jc w:val="center"/>
        </w:trPr>
        <w:tc>
          <w:tcPr>
            <w:tcW w:w="1015" w:type="dxa"/>
            <w:tcBorders>
              <w:top w:val="nil"/>
              <w:left w:val="single" w:color="auto" w:sz="4" w:space="0"/>
              <w:bottom w:val="single" w:color="auto" w:sz="4" w:space="0"/>
              <w:right w:val="single" w:color="auto" w:sz="4" w:space="0"/>
            </w:tcBorders>
            <w:vAlign w:val="center"/>
          </w:tcPr>
          <w:p w14:paraId="186FAB82">
            <w:pPr>
              <w:widowControl/>
              <w:spacing w:line="0" w:lineRule="atLeast"/>
              <w:jc w:val="left"/>
              <w:rPr>
                <w:rFonts w:eastAsia="仿宋_GB2312"/>
                <w:kern w:val="0"/>
                <w:szCs w:val="21"/>
              </w:rPr>
            </w:pPr>
            <w:r>
              <w:rPr>
                <w:rFonts w:hint="eastAsia" w:eastAsia="仿宋_GB2312"/>
                <w:kern w:val="0"/>
                <w:szCs w:val="21"/>
              </w:rPr>
              <w:t>主管部门</w:t>
            </w:r>
          </w:p>
        </w:tc>
        <w:tc>
          <w:tcPr>
            <w:tcW w:w="5093" w:type="dxa"/>
            <w:gridSpan w:val="4"/>
            <w:tcBorders>
              <w:top w:val="single" w:color="auto" w:sz="4" w:space="0"/>
              <w:left w:val="nil"/>
              <w:bottom w:val="single" w:color="auto" w:sz="4" w:space="0"/>
              <w:right w:val="single" w:color="auto" w:sz="4" w:space="0"/>
            </w:tcBorders>
            <w:vAlign w:val="center"/>
          </w:tcPr>
          <w:p w14:paraId="74FA569B">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邵阳县蔡桥乡初级中学</w:t>
            </w:r>
          </w:p>
        </w:tc>
        <w:tc>
          <w:tcPr>
            <w:tcW w:w="1200" w:type="dxa"/>
            <w:tcBorders>
              <w:top w:val="single" w:color="auto" w:sz="4" w:space="0"/>
              <w:left w:val="nil"/>
              <w:bottom w:val="single" w:color="auto" w:sz="4" w:space="0"/>
              <w:right w:val="single" w:color="000000" w:sz="4" w:space="0"/>
            </w:tcBorders>
            <w:vAlign w:val="center"/>
          </w:tcPr>
          <w:p w14:paraId="508E553B">
            <w:pPr>
              <w:widowControl/>
              <w:spacing w:line="0" w:lineRule="atLeast"/>
              <w:jc w:val="center"/>
              <w:rPr>
                <w:rFonts w:eastAsia="仿宋_GB2312"/>
                <w:kern w:val="0"/>
                <w:szCs w:val="21"/>
              </w:rPr>
            </w:pPr>
            <w:r>
              <w:rPr>
                <w:rFonts w:hint="eastAsia" w:eastAsia="仿宋_GB2312"/>
                <w:kern w:val="0"/>
                <w:szCs w:val="21"/>
              </w:rPr>
              <w:t>实施单位</w:t>
            </w:r>
          </w:p>
        </w:tc>
        <w:tc>
          <w:tcPr>
            <w:tcW w:w="2014" w:type="dxa"/>
            <w:gridSpan w:val="3"/>
            <w:tcBorders>
              <w:top w:val="single" w:color="auto" w:sz="4" w:space="0"/>
              <w:left w:val="nil"/>
              <w:bottom w:val="single" w:color="auto" w:sz="4" w:space="0"/>
              <w:right w:val="single" w:color="auto" w:sz="4" w:space="0"/>
            </w:tcBorders>
            <w:vAlign w:val="center"/>
          </w:tcPr>
          <w:p w14:paraId="08F38C9F">
            <w:pPr>
              <w:widowControl/>
              <w:spacing w:line="0" w:lineRule="atLeast"/>
              <w:jc w:val="left"/>
              <w:rPr>
                <w:rFonts w:eastAsia="仿宋_GB2312"/>
                <w:kern w:val="0"/>
                <w:szCs w:val="21"/>
              </w:rPr>
            </w:pPr>
            <w:r>
              <w:rPr>
                <w:rFonts w:hint="eastAsia" w:eastAsia="仿宋_GB2312"/>
                <w:kern w:val="0"/>
                <w:szCs w:val="21"/>
                <w:lang w:val="en-US" w:eastAsia="zh-CN"/>
              </w:rPr>
              <w:t>邵阳县蔡桥乡初级中学</w:t>
            </w:r>
          </w:p>
        </w:tc>
      </w:tr>
      <w:tr w14:paraId="6FF33A71">
        <w:tblPrEx>
          <w:tblCellMar>
            <w:top w:w="0" w:type="dxa"/>
            <w:left w:w="108" w:type="dxa"/>
            <w:bottom w:w="0" w:type="dxa"/>
            <w:right w:w="108" w:type="dxa"/>
          </w:tblCellMar>
        </w:tblPrEx>
        <w:trPr>
          <w:gridAfter w:val="1"/>
          <w:wAfter w:w="106" w:type="dxa"/>
          <w:trHeight w:val="373" w:hRule="atLeast"/>
          <w:jc w:val="center"/>
        </w:trPr>
        <w:tc>
          <w:tcPr>
            <w:tcW w:w="1015" w:type="dxa"/>
            <w:vMerge w:val="restart"/>
            <w:tcBorders>
              <w:top w:val="nil"/>
              <w:left w:val="single" w:color="auto" w:sz="4" w:space="0"/>
              <w:bottom w:val="single" w:color="000000" w:sz="4" w:space="0"/>
              <w:right w:val="single" w:color="auto" w:sz="4" w:space="0"/>
            </w:tcBorders>
            <w:vAlign w:val="center"/>
          </w:tcPr>
          <w:p w14:paraId="7CB54BC2">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864" w:type="dxa"/>
            <w:gridSpan w:val="2"/>
            <w:tcBorders>
              <w:top w:val="nil"/>
              <w:left w:val="nil"/>
              <w:bottom w:val="single" w:color="auto" w:sz="4" w:space="0"/>
              <w:right w:val="single" w:color="auto" w:sz="4" w:space="0"/>
            </w:tcBorders>
            <w:vAlign w:val="center"/>
          </w:tcPr>
          <w:p w14:paraId="7938A3E5">
            <w:pPr>
              <w:widowControl/>
              <w:spacing w:line="0" w:lineRule="atLeast"/>
              <w:jc w:val="left"/>
              <w:rPr>
                <w:rFonts w:eastAsia="仿宋_GB2312"/>
                <w:kern w:val="0"/>
                <w:szCs w:val="21"/>
              </w:rPr>
            </w:pPr>
            <w:r>
              <w:rPr>
                <w:rFonts w:hint="eastAsia" w:eastAsia="仿宋_GB2312"/>
                <w:kern w:val="0"/>
                <w:szCs w:val="21"/>
              </w:rPr>
              <w:t>　</w:t>
            </w:r>
          </w:p>
        </w:tc>
        <w:tc>
          <w:tcPr>
            <w:tcW w:w="2029" w:type="dxa"/>
            <w:tcBorders>
              <w:top w:val="nil"/>
              <w:left w:val="nil"/>
              <w:bottom w:val="single" w:color="auto" w:sz="4" w:space="0"/>
              <w:right w:val="single" w:color="auto" w:sz="4" w:space="0"/>
            </w:tcBorders>
            <w:vAlign w:val="center"/>
          </w:tcPr>
          <w:p w14:paraId="5B6E65C0">
            <w:pPr>
              <w:widowControl/>
              <w:spacing w:line="0" w:lineRule="atLeast"/>
              <w:jc w:val="left"/>
              <w:rPr>
                <w:rFonts w:eastAsia="仿宋_GB2312"/>
                <w:kern w:val="0"/>
                <w:szCs w:val="21"/>
              </w:rPr>
            </w:pPr>
            <w:r>
              <w:rPr>
                <w:rFonts w:hint="eastAsia" w:eastAsia="仿宋_GB2312"/>
                <w:kern w:val="0"/>
                <w:szCs w:val="21"/>
              </w:rPr>
              <w:t>年初预算数</w:t>
            </w:r>
          </w:p>
        </w:tc>
        <w:tc>
          <w:tcPr>
            <w:tcW w:w="1200" w:type="dxa"/>
            <w:tcBorders>
              <w:top w:val="nil"/>
              <w:left w:val="nil"/>
              <w:bottom w:val="single" w:color="auto" w:sz="4" w:space="0"/>
              <w:right w:val="single" w:color="auto" w:sz="4" w:space="0"/>
            </w:tcBorders>
            <w:vAlign w:val="center"/>
          </w:tcPr>
          <w:p w14:paraId="7841BCF4">
            <w:pPr>
              <w:widowControl/>
              <w:spacing w:line="0" w:lineRule="atLeast"/>
              <w:jc w:val="left"/>
              <w:rPr>
                <w:rFonts w:eastAsia="仿宋_GB2312"/>
                <w:kern w:val="0"/>
                <w:szCs w:val="21"/>
              </w:rPr>
            </w:pPr>
            <w:r>
              <w:rPr>
                <w:rFonts w:hint="eastAsia" w:eastAsia="仿宋_GB2312"/>
                <w:kern w:val="0"/>
                <w:szCs w:val="21"/>
              </w:rPr>
              <w:t>全年预算数</w:t>
            </w:r>
          </w:p>
        </w:tc>
        <w:tc>
          <w:tcPr>
            <w:tcW w:w="1200" w:type="dxa"/>
            <w:tcBorders>
              <w:top w:val="nil"/>
              <w:left w:val="nil"/>
              <w:bottom w:val="single" w:color="auto" w:sz="4" w:space="0"/>
              <w:right w:val="single" w:color="auto" w:sz="4" w:space="0"/>
            </w:tcBorders>
            <w:vAlign w:val="center"/>
          </w:tcPr>
          <w:p w14:paraId="1DA7804C">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8" w:type="dxa"/>
            <w:tcBorders>
              <w:top w:val="nil"/>
              <w:left w:val="nil"/>
              <w:bottom w:val="single" w:color="auto" w:sz="4" w:space="0"/>
              <w:right w:val="single" w:color="auto" w:sz="4" w:space="0"/>
            </w:tcBorders>
            <w:vAlign w:val="center"/>
          </w:tcPr>
          <w:p w14:paraId="75F44093">
            <w:pPr>
              <w:spacing w:line="0" w:lineRule="atLeast"/>
              <w:ind w:leftChars="-54" w:hanging="113" w:hangingChars="54"/>
              <w:jc w:val="center"/>
              <w:rPr>
                <w:rFonts w:eastAsia="仿宋_GB2312"/>
                <w:szCs w:val="21"/>
              </w:rPr>
            </w:pPr>
            <w:r>
              <w:rPr>
                <w:rFonts w:hint="eastAsia" w:eastAsia="仿宋_GB2312"/>
                <w:szCs w:val="21"/>
              </w:rPr>
              <w:t>分值</w:t>
            </w:r>
          </w:p>
        </w:tc>
        <w:tc>
          <w:tcPr>
            <w:tcW w:w="550" w:type="dxa"/>
            <w:tcBorders>
              <w:top w:val="nil"/>
              <w:left w:val="nil"/>
              <w:bottom w:val="single" w:color="auto" w:sz="4" w:space="0"/>
              <w:right w:val="single" w:color="auto" w:sz="4" w:space="0"/>
            </w:tcBorders>
            <w:vAlign w:val="center"/>
          </w:tcPr>
          <w:p w14:paraId="14CC8977">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26" w:type="dxa"/>
            <w:tcBorders>
              <w:top w:val="nil"/>
              <w:left w:val="nil"/>
              <w:bottom w:val="single" w:color="auto" w:sz="4" w:space="0"/>
              <w:right w:val="single" w:color="auto" w:sz="4" w:space="0"/>
            </w:tcBorders>
            <w:vAlign w:val="center"/>
          </w:tcPr>
          <w:p w14:paraId="525B7F67">
            <w:pPr>
              <w:spacing w:line="0" w:lineRule="atLeast"/>
              <w:jc w:val="center"/>
              <w:rPr>
                <w:rFonts w:eastAsia="仿宋_GB2312"/>
                <w:szCs w:val="21"/>
              </w:rPr>
            </w:pPr>
            <w:r>
              <w:rPr>
                <w:rFonts w:hint="eastAsia" w:eastAsia="仿宋_GB2312"/>
                <w:szCs w:val="21"/>
              </w:rPr>
              <w:t>得分</w:t>
            </w:r>
          </w:p>
        </w:tc>
      </w:tr>
      <w:tr w14:paraId="52D9B95E">
        <w:tblPrEx>
          <w:tblCellMar>
            <w:top w:w="0" w:type="dxa"/>
            <w:left w:w="108" w:type="dxa"/>
            <w:bottom w:w="0" w:type="dxa"/>
            <w:right w:w="108" w:type="dxa"/>
          </w:tblCellMar>
        </w:tblPrEx>
        <w:trPr>
          <w:gridAfter w:val="1"/>
          <w:wAfter w:w="106" w:type="dxa"/>
          <w:trHeight w:val="550"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14:paraId="05165CF3">
            <w:pPr>
              <w:widowControl/>
              <w:spacing w:line="0" w:lineRule="atLeast"/>
              <w:jc w:val="left"/>
              <w:rPr>
                <w:rFonts w:eastAsia="仿宋_GB2312"/>
                <w:kern w:val="0"/>
                <w:szCs w:val="21"/>
              </w:rPr>
            </w:pPr>
          </w:p>
        </w:tc>
        <w:tc>
          <w:tcPr>
            <w:tcW w:w="1864" w:type="dxa"/>
            <w:gridSpan w:val="2"/>
            <w:tcBorders>
              <w:top w:val="nil"/>
              <w:left w:val="nil"/>
              <w:bottom w:val="single" w:color="auto" w:sz="4" w:space="0"/>
              <w:right w:val="single" w:color="auto" w:sz="4" w:space="0"/>
            </w:tcBorders>
            <w:vAlign w:val="center"/>
          </w:tcPr>
          <w:p w14:paraId="1C86828D">
            <w:pPr>
              <w:widowControl/>
              <w:spacing w:line="0" w:lineRule="atLeast"/>
              <w:jc w:val="left"/>
              <w:rPr>
                <w:rFonts w:eastAsia="仿宋_GB2312"/>
                <w:kern w:val="0"/>
                <w:szCs w:val="21"/>
              </w:rPr>
            </w:pPr>
            <w:r>
              <w:rPr>
                <w:rFonts w:hint="eastAsia" w:eastAsia="仿宋_GB2312"/>
                <w:kern w:val="0"/>
                <w:szCs w:val="21"/>
              </w:rPr>
              <w:t>年度资金总额　</w:t>
            </w:r>
          </w:p>
        </w:tc>
        <w:tc>
          <w:tcPr>
            <w:tcW w:w="2029" w:type="dxa"/>
            <w:tcBorders>
              <w:top w:val="nil"/>
              <w:left w:val="nil"/>
              <w:bottom w:val="single" w:color="auto" w:sz="4" w:space="0"/>
              <w:right w:val="single" w:color="auto" w:sz="4" w:space="0"/>
            </w:tcBorders>
            <w:vAlign w:val="center"/>
          </w:tcPr>
          <w:p w14:paraId="413F08D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525.44</w:t>
            </w:r>
          </w:p>
        </w:tc>
        <w:tc>
          <w:tcPr>
            <w:tcW w:w="1200" w:type="dxa"/>
            <w:tcBorders>
              <w:top w:val="nil"/>
              <w:left w:val="nil"/>
              <w:bottom w:val="single" w:color="auto" w:sz="4" w:space="0"/>
              <w:right w:val="single" w:color="auto" w:sz="4" w:space="0"/>
            </w:tcBorders>
            <w:vAlign w:val="center"/>
          </w:tcPr>
          <w:p w14:paraId="5B9D933F">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753.638437</w:t>
            </w:r>
          </w:p>
        </w:tc>
        <w:tc>
          <w:tcPr>
            <w:tcW w:w="1200" w:type="dxa"/>
            <w:tcBorders>
              <w:top w:val="nil"/>
              <w:left w:val="nil"/>
              <w:bottom w:val="single" w:color="auto" w:sz="4" w:space="0"/>
              <w:right w:val="single" w:color="auto" w:sz="4" w:space="0"/>
            </w:tcBorders>
            <w:vAlign w:val="center"/>
          </w:tcPr>
          <w:p w14:paraId="63417374">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753.638437</w:t>
            </w:r>
          </w:p>
        </w:tc>
        <w:tc>
          <w:tcPr>
            <w:tcW w:w="538" w:type="dxa"/>
            <w:tcBorders>
              <w:top w:val="nil"/>
              <w:left w:val="nil"/>
              <w:bottom w:val="single" w:color="auto" w:sz="4" w:space="0"/>
              <w:right w:val="single" w:color="auto" w:sz="4" w:space="0"/>
            </w:tcBorders>
            <w:vAlign w:val="center"/>
          </w:tcPr>
          <w:p w14:paraId="6CD6953B">
            <w:pPr>
              <w:widowControl/>
              <w:spacing w:line="0" w:lineRule="atLeast"/>
              <w:jc w:val="left"/>
              <w:rPr>
                <w:rFonts w:eastAsia="仿宋_GB2312"/>
                <w:kern w:val="0"/>
                <w:szCs w:val="21"/>
              </w:rPr>
            </w:pPr>
            <w:r>
              <w:rPr>
                <w:rFonts w:eastAsia="仿宋_GB2312"/>
                <w:kern w:val="0"/>
                <w:szCs w:val="21"/>
              </w:rPr>
              <w:t>10</w:t>
            </w:r>
          </w:p>
        </w:tc>
        <w:tc>
          <w:tcPr>
            <w:tcW w:w="550" w:type="dxa"/>
            <w:tcBorders>
              <w:top w:val="nil"/>
              <w:left w:val="nil"/>
              <w:bottom w:val="single" w:color="auto" w:sz="4" w:space="0"/>
              <w:right w:val="single" w:color="auto" w:sz="4" w:space="0"/>
            </w:tcBorders>
            <w:vAlign w:val="center"/>
          </w:tcPr>
          <w:p w14:paraId="1CDB6E1B">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926" w:type="dxa"/>
            <w:tcBorders>
              <w:top w:val="nil"/>
              <w:left w:val="nil"/>
              <w:bottom w:val="single" w:color="auto" w:sz="4" w:space="0"/>
              <w:right w:val="single" w:color="auto" w:sz="4" w:space="0"/>
            </w:tcBorders>
            <w:vAlign w:val="center"/>
          </w:tcPr>
          <w:p w14:paraId="7F058A00">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0E335CA2">
        <w:tblPrEx>
          <w:tblCellMar>
            <w:top w:w="0" w:type="dxa"/>
            <w:left w:w="108" w:type="dxa"/>
            <w:bottom w:w="0" w:type="dxa"/>
            <w:right w:w="108" w:type="dxa"/>
          </w:tblCellMar>
        </w:tblPrEx>
        <w:trPr>
          <w:gridAfter w:val="1"/>
          <w:wAfter w:w="106" w:type="dxa"/>
          <w:trHeight w:val="340"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14:paraId="34667389">
            <w:pPr>
              <w:widowControl/>
              <w:spacing w:line="0" w:lineRule="atLeast"/>
              <w:jc w:val="left"/>
              <w:rPr>
                <w:rFonts w:eastAsia="仿宋_GB2312"/>
                <w:kern w:val="0"/>
                <w:szCs w:val="21"/>
              </w:rPr>
            </w:pPr>
          </w:p>
        </w:tc>
        <w:tc>
          <w:tcPr>
            <w:tcW w:w="1864" w:type="dxa"/>
            <w:gridSpan w:val="2"/>
            <w:tcBorders>
              <w:top w:val="nil"/>
              <w:left w:val="nil"/>
              <w:bottom w:val="single" w:color="auto" w:sz="4" w:space="0"/>
              <w:right w:val="single" w:color="auto" w:sz="4" w:space="0"/>
            </w:tcBorders>
            <w:vAlign w:val="center"/>
          </w:tcPr>
          <w:p w14:paraId="63993CAF">
            <w:pPr>
              <w:widowControl/>
              <w:spacing w:line="0" w:lineRule="atLeast"/>
              <w:jc w:val="left"/>
              <w:rPr>
                <w:rFonts w:eastAsia="仿宋_GB2312"/>
                <w:kern w:val="0"/>
                <w:szCs w:val="21"/>
              </w:rPr>
            </w:pPr>
            <w:r>
              <w:rPr>
                <w:rFonts w:hint="eastAsia" w:eastAsia="仿宋_GB2312"/>
                <w:kern w:val="0"/>
                <w:szCs w:val="21"/>
              </w:rPr>
              <w:t>其中：当年财政拨款　</w:t>
            </w:r>
          </w:p>
        </w:tc>
        <w:tc>
          <w:tcPr>
            <w:tcW w:w="2029" w:type="dxa"/>
            <w:tcBorders>
              <w:top w:val="nil"/>
              <w:left w:val="nil"/>
              <w:bottom w:val="single" w:color="auto" w:sz="4" w:space="0"/>
              <w:right w:val="single" w:color="auto" w:sz="4" w:space="0"/>
            </w:tcBorders>
            <w:vAlign w:val="center"/>
          </w:tcPr>
          <w:p w14:paraId="7A73FC3E">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525.44</w:t>
            </w:r>
          </w:p>
        </w:tc>
        <w:tc>
          <w:tcPr>
            <w:tcW w:w="1200" w:type="dxa"/>
            <w:tcBorders>
              <w:top w:val="nil"/>
              <w:left w:val="nil"/>
              <w:bottom w:val="single" w:color="auto" w:sz="4" w:space="0"/>
              <w:right w:val="single" w:color="auto" w:sz="4" w:space="0"/>
            </w:tcBorders>
            <w:vAlign w:val="center"/>
          </w:tcPr>
          <w:p w14:paraId="0DB10700">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525.44</w:t>
            </w:r>
          </w:p>
        </w:tc>
        <w:tc>
          <w:tcPr>
            <w:tcW w:w="1200" w:type="dxa"/>
            <w:tcBorders>
              <w:top w:val="nil"/>
              <w:left w:val="nil"/>
              <w:bottom w:val="single" w:color="auto" w:sz="4" w:space="0"/>
              <w:right w:val="single" w:color="auto" w:sz="4" w:space="0"/>
            </w:tcBorders>
            <w:vAlign w:val="center"/>
          </w:tcPr>
          <w:p w14:paraId="32B04D11">
            <w:pPr>
              <w:widowControl/>
              <w:spacing w:line="0" w:lineRule="atLeast"/>
              <w:jc w:val="left"/>
              <w:rPr>
                <w:rFonts w:eastAsia="仿宋_GB2312"/>
                <w:kern w:val="0"/>
                <w:szCs w:val="21"/>
              </w:rPr>
            </w:pPr>
            <w:r>
              <w:rPr>
                <w:rFonts w:hint="eastAsia" w:eastAsia="仿宋_GB2312"/>
                <w:kern w:val="0"/>
                <w:szCs w:val="21"/>
                <w:lang w:val="en-US" w:eastAsia="zh-CN"/>
              </w:rPr>
              <w:t>525.44</w:t>
            </w:r>
          </w:p>
        </w:tc>
        <w:tc>
          <w:tcPr>
            <w:tcW w:w="538" w:type="dxa"/>
            <w:tcBorders>
              <w:top w:val="nil"/>
              <w:left w:val="nil"/>
              <w:bottom w:val="single" w:color="auto" w:sz="4" w:space="0"/>
              <w:right w:val="single" w:color="auto" w:sz="4" w:space="0"/>
            </w:tcBorders>
            <w:vAlign w:val="center"/>
          </w:tcPr>
          <w:p w14:paraId="1E20BF34">
            <w:pPr>
              <w:widowControl/>
              <w:spacing w:line="0" w:lineRule="atLeast"/>
              <w:jc w:val="left"/>
              <w:rPr>
                <w:rFonts w:eastAsia="仿宋_GB2312"/>
                <w:kern w:val="0"/>
                <w:szCs w:val="21"/>
              </w:rPr>
            </w:pPr>
            <w:r>
              <w:rPr>
                <w:rFonts w:hint="eastAsia" w:eastAsia="仿宋_GB2312"/>
                <w:kern w:val="0"/>
                <w:szCs w:val="21"/>
              </w:rPr>
              <w:t>　</w:t>
            </w:r>
          </w:p>
        </w:tc>
        <w:tc>
          <w:tcPr>
            <w:tcW w:w="550" w:type="dxa"/>
            <w:tcBorders>
              <w:top w:val="nil"/>
              <w:left w:val="nil"/>
              <w:bottom w:val="single" w:color="auto" w:sz="4" w:space="0"/>
              <w:right w:val="single" w:color="auto" w:sz="4" w:space="0"/>
            </w:tcBorders>
            <w:vAlign w:val="center"/>
          </w:tcPr>
          <w:p w14:paraId="78BBF8DF">
            <w:pPr>
              <w:widowControl/>
              <w:spacing w:line="0" w:lineRule="atLeast"/>
              <w:jc w:val="center"/>
              <w:rPr>
                <w:rFonts w:eastAsia="仿宋_GB2312"/>
                <w:kern w:val="0"/>
                <w:szCs w:val="21"/>
              </w:rPr>
            </w:pPr>
          </w:p>
        </w:tc>
        <w:tc>
          <w:tcPr>
            <w:tcW w:w="926" w:type="dxa"/>
            <w:tcBorders>
              <w:top w:val="nil"/>
              <w:left w:val="nil"/>
              <w:bottom w:val="single" w:color="auto" w:sz="4" w:space="0"/>
              <w:right w:val="single" w:color="auto" w:sz="4" w:space="0"/>
            </w:tcBorders>
            <w:vAlign w:val="center"/>
          </w:tcPr>
          <w:p w14:paraId="1D963236">
            <w:pPr>
              <w:widowControl/>
              <w:spacing w:line="0" w:lineRule="atLeast"/>
              <w:jc w:val="left"/>
              <w:rPr>
                <w:rFonts w:eastAsia="仿宋_GB2312"/>
                <w:kern w:val="0"/>
                <w:szCs w:val="21"/>
              </w:rPr>
            </w:pPr>
            <w:r>
              <w:rPr>
                <w:rFonts w:hint="eastAsia" w:eastAsia="仿宋_GB2312"/>
                <w:kern w:val="0"/>
                <w:szCs w:val="21"/>
              </w:rPr>
              <w:t>　</w:t>
            </w:r>
          </w:p>
        </w:tc>
      </w:tr>
      <w:tr w14:paraId="2122FCB3">
        <w:tblPrEx>
          <w:tblCellMar>
            <w:top w:w="0" w:type="dxa"/>
            <w:left w:w="108" w:type="dxa"/>
            <w:bottom w:w="0" w:type="dxa"/>
            <w:right w:w="108" w:type="dxa"/>
          </w:tblCellMar>
        </w:tblPrEx>
        <w:trPr>
          <w:gridAfter w:val="1"/>
          <w:wAfter w:w="106" w:type="dxa"/>
          <w:trHeight w:val="340"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14:paraId="422C7FFF">
            <w:pPr>
              <w:widowControl/>
              <w:spacing w:line="0" w:lineRule="atLeast"/>
              <w:jc w:val="left"/>
              <w:rPr>
                <w:rFonts w:eastAsia="仿宋_GB2312"/>
                <w:kern w:val="0"/>
                <w:szCs w:val="21"/>
              </w:rPr>
            </w:pPr>
          </w:p>
        </w:tc>
        <w:tc>
          <w:tcPr>
            <w:tcW w:w="1864" w:type="dxa"/>
            <w:gridSpan w:val="2"/>
            <w:tcBorders>
              <w:top w:val="nil"/>
              <w:left w:val="nil"/>
              <w:bottom w:val="single" w:color="auto" w:sz="4" w:space="0"/>
              <w:right w:val="single" w:color="auto" w:sz="4" w:space="0"/>
            </w:tcBorders>
            <w:vAlign w:val="center"/>
          </w:tcPr>
          <w:p w14:paraId="14721D2B">
            <w:pPr>
              <w:widowControl/>
              <w:spacing w:line="0" w:lineRule="atLeast"/>
              <w:jc w:val="left"/>
              <w:rPr>
                <w:rFonts w:eastAsia="仿宋_GB2312"/>
                <w:kern w:val="0"/>
                <w:szCs w:val="21"/>
              </w:rPr>
            </w:pPr>
            <w:r>
              <w:rPr>
                <w:rFonts w:hint="eastAsia" w:eastAsia="仿宋_GB2312"/>
                <w:kern w:val="0"/>
                <w:szCs w:val="21"/>
              </w:rPr>
              <w:t>上年结转资金　</w:t>
            </w:r>
          </w:p>
        </w:tc>
        <w:tc>
          <w:tcPr>
            <w:tcW w:w="2029" w:type="dxa"/>
            <w:tcBorders>
              <w:top w:val="nil"/>
              <w:left w:val="nil"/>
              <w:bottom w:val="single" w:color="auto" w:sz="4" w:space="0"/>
              <w:right w:val="single" w:color="auto" w:sz="4" w:space="0"/>
            </w:tcBorders>
            <w:vAlign w:val="center"/>
          </w:tcPr>
          <w:p w14:paraId="4021E9CB">
            <w:pPr>
              <w:widowControl/>
              <w:spacing w:line="0" w:lineRule="atLeast"/>
              <w:jc w:val="left"/>
              <w:rPr>
                <w:rFonts w:eastAsia="仿宋_GB2312"/>
                <w:kern w:val="0"/>
                <w:szCs w:val="21"/>
              </w:rPr>
            </w:pPr>
            <w:r>
              <w:rPr>
                <w:rFonts w:hint="eastAsia" w:eastAsia="仿宋_GB2312"/>
                <w:kern w:val="0"/>
                <w:szCs w:val="21"/>
              </w:rPr>
              <w:t>　</w:t>
            </w:r>
          </w:p>
        </w:tc>
        <w:tc>
          <w:tcPr>
            <w:tcW w:w="1200" w:type="dxa"/>
            <w:tcBorders>
              <w:top w:val="nil"/>
              <w:left w:val="nil"/>
              <w:bottom w:val="single" w:color="auto" w:sz="4" w:space="0"/>
              <w:right w:val="single" w:color="auto" w:sz="4" w:space="0"/>
            </w:tcBorders>
            <w:vAlign w:val="center"/>
          </w:tcPr>
          <w:p w14:paraId="75D340BB">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228.198437</w:t>
            </w:r>
          </w:p>
        </w:tc>
        <w:tc>
          <w:tcPr>
            <w:tcW w:w="1200" w:type="dxa"/>
            <w:tcBorders>
              <w:top w:val="nil"/>
              <w:left w:val="nil"/>
              <w:bottom w:val="single" w:color="auto" w:sz="4" w:space="0"/>
              <w:right w:val="single" w:color="auto" w:sz="4" w:space="0"/>
            </w:tcBorders>
            <w:vAlign w:val="center"/>
          </w:tcPr>
          <w:p w14:paraId="3ADF318C">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228.198437</w:t>
            </w:r>
          </w:p>
        </w:tc>
        <w:tc>
          <w:tcPr>
            <w:tcW w:w="538" w:type="dxa"/>
            <w:tcBorders>
              <w:top w:val="nil"/>
              <w:left w:val="nil"/>
              <w:bottom w:val="single" w:color="auto" w:sz="4" w:space="0"/>
              <w:right w:val="single" w:color="auto" w:sz="4" w:space="0"/>
            </w:tcBorders>
            <w:vAlign w:val="center"/>
          </w:tcPr>
          <w:p w14:paraId="79DD2C11">
            <w:pPr>
              <w:widowControl/>
              <w:spacing w:line="0" w:lineRule="atLeast"/>
              <w:jc w:val="left"/>
              <w:rPr>
                <w:rFonts w:eastAsia="仿宋_GB2312"/>
                <w:kern w:val="0"/>
                <w:szCs w:val="21"/>
              </w:rPr>
            </w:pPr>
            <w:r>
              <w:rPr>
                <w:rFonts w:hint="eastAsia" w:eastAsia="仿宋_GB2312"/>
                <w:kern w:val="0"/>
                <w:szCs w:val="21"/>
              </w:rPr>
              <w:t>　</w:t>
            </w:r>
          </w:p>
        </w:tc>
        <w:tc>
          <w:tcPr>
            <w:tcW w:w="550" w:type="dxa"/>
            <w:tcBorders>
              <w:top w:val="nil"/>
              <w:left w:val="nil"/>
              <w:bottom w:val="single" w:color="auto" w:sz="4" w:space="0"/>
              <w:right w:val="single" w:color="auto" w:sz="4" w:space="0"/>
            </w:tcBorders>
            <w:vAlign w:val="center"/>
          </w:tcPr>
          <w:p w14:paraId="694B15DA">
            <w:pPr>
              <w:widowControl/>
              <w:spacing w:line="0" w:lineRule="atLeast"/>
              <w:jc w:val="center"/>
              <w:rPr>
                <w:rFonts w:eastAsia="仿宋_GB2312"/>
                <w:kern w:val="0"/>
                <w:szCs w:val="21"/>
              </w:rPr>
            </w:pPr>
          </w:p>
        </w:tc>
        <w:tc>
          <w:tcPr>
            <w:tcW w:w="926" w:type="dxa"/>
            <w:tcBorders>
              <w:top w:val="nil"/>
              <w:left w:val="nil"/>
              <w:bottom w:val="single" w:color="auto" w:sz="4" w:space="0"/>
              <w:right w:val="single" w:color="auto" w:sz="4" w:space="0"/>
            </w:tcBorders>
            <w:vAlign w:val="center"/>
          </w:tcPr>
          <w:p w14:paraId="6F052CC9">
            <w:pPr>
              <w:widowControl/>
              <w:spacing w:line="0" w:lineRule="atLeast"/>
              <w:jc w:val="left"/>
              <w:rPr>
                <w:rFonts w:eastAsia="仿宋_GB2312"/>
                <w:kern w:val="0"/>
                <w:szCs w:val="21"/>
              </w:rPr>
            </w:pPr>
            <w:r>
              <w:rPr>
                <w:rFonts w:hint="eastAsia" w:eastAsia="仿宋_GB2312"/>
                <w:kern w:val="0"/>
                <w:szCs w:val="21"/>
              </w:rPr>
              <w:t>　</w:t>
            </w:r>
          </w:p>
        </w:tc>
      </w:tr>
      <w:tr w14:paraId="760482B9">
        <w:tblPrEx>
          <w:tblCellMar>
            <w:top w:w="0" w:type="dxa"/>
            <w:left w:w="108" w:type="dxa"/>
            <w:bottom w:w="0" w:type="dxa"/>
            <w:right w:w="108" w:type="dxa"/>
          </w:tblCellMar>
        </w:tblPrEx>
        <w:trPr>
          <w:gridAfter w:val="1"/>
          <w:wAfter w:w="106" w:type="dxa"/>
          <w:trHeight w:val="265"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14:paraId="77D53BD0">
            <w:pPr>
              <w:widowControl/>
              <w:spacing w:line="0" w:lineRule="atLeast"/>
              <w:jc w:val="left"/>
              <w:rPr>
                <w:rFonts w:eastAsia="仿宋_GB2312"/>
                <w:kern w:val="0"/>
                <w:szCs w:val="21"/>
              </w:rPr>
            </w:pPr>
          </w:p>
        </w:tc>
        <w:tc>
          <w:tcPr>
            <w:tcW w:w="1864" w:type="dxa"/>
            <w:gridSpan w:val="2"/>
            <w:tcBorders>
              <w:top w:val="nil"/>
              <w:left w:val="nil"/>
              <w:bottom w:val="single" w:color="auto" w:sz="4" w:space="0"/>
              <w:right w:val="single" w:color="auto" w:sz="4" w:space="0"/>
            </w:tcBorders>
            <w:vAlign w:val="center"/>
          </w:tcPr>
          <w:p w14:paraId="4586452E">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2029" w:type="dxa"/>
            <w:tcBorders>
              <w:top w:val="nil"/>
              <w:left w:val="nil"/>
              <w:bottom w:val="single" w:color="auto" w:sz="4" w:space="0"/>
              <w:right w:val="single" w:color="auto" w:sz="4" w:space="0"/>
            </w:tcBorders>
            <w:vAlign w:val="center"/>
          </w:tcPr>
          <w:p w14:paraId="6BEB7A5E">
            <w:pPr>
              <w:widowControl/>
              <w:spacing w:line="0" w:lineRule="atLeast"/>
              <w:jc w:val="left"/>
              <w:rPr>
                <w:rFonts w:eastAsia="仿宋_GB2312"/>
                <w:kern w:val="0"/>
                <w:szCs w:val="21"/>
              </w:rPr>
            </w:pPr>
            <w:r>
              <w:rPr>
                <w:rFonts w:hint="eastAsia" w:eastAsia="仿宋_GB2312"/>
                <w:kern w:val="0"/>
                <w:szCs w:val="21"/>
              </w:rPr>
              <w:t>　</w:t>
            </w:r>
          </w:p>
        </w:tc>
        <w:tc>
          <w:tcPr>
            <w:tcW w:w="1200" w:type="dxa"/>
            <w:tcBorders>
              <w:top w:val="nil"/>
              <w:left w:val="nil"/>
              <w:bottom w:val="single" w:color="auto" w:sz="4" w:space="0"/>
              <w:right w:val="single" w:color="auto" w:sz="4" w:space="0"/>
            </w:tcBorders>
            <w:vAlign w:val="center"/>
          </w:tcPr>
          <w:p w14:paraId="0FB1341C">
            <w:pPr>
              <w:widowControl/>
              <w:spacing w:line="0" w:lineRule="atLeast"/>
              <w:jc w:val="left"/>
              <w:rPr>
                <w:rFonts w:eastAsia="仿宋_GB2312"/>
                <w:kern w:val="0"/>
                <w:szCs w:val="21"/>
              </w:rPr>
            </w:pPr>
            <w:r>
              <w:rPr>
                <w:rFonts w:hint="eastAsia" w:eastAsia="仿宋_GB2312"/>
                <w:kern w:val="0"/>
                <w:szCs w:val="21"/>
              </w:rPr>
              <w:t>　</w:t>
            </w:r>
          </w:p>
        </w:tc>
        <w:tc>
          <w:tcPr>
            <w:tcW w:w="1200" w:type="dxa"/>
            <w:tcBorders>
              <w:top w:val="nil"/>
              <w:left w:val="nil"/>
              <w:bottom w:val="single" w:color="auto" w:sz="4" w:space="0"/>
              <w:right w:val="single" w:color="auto" w:sz="4" w:space="0"/>
            </w:tcBorders>
            <w:vAlign w:val="center"/>
          </w:tcPr>
          <w:p w14:paraId="7AAFDDCB">
            <w:pPr>
              <w:widowControl/>
              <w:spacing w:line="0" w:lineRule="atLeast"/>
              <w:jc w:val="left"/>
              <w:rPr>
                <w:rFonts w:eastAsia="仿宋_GB2312"/>
                <w:kern w:val="0"/>
                <w:szCs w:val="21"/>
              </w:rPr>
            </w:pPr>
            <w:r>
              <w:rPr>
                <w:rFonts w:hint="eastAsia" w:eastAsia="仿宋_GB2312"/>
                <w:kern w:val="0"/>
                <w:szCs w:val="21"/>
              </w:rPr>
              <w:t>　</w:t>
            </w:r>
          </w:p>
        </w:tc>
        <w:tc>
          <w:tcPr>
            <w:tcW w:w="538" w:type="dxa"/>
            <w:tcBorders>
              <w:top w:val="nil"/>
              <w:left w:val="nil"/>
              <w:bottom w:val="single" w:color="auto" w:sz="4" w:space="0"/>
              <w:right w:val="single" w:color="auto" w:sz="4" w:space="0"/>
            </w:tcBorders>
            <w:vAlign w:val="center"/>
          </w:tcPr>
          <w:p w14:paraId="6105C79B">
            <w:pPr>
              <w:widowControl/>
              <w:spacing w:line="0" w:lineRule="atLeast"/>
              <w:jc w:val="left"/>
              <w:rPr>
                <w:rFonts w:eastAsia="仿宋_GB2312"/>
                <w:kern w:val="0"/>
                <w:szCs w:val="21"/>
              </w:rPr>
            </w:pPr>
            <w:r>
              <w:rPr>
                <w:rFonts w:hint="eastAsia" w:eastAsia="仿宋_GB2312"/>
                <w:kern w:val="0"/>
                <w:szCs w:val="21"/>
              </w:rPr>
              <w:t>　</w:t>
            </w:r>
          </w:p>
        </w:tc>
        <w:tc>
          <w:tcPr>
            <w:tcW w:w="550" w:type="dxa"/>
            <w:tcBorders>
              <w:top w:val="nil"/>
              <w:left w:val="nil"/>
              <w:bottom w:val="single" w:color="auto" w:sz="4" w:space="0"/>
              <w:right w:val="single" w:color="auto" w:sz="4" w:space="0"/>
            </w:tcBorders>
            <w:vAlign w:val="center"/>
          </w:tcPr>
          <w:p w14:paraId="623361BF">
            <w:pPr>
              <w:widowControl/>
              <w:spacing w:line="0" w:lineRule="atLeast"/>
              <w:jc w:val="left"/>
              <w:rPr>
                <w:rFonts w:eastAsia="仿宋_GB2312"/>
                <w:kern w:val="0"/>
                <w:szCs w:val="21"/>
              </w:rPr>
            </w:pPr>
            <w:r>
              <w:rPr>
                <w:rFonts w:hint="eastAsia" w:eastAsia="仿宋_GB2312"/>
                <w:kern w:val="0"/>
                <w:szCs w:val="21"/>
              </w:rPr>
              <w:t>　</w:t>
            </w:r>
          </w:p>
        </w:tc>
        <w:tc>
          <w:tcPr>
            <w:tcW w:w="926" w:type="dxa"/>
            <w:tcBorders>
              <w:top w:val="nil"/>
              <w:left w:val="nil"/>
              <w:bottom w:val="single" w:color="auto" w:sz="4" w:space="0"/>
              <w:right w:val="single" w:color="auto" w:sz="4" w:space="0"/>
            </w:tcBorders>
            <w:vAlign w:val="center"/>
          </w:tcPr>
          <w:p w14:paraId="5CAE5622">
            <w:pPr>
              <w:widowControl/>
              <w:spacing w:line="0" w:lineRule="atLeast"/>
              <w:jc w:val="left"/>
              <w:rPr>
                <w:rFonts w:eastAsia="仿宋_GB2312"/>
                <w:kern w:val="0"/>
                <w:szCs w:val="21"/>
              </w:rPr>
            </w:pPr>
            <w:r>
              <w:rPr>
                <w:rFonts w:hint="eastAsia" w:eastAsia="仿宋_GB2312"/>
                <w:kern w:val="0"/>
                <w:szCs w:val="21"/>
              </w:rPr>
              <w:t>　</w:t>
            </w:r>
          </w:p>
        </w:tc>
      </w:tr>
      <w:tr w14:paraId="79DBBC96">
        <w:tblPrEx>
          <w:tblCellMar>
            <w:top w:w="0" w:type="dxa"/>
            <w:left w:w="108" w:type="dxa"/>
            <w:bottom w:w="0" w:type="dxa"/>
            <w:right w:w="108" w:type="dxa"/>
          </w:tblCellMar>
        </w:tblPrEx>
        <w:trPr>
          <w:gridAfter w:val="1"/>
          <w:wAfter w:w="106" w:type="dxa"/>
          <w:trHeight w:val="340" w:hRule="atLeast"/>
          <w:jc w:val="center"/>
        </w:trPr>
        <w:tc>
          <w:tcPr>
            <w:tcW w:w="1015" w:type="dxa"/>
            <w:vMerge w:val="restart"/>
            <w:tcBorders>
              <w:top w:val="nil"/>
              <w:left w:val="single" w:color="auto" w:sz="4" w:space="0"/>
              <w:bottom w:val="single" w:color="auto" w:sz="4" w:space="0"/>
              <w:right w:val="single" w:color="auto" w:sz="4" w:space="0"/>
            </w:tcBorders>
            <w:vAlign w:val="center"/>
          </w:tcPr>
          <w:p w14:paraId="2F784CE3">
            <w:pPr>
              <w:widowControl/>
              <w:spacing w:line="0" w:lineRule="atLeast"/>
              <w:jc w:val="center"/>
              <w:rPr>
                <w:rFonts w:eastAsia="仿宋_GB2312"/>
                <w:kern w:val="0"/>
                <w:szCs w:val="21"/>
              </w:rPr>
            </w:pPr>
            <w:r>
              <w:rPr>
                <w:rFonts w:hint="eastAsia" w:eastAsia="仿宋_GB2312"/>
                <w:kern w:val="0"/>
                <w:szCs w:val="21"/>
              </w:rPr>
              <w:t>年度总</w:t>
            </w:r>
          </w:p>
          <w:p w14:paraId="3B180FAC">
            <w:pPr>
              <w:widowControl/>
              <w:spacing w:line="0" w:lineRule="atLeast"/>
              <w:jc w:val="center"/>
              <w:rPr>
                <w:rFonts w:eastAsia="仿宋_GB2312"/>
                <w:kern w:val="0"/>
                <w:szCs w:val="21"/>
              </w:rPr>
            </w:pPr>
            <w:r>
              <w:rPr>
                <w:rFonts w:hint="eastAsia" w:eastAsia="仿宋_GB2312"/>
                <w:kern w:val="0"/>
                <w:szCs w:val="21"/>
              </w:rPr>
              <w:t>体目标</w:t>
            </w:r>
          </w:p>
        </w:tc>
        <w:tc>
          <w:tcPr>
            <w:tcW w:w="5093" w:type="dxa"/>
            <w:gridSpan w:val="4"/>
            <w:tcBorders>
              <w:top w:val="single" w:color="auto" w:sz="4" w:space="0"/>
              <w:left w:val="nil"/>
              <w:bottom w:val="single" w:color="auto" w:sz="4" w:space="0"/>
              <w:right w:val="single" w:color="000000" w:sz="4" w:space="0"/>
            </w:tcBorders>
            <w:vAlign w:val="center"/>
          </w:tcPr>
          <w:p w14:paraId="49BBC912">
            <w:pPr>
              <w:widowControl/>
              <w:spacing w:line="0" w:lineRule="atLeast"/>
              <w:jc w:val="center"/>
              <w:rPr>
                <w:rFonts w:eastAsia="仿宋_GB2312"/>
                <w:kern w:val="0"/>
                <w:szCs w:val="21"/>
              </w:rPr>
            </w:pPr>
            <w:r>
              <w:rPr>
                <w:rFonts w:hint="eastAsia" w:eastAsia="仿宋_GB2312"/>
                <w:kern w:val="0"/>
                <w:szCs w:val="21"/>
              </w:rPr>
              <w:t>预期目标</w:t>
            </w:r>
          </w:p>
        </w:tc>
        <w:tc>
          <w:tcPr>
            <w:tcW w:w="3214" w:type="dxa"/>
            <w:gridSpan w:val="4"/>
            <w:tcBorders>
              <w:top w:val="single" w:color="auto" w:sz="4" w:space="0"/>
              <w:left w:val="nil"/>
              <w:bottom w:val="single" w:color="auto" w:sz="4" w:space="0"/>
              <w:right w:val="single" w:color="auto" w:sz="4" w:space="0"/>
            </w:tcBorders>
            <w:vAlign w:val="center"/>
          </w:tcPr>
          <w:p w14:paraId="240E2DF3">
            <w:pPr>
              <w:widowControl/>
              <w:spacing w:line="0" w:lineRule="atLeast"/>
              <w:jc w:val="center"/>
              <w:rPr>
                <w:rFonts w:eastAsia="仿宋_GB2312"/>
                <w:kern w:val="0"/>
                <w:szCs w:val="21"/>
              </w:rPr>
            </w:pPr>
            <w:r>
              <w:rPr>
                <w:rFonts w:hint="eastAsia" w:eastAsia="仿宋_GB2312"/>
                <w:kern w:val="0"/>
                <w:szCs w:val="21"/>
              </w:rPr>
              <w:t>实际完成情况　</w:t>
            </w:r>
          </w:p>
        </w:tc>
      </w:tr>
      <w:tr w14:paraId="650DC22B">
        <w:tblPrEx>
          <w:tblCellMar>
            <w:top w:w="0" w:type="dxa"/>
            <w:left w:w="108" w:type="dxa"/>
            <w:bottom w:w="0" w:type="dxa"/>
            <w:right w:w="108" w:type="dxa"/>
          </w:tblCellMar>
        </w:tblPrEx>
        <w:trPr>
          <w:gridAfter w:val="1"/>
          <w:wAfter w:w="106" w:type="dxa"/>
          <w:trHeight w:val="715" w:hRule="atLeast"/>
          <w:jc w:val="center"/>
        </w:trPr>
        <w:tc>
          <w:tcPr>
            <w:tcW w:w="1015" w:type="dxa"/>
            <w:vMerge w:val="continue"/>
            <w:tcBorders>
              <w:top w:val="nil"/>
              <w:left w:val="single" w:color="auto" w:sz="4" w:space="0"/>
              <w:bottom w:val="single" w:color="auto" w:sz="4" w:space="0"/>
              <w:right w:val="single" w:color="auto" w:sz="4" w:space="0"/>
            </w:tcBorders>
            <w:vAlign w:val="center"/>
          </w:tcPr>
          <w:p w14:paraId="484894B4">
            <w:pPr>
              <w:widowControl/>
              <w:spacing w:line="0" w:lineRule="atLeast"/>
              <w:jc w:val="left"/>
              <w:rPr>
                <w:rFonts w:eastAsia="仿宋_GB2312"/>
                <w:kern w:val="0"/>
                <w:szCs w:val="21"/>
              </w:rPr>
            </w:pPr>
          </w:p>
        </w:tc>
        <w:tc>
          <w:tcPr>
            <w:tcW w:w="5093" w:type="dxa"/>
            <w:gridSpan w:val="4"/>
            <w:tcBorders>
              <w:top w:val="single" w:color="auto" w:sz="4" w:space="0"/>
              <w:left w:val="nil"/>
              <w:bottom w:val="single" w:color="auto" w:sz="4" w:space="0"/>
              <w:right w:val="single" w:color="000000" w:sz="4" w:space="0"/>
            </w:tcBorders>
            <w:vAlign w:val="center"/>
          </w:tcPr>
          <w:p w14:paraId="78F1E8A4">
            <w:pPr>
              <w:widowControl/>
              <w:spacing w:line="0" w:lineRule="atLeast"/>
              <w:jc w:val="left"/>
              <w:rPr>
                <w:rFonts w:eastAsia="仿宋_GB2312"/>
                <w:kern w:val="0"/>
                <w:szCs w:val="21"/>
              </w:rPr>
            </w:pPr>
            <w:r>
              <w:rPr>
                <w:rFonts w:hint="eastAsia" w:eastAsia="仿宋_GB2312"/>
                <w:kern w:val="0"/>
                <w:szCs w:val="21"/>
                <w:lang w:val="en-US" w:eastAsia="zh-CN"/>
              </w:rPr>
              <w:t>确保人员经费的合理分配；合理安排“三公”经费和日常运行办公经费的开支；把教学放在首位，一切为教学服务，提高师生整体素质；按计划完成项目建设，改善学校环境，保障校园安全；社会公众及服务对象满意度达到95%以上。</w:t>
            </w:r>
          </w:p>
        </w:tc>
        <w:tc>
          <w:tcPr>
            <w:tcW w:w="3214" w:type="dxa"/>
            <w:gridSpan w:val="4"/>
            <w:tcBorders>
              <w:top w:val="single" w:color="auto" w:sz="4" w:space="0"/>
              <w:left w:val="nil"/>
              <w:bottom w:val="single" w:color="auto" w:sz="4" w:space="0"/>
              <w:right w:val="single" w:color="auto" w:sz="4" w:space="0"/>
            </w:tcBorders>
            <w:vAlign w:val="center"/>
          </w:tcPr>
          <w:p w14:paraId="1707AE8B">
            <w:pPr>
              <w:widowControl/>
              <w:spacing w:line="0" w:lineRule="atLeast"/>
              <w:jc w:val="both"/>
              <w:rPr>
                <w:rFonts w:eastAsia="仿宋_GB2312"/>
                <w:kern w:val="0"/>
                <w:szCs w:val="21"/>
              </w:rPr>
            </w:pPr>
            <w:r>
              <w:rPr>
                <w:rFonts w:hint="eastAsia" w:eastAsia="仿宋_GB2312"/>
                <w:kern w:val="0"/>
                <w:szCs w:val="21"/>
              </w:rPr>
              <w:t>　　</w:t>
            </w:r>
            <w:r>
              <w:rPr>
                <w:rFonts w:hint="eastAsia" w:eastAsia="仿宋_GB2312"/>
                <w:kern w:val="0"/>
                <w:szCs w:val="21"/>
                <w:lang w:val="en-US" w:eastAsia="zh-CN"/>
              </w:rPr>
              <w:t>人员经费合理分配并发放到位；“三公”经费与日常运行办公经费合理安排，并严格把控；始终把教学放在首位，重视培训与教研活动，师生整体素质得以提高；教学条件持续改善；社会公众及服务对象满意度达98%。</w:t>
            </w:r>
          </w:p>
        </w:tc>
      </w:tr>
      <w:tr w14:paraId="740EE846">
        <w:tblPrEx>
          <w:tblCellMar>
            <w:top w:w="0" w:type="dxa"/>
            <w:left w:w="108" w:type="dxa"/>
            <w:bottom w:w="0" w:type="dxa"/>
            <w:right w:w="108" w:type="dxa"/>
          </w:tblCellMar>
        </w:tblPrEx>
        <w:trPr>
          <w:trHeight w:val="377" w:hRule="atLeast"/>
          <w:jc w:val="center"/>
        </w:trPr>
        <w:tc>
          <w:tcPr>
            <w:tcW w:w="1015" w:type="dxa"/>
            <w:vMerge w:val="restart"/>
            <w:tcBorders>
              <w:top w:val="single" w:color="auto" w:sz="4" w:space="0"/>
              <w:left w:val="single" w:color="auto" w:sz="4" w:space="0"/>
              <w:bottom w:val="single" w:color="auto" w:sz="4" w:space="0"/>
              <w:right w:val="single" w:color="auto" w:sz="4" w:space="0"/>
            </w:tcBorders>
            <w:vAlign w:val="center"/>
          </w:tcPr>
          <w:p w14:paraId="070B3A48">
            <w:pPr>
              <w:widowControl/>
              <w:spacing w:line="0" w:lineRule="atLeast"/>
              <w:jc w:val="center"/>
              <w:rPr>
                <w:rFonts w:eastAsia="仿宋_GB2312"/>
                <w:kern w:val="0"/>
                <w:szCs w:val="21"/>
              </w:rPr>
            </w:pPr>
            <w:r>
              <w:rPr>
                <w:rFonts w:hint="eastAsia" w:eastAsia="仿宋_GB2312"/>
                <w:kern w:val="0"/>
                <w:szCs w:val="21"/>
              </w:rPr>
              <w:t>绩</w:t>
            </w:r>
          </w:p>
          <w:p w14:paraId="772E85D0">
            <w:pPr>
              <w:widowControl/>
              <w:spacing w:line="0" w:lineRule="atLeast"/>
              <w:jc w:val="center"/>
              <w:rPr>
                <w:rFonts w:eastAsia="仿宋_GB2312"/>
                <w:kern w:val="0"/>
                <w:szCs w:val="21"/>
              </w:rPr>
            </w:pPr>
            <w:r>
              <w:rPr>
                <w:rFonts w:hint="eastAsia" w:eastAsia="仿宋_GB2312"/>
                <w:kern w:val="0"/>
                <w:szCs w:val="21"/>
              </w:rPr>
              <w:t>效</w:t>
            </w:r>
          </w:p>
          <w:p w14:paraId="069A0980">
            <w:pPr>
              <w:widowControl/>
              <w:spacing w:line="0" w:lineRule="atLeast"/>
              <w:jc w:val="center"/>
              <w:rPr>
                <w:rFonts w:eastAsia="仿宋_GB2312"/>
                <w:kern w:val="0"/>
                <w:szCs w:val="21"/>
              </w:rPr>
            </w:pPr>
            <w:r>
              <w:rPr>
                <w:rFonts w:hint="eastAsia" w:eastAsia="仿宋_GB2312"/>
                <w:kern w:val="0"/>
                <w:szCs w:val="21"/>
              </w:rPr>
              <w:t>指</w:t>
            </w:r>
          </w:p>
          <w:p w14:paraId="6BF961B0">
            <w:pPr>
              <w:widowControl/>
              <w:spacing w:line="0" w:lineRule="atLeast"/>
              <w:jc w:val="center"/>
              <w:rPr>
                <w:rFonts w:eastAsia="仿宋_GB2312"/>
                <w:kern w:val="0"/>
                <w:szCs w:val="21"/>
              </w:rPr>
            </w:pPr>
            <w:r>
              <w:rPr>
                <w:rFonts w:hint="eastAsia" w:eastAsia="仿宋_GB2312"/>
                <w:kern w:val="0"/>
                <w:szCs w:val="21"/>
              </w:rPr>
              <w:t>标</w:t>
            </w:r>
          </w:p>
        </w:tc>
        <w:tc>
          <w:tcPr>
            <w:tcW w:w="767" w:type="dxa"/>
            <w:tcBorders>
              <w:top w:val="single" w:color="auto" w:sz="4" w:space="0"/>
              <w:left w:val="nil"/>
              <w:bottom w:val="single" w:color="auto" w:sz="4" w:space="0"/>
              <w:right w:val="single" w:color="auto" w:sz="4" w:space="0"/>
            </w:tcBorders>
            <w:vAlign w:val="center"/>
          </w:tcPr>
          <w:p w14:paraId="5D82234C">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97" w:type="dxa"/>
            <w:tcBorders>
              <w:top w:val="single" w:color="auto" w:sz="4" w:space="0"/>
              <w:left w:val="nil"/>
              <w:bottom w:val="single" w:color="auto" w:sz="4" w:space="0"/>
              <w:right w:val="single" w:color="auto" w:sz="4" w:space="0"/>
            </w:tcBorders>
            <w:vAlign w:val="center"/>
          </w:tcPr>
          <w:p w14:paraId="427C95D6">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2029" w:type="dxa"/>
            <w:tcBorders>
              <w:top w:val="single" w:color="auto" w:sz="4" w:space="0"/>
              <w:left w:val="nil"/>
              <w:bottom w:val="single" w:color="auto" w:sz="4" w:space="0"/>
              <w:right w:val="single" w:color="auto" w:sz="4" w:space="0"/>
            </w:tcBorders>
            <w:vAlign w:val="center"/>
          </w:tcPr>
          <w:p w14:paraId="0978D5CB">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00" w:type="dxa"/>
            <w:tcBorders>
              <w:top w:val="single" w:color="auto" w:sz="4" w:space="0"/>
              <w:left w:val="nil"/>
              <w:bottom w:val="single" w:color="auto" w:sz="4" w:space="0"/>
              <w:right w:val="single" w:color="auto" w:sz="4" w:space="0"/>
            </w:tcBorders>
            <w:vAlign w:val="center"/>
          </w:tcPr>
          <w:p w14:paraId="39CC3D28">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200" w:type="dxa"/>
            <w:tcBorders>
              <w:top w:val="single" w:color="auto" w:sz="4" w:space="0"/>
              <w:left w:val="nil"/>
              <w:bottom w:val="single" w:color="auto" w:sz="4" w:space="0"/>
              <w:right w:val="single" w:color="auto" w:sz="4" w:space="0"/>
            </w:tcBorders>
            <w:vAlign w:val="center"/>
          </w:tcPr>
          <w:p w14:paraId="22163670">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8" w:type="dxa"/>
            <w:tcBorders>
              <w:top w:val="single" w:color="auto" w:sz="4" w:space="0"/>
              <w:left w:val="nil"/>
              <w:bottom w:val="single" w:color="auto" w:sz="4" w:space="0"/>
              <w:right w:val="single" w:color="auto" w:sz="4" w:space="0"/>
            </w:tcBorders>
            <w:vAlign w:val="center"/>
          </w:tcPr>
          <w:p w14:paraId="7C303B60">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50" w:type="dxa"/>
            <w:tcBorders>
              <w:top w:val="single" w:color="auto" w:sz="4" w:space="0"/>
              <w:left w:val="nil"/>
              <w:bottom w:val="single" w:color="auto" w:sz="4" w:space="0"/>
              <w:right w:val="single" w:color="auto" w:sz="4" w:space="0"/>
            </w:tcBorders>
            <w:vAlign w:val="center"/>
          </w:tcPr>
          <w:p w14:paraId="08008522">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032" w:type="dxa"/>
            <w:gridSpan w:val="2"/>
            <w:tcBorders>
              <w:top w:val="single" w:color="auto" w:sz="4" w:space="0"/>
              <w:left w:val="nil"/>
              <w:bottom w:val="single" w:color="auto" w:sz="4" w:space="0"/>
              <w:right w:val="single" w:color="auto" w:sz="4" w:space="0"/>
            </w:tcBorders>
            <w:vAlign w:val="center"/>
          </w:tcPr>
          <w:p w14:paraId="5480DE64">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6503313C">
        <w:tblPrEx>
          <w:tblCellMar>
            <w:top w:w="0" w:type="dxa"/>
            <w:left w:w="108" w:type="dxa"/>
            <w:bottom w:w="0" w:type="dxa"/>
            <w:right w:w="108" w:type="dxa"/>
          </w:tblCellMar>
        </w:tblPrEx>
        <w:trPr>
          <w:trHeight w:val="340"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408EF71">
            <w:pPr>
              <w:widowControl/>
              <w:spacing w:line="0" w:lineRule="atLeast"/>
              <w:jc w:val="center"/>
              <w:rPr>
                <w:rFonts w:eastAsia="仿宋_GB2312"/>
                <w:kern w:val="0"/>
                <w:szCs w:val="21"/>
              </w:rPr>
            </w:pPr>
          </w:p>
        </w:tc>
        <w:tc>
          <w:tcPr>
            <w:tcW w:w="767" w:type="dxa"/>
            <w:vMerge w:val="restart"/>
            <w:tcBorders>
              <w:top w:val="single" w:color="auto" w:sz="4" w:space="0"/>
              <w:left w:val="nil"/>
              <w:bottom w:val="single" w:color="auto" w:sz="4" w:space="0"/>
              <w:right w:val="single" w:color="auto" w:sz="4" w:space="0"/>
            </w:tcBorders>
            <w:vAlign w:val="center"/>
          </w:tcPr>
          <w:p w14:paraId="766F3C97">
            <w:pPr>
              <w:widowControl/>
              <w:spacing w:line="0" w:lineRule="atLeast"/>
              <w:jc w:val="center"/>
              <w:rPr>
                <w:rFonts w:eastAsia="仿宋_GB2312"/>
                <w:kern w:val="0"/>
                <w:szCs w:val="21"/>
              </w:rPr>
            </w:pPr>
            <w:r>
              <w:rPr>
                <w:rFonts w:hint="eastAsia" w:eastAsia="仿宋_GB2312"/>
                <w:kern w:val="0"/>
                <w:szCs w:val="21"/>
              </w:rPr>
              <w:t>产出</w:t>
            </w:r>
          </w:p>
          <w:p w14:paraId="3290712B">
            <w:pPr>
              <w:widowControl/>
              <w:spacing w:line="0" w:lineRule="atLeast"/>
              <w:jc w:val="center"/>
              <w:rPr>
                <w:rFonts w:eastAsia="仿宋_GB2312"/>
                <w:kern w:val="0"/>
                <w:szCs w:val="21"/>
              </w:rPr>
            </w:pPr>
            <w:r>
              <w:rPr>
                <w:rFonts w:hint="eastAsia" w:eastAsia="仿宋_GB2312"/>
                <w:kern w:val="0"/>
                <w:szCs w:val="21"/>
              </w:rPr>
              <w:t>指标</w:t>
            </w:r>
          </w:p>
          <w:p w14:paraId="6229E26B">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97" w:type="dxa"/>
            <w:vMerge w:val="restart"/>
            <w:tcBorders>
              <w:top w:val="single" w:color="auto" w:sz="4" w:space="0"/>
              <w:left w:val="nil"/>
              <w:bottom w:val="single" w:color="auto" w:sz="4" w:space="0"/>
              <w:right w:val="single" w:color="auto" w:sz="4" w:space="0"/>
            </w:tcBorders>
            <w:vAlign w:val="center"/>
          </w:tcPr>
          <w:p w14:paraId="2075C853">
            <w:pPr>
              <w:widowControl/>
              <w:spacing w:line="0" w:lineRule="atLeast"/>
              <w:jc w:val="center"/>
              <w:rPr>
                <w:rFonts w:eastAsia="仿宋_GB2312"/>
                <w:kern w:val="0"/>
                <w:szCs w:val="21"/>
              </w:rPr>
            </w:pPr>
            <w:r>
              <w:rPr>
                <w:rFonts w:hint="eastAsia" w:eastAsia="仿宋_GB2312"/>
                <w:kern w:val="0"/>
                <w:szCs w:val="21"/>
              </w:rPr>
              <w:t>数量指标</w:t>
            </w:r>
          </w:p>
        </w:tc>
        <w:tc>
          <w:tcPr>
            <w:tcW w:w="2029" w:type="dxa"/>
            <w:tcBorders>
              <w:top w:val="single" w:color="auto" w:sz="4" w:space="0"/>
              <w:left w:val="nil"/>
              <w:bottom w:val="single" w:color="auto" w:sz="4" w:space="0"/>
              <w:right w:val="single" w:color="auto" w:sz="4" w:space="0"/>
            </w:tcBorders>
            <w:vAlign w:val="center"/>
          </w:tcPr>
          <w:p w14:paraId="0B48C1EE">
            <w:pPr>
              <w:widowControl/>
              <w:spacing w:line="0" w:lineRule="atLeast"/>
              <w:jc w:val="left"/>
              <w:rPr>
                <w:rFonts w:ascii="Calibri" w:hAnsi="Calibri" w:eastAsia="仿宋_GB2312" w:cs="Times New Roman"/>
                <w:kern w:val="0"/>
                <w:sz w:val="20"/>
                <w:szCs w:val="20"/>
                <w:lang w:val="en-US" w:eastAsia="zh-CN" w:bidi="ar-SA"/>
              </w:rPr>
            </w:pPr>
            <w:r>
              <w:rPr>
                <w:rFonts w:hint="eastAsia" w:ascii="仿宋_GB2312" w:eastAsia="仿宋_GB2312"/>
                <w:kern w:val="0"/>
                <w:sz w:val="20"/>
                <w:szCs w:val="20"/>
                <w:lang w:eastAsia="zh-CN"/>
              </w:rPr>
              <w:t>办公，维修，差旅等公用经费支出</w:t>
            </w:r>
          </w:p>
        </w:tc>
        <w:tc>
          <w:tcPr>
            <w:tcW w:w="1200" w:type="dxa"/>
            <w:tcBorders>
              <w:top w:val="single" w:color="auto" w:sz="4" w:space="0"/>
              <w:left w:val="nil"/>
              <w:bottom w:val="single" w:color="auto" w:sz="4" w:space="0"/>
              <w:right w:val="single" w:color="auto" w:sz="4" w:space="0"/>
            </w:tcBorders>
            <w:vAlign w:val="center"/>
          </w:tcPr>
          <w:p w14:paraId="404CE94A">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40</w:t>
            </w:r>
          </w:p>
        </w:tc>
        <w:tc>
          <w:tcPr>
            <w:tcW w:w="1200" w:type="dxa"/>
            <w:tcBorders>
              <w:top w:val="single" w:color="auto" w:sz="4" w:space="0"/>
              <w:left w:val="nil"/>
              <w:bottom w:val="single" w:color="auto" w:sz="4" w:space="0"/>
              <w:right w:val="single" w:color="auto" w:sz="4" w:space="0"/>
            </w:tcBorders>
            <w:vAlign w:val="center"/>
          </w:tcPr>
          <w:p w14:paraId="0BFDC814">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40</w:t>
            </w:r>
          </w:p>
        </w:tc>
        <w:tc>
          <w:tcPr>
            <w:tcW w:w="538" w:type="dxa"/>
            <w:tcBorders>
              <w:top w:val="single" w:color="auto" w:sz="4" w:space="0"/>
              <w:left w:val="nil"/>
              <w:bottom w:val="single" w:color="auto" w:sz="4" w:space="0"/>
              <w:right w:val="single" w:color="auto" w:sz="4" w:space="0"/>
            </w:tcBorders>
            <w:vAlign w:val="center"/>
          </w:tcPr>
          <w:p w14:paraId="1C6A130A">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w:t>
            </w:r>
          </w:p>
        </w:tc>
        <w:tc>
          <w:tcPr>
            <w:tcW w:w="550" w:type="dxa"/>
            <w:tcBorders>
              <w:top w:val="single" w:color="auto" w:sz="4" w:space="0"/>
              <w:left w:val="nil"/>
              <w:bottom w:val="single" w:color="auto" w:sz="4" w:space="0"/>
              <w:right w:val="single" w:color="auto" w:sz="4" w:space="0"/>
            </w:tcBorders>
            <w:vAlign w:val="center"/>
          </w:tcPr>
          <w:p w14:paraId="7E7322FD">
            <w:pPr>
              <w:widowControl/>
              <w:spacing w:line="0" w:lineRule="atLeast"/>
              <w:jc w:val="center"/>
              <w:rPr>
                <w:rFonts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w:t>
            </w:r>
          </w:p>
        </w:tc>
        <w:tc>
          <w:tcPr>
            <w:tcW w:w="1032" w:type="dxa"/>
            <w:gridSpan w:val="2"/>
            <w:tcBorders>
              <w:top w:val="single" w:color="auto" w:sz="4" w:space="0"/>
              <w:left w:val="nil"/>
              <w:bottom w:val="single" w:color="auto" w:sz="4" w:space="0"/>
              <w:right w:val="single" w:color="auto" w:sz="4" w:space="0"/>
            </w:tcBorders>
            <w:vAlign w:val="center"/>
          </w:tcPr>
          <w:p w14:paraId="36DA5D1C">
            <w:pPr>
              <w:widowControl/>
              <w:spacing w:line="0" w:lineRule="atLeast"/>
              <w:jc w:val="center"/>
              <w:rPr>
                <w:rFonts w:eastAsia="仿宋_GB2312"/>
                <w:kern w:val="0"/>
                <w:szCs w:val="21"/>
              </w:rPr>
            </w:pPr>
          </w:p>
        </w:tc>
      </w:tr>
      <w:tr w14:paraId="57F61C3E">
        <w:tblPrEx>
          <w:tblCellMar>
            <w:top w:w="0" w:type="dxa"/>
            <w:left w:w="108" w:type="dxa"/>
            <w:bottom w:w="0" w:type="dxa"/>
            <w:right w:w="108" w:type="dxa"/>
          </w:tblCellMar>
        </w:tblPrEx>
        <w:trPr>
          <w:trHeight w:val="340"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44B4A017">
            <w:pPr>
              <w:widowControl/>
              <w:spacing w:line="0" w:lineRule="atLeast"/>
              <w:jc w:val="center"/>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6E67AB73">
            <w:pPr>
              <w:widowControl/>
              <w:spacing w:line="0" w:lineRule="atLeast"/>
              <w:jc w:val="center"/>
              <w:rPr>
                <w:rFonts w:eastAsia="仿宋_GB2312"/>
                <w:kern w:val="0"/>
                <w:szCs w:val="21"/>
              </w:rPr>
            </w:pPr>
          </w:p>
        </w:tc>
        <w:tc>
          <w:tcPr>
            <w:tcW w:w="1097" w:type="dxa"/>
            <w:vMerge w:val="continue"/>
            <w:tcBorders>
              <w:top w:val="single" w:color="auto" w:sz="4" w:space="0"/>
              <w:left w:val="nil"/>
              <w:bottom w:val="single" w:color="auto" w:sz="4" w:space="0"/>
              <w:right w:val="single" w:color="auto" w:sz="4" w:space="0"/>
            </w:tcBorders>
            <w:vAlign w:val="center"/>
          </w:tcPr>
          <w:p w14:paraId="0E3D5ABC">
            <w:pPr>
              <w:widowControl/>
              <w:spacing w:line="0" w:lineRule="atLeast"/>
              <w:jc w:val="center"/>
              <w:rPr>
                <w:rFonts w:eastAsia="仿宋_GB2312"/>
                <w:kern w:val="0"/>
                <w:szCs w:val="21"/>
              </w:rPr>
            </w:pPr>
          </w:p>
        </w:tc>
        <w:tc>
          <w:tcPr>
            <w:tcW w:w="2029" w:type="dxa"/>
            <w:tcBorders>
              <w:top w:val="single" w:color="auto" w:sz="4" w:space="0"/>
              <w:left w:val="nil"/>
              <w:bottom w:val="single" w:color="auto" w:sz="4" w:space="0"/>
              <w:right w:val="single" w:color="auto" w:sz="4" w:space="0"/>
            </w:tcBorders>
            <w:vAlign w:val="center"/>
          </w:tcPr>
          <w:p w14:paraId="089CE010">
            <w:pPr>
              <w:widowControl/>
              <w:spacing w:line="0" w:lineRule="atLeast"/>
              <w:jc w:val="left"/>
              <w:rPr>
                <w:rFonts w:ascii="Calibri" w:hAnsi="Calibri" w:eastAsia="仿宋_GB2312" w:cs="Times New Roman"/>
                <w:kern w:val="0"/>
                <w:sz w:val="20"/>
                <w:szCs w:val="20"/>
                <w:lang w:val="en-US" w:eastAsia="zh-CN" w:bidi="ar-SA"/>
              </w:rPr>
            </w:pPr>
            <w:r>
              <w:rPr>
                <w:rFonts w:hint="eastAsia" w:ascii="仿宋_GB2312" w:eastAsia="仿宋_GB2312"/>
                <w:kern w:val="0"/>
                <w:sz w:val="20"/>
                <w:szCs w:val="20"/>
                <w:lang w:eastAsia="zh-CN"/>
              </w:rPr>
              <w:t>教师培训次数</w:t>
            </w:r>
          </w:p>
        </w:tc>
        <w:tc>
          <w:tcPr>
            <w:tcW w:w="1200" w:type="dxa"/>
            <w:tcBorders>
              <w:top w:val="single" w:color="auto" w:sz="4" w:space="0"/>
              <w:left w:val="nil"/>
              <w:bottom w:val="single" w:color="auto" w:sz="4" w:space="0"/>
              <w:right w:val="single" w:color="auto" w:sz="4" w:space="0"/>
            </w:tcBorders>
            <w:vAlign w:val="center"/>
          </w:tcPr>
          <w:p w14:paraId="40292F13">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3</w:t>
            </w:r>
          </w:p>
        </w:tc>
        <w:tc>
          <w:tcPr>
            <w:tcW w:w="1200" w:type="dxa"/>
            <w:tcBorders>
              <w:top w:val="single" w:color="auto" w:sz="4" w:space="0"/>
              <w:left w:val="nil"/>
              <w:bottom w:val="single" w:color="auto" w:sz="4" w:space="0"/>
              <w:right w:val="single" w:color="auto" w:sz="4" w:space="0"/>
            </w:tcBorders>
            <w:vAlign w:val="center"/>
          </w:tcPr>
          <w:p w14:paraId="07F1D6F6">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3</w:t>
            </w:r>
          </w:p>
        </w:tc>
        <w:tc>
          <w:tcPr>
            <w:tcW w:w="538" w:type="dxa"/>
            <w:tcBorders>
              <w:top w:val="single" w:color="auto" w:sz="4" w:space="0"/>
              <w:left w:val="nil"/>
              <w:bottom w:val="single" w:color="auto" w:sz="4" w:space="0"/>
              <w:right w:val="single" w:color="auto" w:sz="4" w:space="0"/>
            </w:tcBorders>
            <w:vAlign w:val="center"/>
          </w:tcPr>
          <w:p w14:paraId="18DBA613">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w:t>
            </w:r>
          </w:p>
        </w:tc>
        <w:tc>
          <w:tcPr>
            <w:tcW w:w="550" w:type="dxa"/>
            <w:tcBorders>
              <w:top w:val="single" w:color="auto" w:sz="4" w:space="0"/>
              <w:left w:val="nil"/>
              <w:bottom w:val="single" w:color="auto" w:sz="4" w:space="0"/>
              <w:right w:val="single" w:color="auto" w:sz="4" w:space="0"/>
            </w:tcBorders>
            <w:vAlign w:val="center"/>
          </w:tcPr>
          <w:p w14:paraId="2C334145">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w:t>
            </w:r>
          </w:p>
        </w:tc>
        <w:tc>
          <w:tcPr>
            <w:tcW w:w="1032" w:type="dxa"/>
            <w:gridSpan w:val="2"/>
            <w:tcBorders>
              <w:top w:val="single" w:color="auto" w:sz="4" w:space="0"/>
              <w:left w:val="nil"/>
              <w:bottom w:val="single" w:color="auto" w:sz="4" w:space="0"/>
              <w:right w:val="single" w:color="auto" w:sz="4" w:space="0"/>
            </w:tcBorders>
            <w:vAlign w:val="center"/>
          </w:tcPr>
          <w:p w14:paraId="7C8E23B3">
            <w:pPr>
              <w:widowControl/>
              <w:spacing w:line="0" w:lineRule="atLeast"/>
              <w:jc w:val="center"/>
              <w:rPr>
                <w:rFonts w:eastAsia="仿宋_GB2312"/>
                <w:kern w:val="0"/>
                <w:szCs w:val="21"/>
              </w:rPr>
            </w:pPr>
          </w:p>
        </w:tc>
      </w:tr>
      <w:tr w14:paraId="408EAEEB">
        <w:tblPrEx>
          <w:tblCellMar>
            <w:top w:w="0" w:type="dxa"/>
            <w:left w:w="108" w:type="dxa"/>
            <w:bottom w:w="0" w:type="dxa"/>
            <w:right w:w="108" w:type="dxa"/>
          </w:tblCellMar>
        </w:tblPrEx>
        <w:trPr>
          <w:trHeight w:val="340"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4066E6C2">
            <w:pPr>
              <w:widowControl/>
              <w:spacing w:line="0" w:lineRule="atLeast"/>
              <w:jc w:val="center"/>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13C0F544">
            <w:pPr>
              <w:widowControl/>
              <w:spacing w:line="0" w:lineRule="atLeast"/>
              <w:jc w:val="center"/>
              <w:rPr>
                <w:rFonts w:eastAsia="仿宋_GB2312"/>
                <w:kern w:val="0"/>
                <w:szCs w:val="21"/>
              </w:rPr>
            </w:pPr>
          </w:p>
        </w:tc>
        <w:tc>
          <w:tcPr>
            <w:tcW w:w="1097" w:type="dxa"/>
            <w:vMerge w:val="restart"/>
            <w:tcBorders>
              <w:top w:val="single" w:color="auto" w:sz="4" w:space="0"/>
              <w:left w:val="nil"/>
              <w:bottom w:val="single" w:color="auto" w:sz="4" w:space="0"/>
              <w:right w:val="single" w:color="auto" w:sz="4" w:space="0"/>
            </w:tcBorders>
            <w:vAlign w:val="center"/>
          </w:tcPr>
          <w:p w14:paraId="34EF1D75">
            <w:pPr>
              <w:widowControl/>
              <w:spacing w:line="0" w:lineRule="atLeast"/>
              <w:jc w:val="center"/>
              <w:rPr>
                <w:rFonts w:eastAsia="仿宋_GB2312"/>
                <w:kern w:val="0"/>
                <w:szCs w:val="21"/>
              </w:rPr>
            </w:pPr>
            <w:r>
              <w:rPr>
                <w:rFonts w:hint="eastAsia" w:eastAsia="仿宋_GB2312"/>
                <w:kern w:val="0"/>
                <w:szCs w:val="21"/>
              </w:rPr>
              <w:t>质量指标</w:t>
            </w:r>
          </w:p>
        </w:tc>
        <w:tc>
          <w:tcPr>
            <w:tcW w:w="2029" w:type="dxa"/>
            <w:tcBorders>
              <w:top w:val="single" w:color="auto" w:sz="4" w:space="0"/>
              <w:left w:val="nil"/>
              <w:bottom w:val="single" w:color="auto" w:sz="4" w:space="0"/>
              <w:right w:val="single" w:color="auto" w:sz="4" w:space="0"/>
            </w:tcBorders>
            <w:vAlign w:val="center"/>
          </w:tcPr>
          <w:p w14:paraId="2F63BE06">
            <w:pPr>
              <w:widowControl/>
              <w:spacing w:line="0" w:lineRule="atLeast"/>
              <w:jc w:val="left"/>
              <w:rPr>
                <w:rFonts w:ascii="Calibri" w:hAnsi="Calibri" w:eastAsia="仿宋_GB2312" w:cs="Times New Roman"/>
                <w:kern w:val="0"/>
                <w:sz w:val="20"/>
                <w:szCs w:val="20"/>
                <w:lang w:val="en-US" w:eastAsia="zh-CN" w:bidi="ar-SA"/>
              </w:rPr>
            </w:pPr>
            <w:r>
              <w:rPr>
                <w:rFonts w:hint="eastAsia" w:ascii="仿宋_GB2312" w:eastAsia="仿宋_GB2312"/>
                <w:kern w:val="0"/>
                <w:sz w:val="20"/>
                <w:szCs w:val="20"/>
                <w:lang w:eastAsia="zh-CN"/>
              </w:rPr>
              <w:t>有效使用公用经费占比</w:t>
            </w:r>
          </w:p>
        </w:tc>
        <w:tc>
          <w:tcPr>
            <w:tcW w:w="1200" w:type="dxa"/>
            <w:tcBorders>
              <w:top w:val="single" w:color="auto" w:sz="4" w:space="0"/>
              <w:left w:val="nil"/>
              <w:bottom w:val="single" w:color="auto" w:sz="4" w:space="0"/>
              <w:right w:val="single" w:color="auto" w:sz="4" w:space="0"/>
            </w:tcBorders>
            <w:vAlign w:val="center"/>
          </w:tcPr>
          <w:p w14:paraId="4788B118">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100%</w:t>
            </w:r>
          </w:p>
        </w:tc>
        <w:tc>
          <w:tcPr>
            <w:tcW w:w="1200" w:type="dxa"/>
            <w:tcBorders>
              <w:top w:val="single" w:color="auto" w:sz="4" w:space="0"/>
              <w:left w:val="nil"/>
              <w:bottom w:val="single" w:color="auto" w:sz="4" w:space="0"/>
              <w:right w:val="single" w:color="auto" w:sz="4" w:space="0"/>
            </w:tcBorders>
            <w:vAlign w:val="center"/>
          </w:tcPr>
          <w:p w14:paraId="239A6209">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100%</w:t>
            </w:r>
          </w:p>
        </w:tc>
        <w:tc>
          <w:tcPr>
            <w:tcW w:w="538" w:type="dxa"/>
            <w:tcBorders>
              <w:top w:val="single" w:color="auto" w:sz="4" w:space="0"/>
              <w:left w:val="nil"/>
              <w:bottom w:val="single" w:color="auto" w:sz="4" w:space="0"/>
              <w:right w:val="single" w:color="auto" w:sz="4" w:space="0"/>
            </w:tcBorders>
            <w:vAlign w:val="center"/>
          </w:tcPr>
          <w:p w14:paraId="38FC56D4">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w:t>
            </w:r>
          </w:p>
        </w:tc>
        <w:tc>
          <w:tcPr>
            <w:tcW w:w="550" w:type="dxa"/>
            <w:tcBorders>
              <w:top w:val="single" w:color="auto" w:sz="4" w:space="0"/>
              <w:left w:val="nil"/>
              <w:bottom w:val="single" w:color="auto" w:sz="4" w:space="0"/>
              <w:right w:val="single" w:color="auto" w:sz="4" w:space="0"/>
            </w:tcBorders>
            <w:vAlign w:val="center"/>
          </w:tcPr>
          <w:p w14:paraId="1FFE9A37">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w:t>
            </w:r>
          </w:p>
        </w:tc>
        <w:tc>
          <w:tcPr>
            <w:tcW w:w="1032" w:type="dxa"/>
            <w:gridSpan w:val="2"/>
            <w:tcBorders>
              <w:top w:val="single" w:color="auto" w:sz="4" w:space="0"/>
              <w:left w:val="nil"/>
              <w:bottom w:val="single" w:color="auto" w:sz="4" w:space="0"/>
              <w:right w:val="single" w:color="auto" w:sz="4" w:space="0"/>
            </w:tcBorders>
            <w:vAlign w:val="center"/>
          </w:tcPr>
          <w:p w14:paraId="2D1D77CD">
            <w:pPr>
              <w:widowControl/>
              <w:spacing w:line="0" w:lineRule="atLeast"/>
              <w:jc w:val="center"/>
              <w:rPr>
                <w:rFonts w:eastAsia="仿宋_GB2312"/>
                <w:kern w:val="0"/>
                <w:szCs w:val="21"/>
              </w:rPr>
            </w:pPr>
          </w:p>
        </w:tc>
      </w:tr>
      <w:tr w14:paraId="32A4DA8B">
        <w:tblPrEx>
          <w:tblCellMar>
            <w:top w:w="0" w:type="dxa"/>
            <w:left w:w="108" w:type="dxa"/>
            <w:bottom w:w="0" w:type="dxa"/>
            <w:right w:w="108" w:type="dxa"/>
          </w:tblCellMar>
        </w:tblPrEx>
        <w:trPr>
          <w:trHeight w:val="340"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5A176B9">
            <w:pPr>
              <w:widowControl/>
              <w:spacing w:line="0" w:lineRule="atLeast"/>
              <w:jc w:val="center"/>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2C0712E5">
            <w:pPr>
              <w:widowControl/>
              <w:spacing w:line="0" w:lineRule="atLeast"/>
              <w:jc w:val="center"/>
              <w:rPr>
                <w:rFonts w:eastAsia="仿宋_GB2312"/>
                <w:kern w:val="0"/>
                <w:szCs w:val="21"/>
              </w:rPr>
            </w:pPr>
          </w:p>
        </w:tc>
        <w:tc>
          <w:tcPr>
            <w:tcW w:w="1097" w:type="dxa"/>
            <w:vMerge w:val="continue"/>
            <w:tcBorders>
              <w:top w:val="single" w:color="auto" w:sz="4" w:space="0"/>
              <w:left w:val="nil"/>
              <w:bottom w:val="single" w:color="auto" w:sz="4" w:space="0"/>
              <w:right w:val="single" w:color="auto" w:sz="4" w:space="0"/>
            </w:tcBorders>
            <w:vAlign w:val="center"/>
          </w:tcPr>
          <w:p w14:paraId="45473CFC">
            <w:pPr>
              <w:widowControl/>
              <w:spacing w:line="0" w:lineRule="atLeast"/>
              <w:jc w:val="center"/>
              <w:rPr>
                <w:rFonts w:eastAsia="仿宋_GB2312"/>
                <w:kern w:val="0"/>
                <w:szCs w:val="21"/>
              </w:rPr>
            </w:pPr>
          </w:p>
        </w:tc>
        <w:tc>
          <w:tcPr>
            <w:tcW w:w="2029" w:type="dxa"/>
            <w:tcBorders>
              <w:top w:val="single" w:color="auto" w:sz="4" w:space="0"/>
              <w:left w:val="nil"/>
              <w:bottom w:val="single" w:color="auto" w:sz="4" w:space="0"/>
              <w:right w:val="single" w:color="auto" w:sz="4" w:space="0"/>
            </w:tcBorders>
            <w:vAlign w:val="center"/>
          </w:tcPr>
          <w:p w14:paraId="2AE93E9E">
            <w:pPr>
              <w:widowControl/>
              <w:spacing w:line="0" w:lineRule="atLeast"/>
              <w:jc w:val="left"/>
              <w:rPr>
                <w:rFonts w:ascii="Calibri" w:hAnsi="Calibri" w:eastAsia="仿宋_GB2312" w:cs="Times New Roman"/>
                <w:kern w:val="0"/>
                <w:sz w:val="20"/>
                <w:szCs w:val="20"/>
                <w:lang w:val="en-US" w:eastAsia="zh-CN" w:bidi="ar-SA"/>
              </w:rPr>
            </w:pPr>
            <w:r>
              <w:rPr>
                <w:rFonts w:hint="eastAsia" w:ascii="仿宋_GB2312" w:eastAsia="仿宋_GB2312"/>
                <w:kern w:val="0"/>
                <w:sz w:val="20"/>
                <w:szCs w:val="20"/>
                <w:lang w:eastAsia="zh-CN"/>
              </w:rPr>
              <w:t>教师培训合格率</w:t>
            </w:r>
          </w:p>
        </w:tc>
        <w:tc>
          <w:tcPr>
            <w:tcW w:w="1200" w:type="dxa"/>
            <w:tcBorders>
              <w:top w:val="single" w:color="auto" w:sz="4" w:space="0"/>
              <w:left w:val="nil"/>
              <w:bottom w:val="single" w:color="auto" w:sz="4" w:space="0"/>
              <w:right w:val="single" w:color="auto" w:sz="4" w:space="0"/>
            </w:tcBorders>
            <w:vAlign w:val="center"/>
          </w:tcPr>
          <w:p w14:paraId="641526EB">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100%</w:t>
            </w:r>
          </w:p>
        </w:tc>
        <w:tc>
          <w:tcPr>
            <w:tcW w:w="1200" w:type="dxa"/>
            <w:tcBorders>
              <w:top w:val="single" w:color="auto" w:sz="4" w:space="0"/>
              <w:left w:val="nil"/>
              <w:bottom w:val="single" w:color="auto" w:sz="4" w:space="0"/>
              <w:right w:val="single" w:color="auto" w:sz="4" w:space="0"/>
            </w:tcBorders>
            <w:vAlign w:val="center"/>
          </w:tcPr>
          <w:p w14:paraId="22F8ED77">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100%</w:t>
            </w:r>
          </w:p>
        </w:tc>
        <w:tc>
          <w:tcPr>
            <w:tcW w:w="538" w:type="dxa"/>
            <w:tcBorders>
              <w:top w:val="single" w:color="auto" w:sz="4" w:space="0"/>
              <w:left w:val="nil"/>
              <w:bottom w:val="single" w:color="auto" w:sz="4" w:space="0"/>
              <w:right w:val="single" w:color="auto" w:sz="4" w:space="0"/>
            </w:tcBorders>
            <w:vAlign w:val="center"/>
          </w:tcPr>
          <w:p w14:paraId="51CEB100">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5</w:t>
            </w:r>
          </w:p>
        </w:tc>
        <w:tc>
          <w:tcPr>
            <w:tcW w:w="550" w:type="dxa"/>
            <w:tcBorders>
              <w:top w:val="single" w:color="auto" w:sz="4" w:space="0"/>
              <w:left w:val="nil"/>
              <w:bottom w:val="single" w:color="auto" w:sz="4" w:space="0"/>
              <w:right w:val="single" w:color="auto" w:sz="4" w:space="0"/>
            </w:tcBorders>
            <w:vAlign w:val="center"/>
          </w:tcPr>
          <w:p w14:paraId="622B9EA9">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5</w:t>
            </w:r>
          </w:p>
        </w:tc>
        <w:tc>
          <w:tcPr>
            <w:tcW w:w="1032" w:type="dxa"/>
            <w:gridSpan w:val="2"/>
            <w:tcBorders>
              <w:top w:val="single" w:color="auto" w:sz="4" w:space="0"/>
              <w:left w:val="nil"/>
              <w:bottom w:val="single" w:color="auto" w:sz="4" w:space="0"/>
              <w:right w:val="single" w:color="auto" w:sz="4" w:space="0"/>
            </w:tcBorders>
            <w:vAlign w:val="center"/>
          </w:tcPr>
          <w:p w14:paraId="72176B7C">
            <w:pPr>
              <w:widowControl/>
              <w:spacing w:line="0" w:lineRule="atLeast"/>
              <w:jc w:val="center"/>
              <w:rPr>
                <w:rFonts w:eastAsia="仿宋_GB2312"/>
                <w:kern w:val="0"/>
                <w:szCs w:val="21"/>
              </w:rPr>
            </w:pPr>
          </w:p>
        </w:tc>
      </w:tr>
      <w:tr w14:paraId="03A3FFC9">
        <w:tblPrEx>
          <w:tblCellMar>
            <w:top w:w="0" w:type="dxa"/>
            <w:left w:w="108" w:type="dxa"/>
            <w:bottom w:w="0" w:type="dxa"/>
            <w:right w:w="108" w:type="dxa"/>
          </w:tblCellMar>
        </w:tblPrEx>
        <w:trPr>
          <w:trHeight w:val="340"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7BE0A948">
            <w:pPr>
              <w:widowControl/>
              <w:spacing w:line="0" w:lineRule="atLeast"/>
              <w:jc w:val="center"/>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2EFD6D27">
            <w:pPr>
              <w:widowControl/>
              <w:spacing w:line="0" w:lineRule="atLeast"/>
              <w:jc w:val="center"/>
              <w:rPr>
                <w:rFonts w:eastAsia="仿宋_GB2312"/>
                <w:kern w:val="0"/>
                <w:szCs w:val="21"/>
              </w:rPr>
            </w:pPr>
          </w:p>
        </w:tc>
        <w:tc>
          <w:tcPr>
            <w:tcW w:w="1097" w:type="dxa"/>
            <w:vMerge w:val="restart"/>
            <w:tcBorders>
              <w:top w:val="single" w:color="auto" w:sz="4" w:space="0"/>
              <w:left w:val="nil"/>
              <w:bottom w:val="single" w:color="auto" w:sz="4" w:space="0"/>
              <w:right w:val="single" w:color="auto" w:sz="4" w:space="0"/>
            </w:tcBorders>
            <w:vAlign w:val="center"/>
          </w:tcPr>
          <w:p w14:paraId="6EF33033">
            <w:pPr>
              <w:widowControl/>
              <w:spacing w:line="0" w:lineRule="atLeast"/>
              <w:jc w:val="center"/>
              <w:rPr>
                <w:rFonts w:eastAsia="仿宋_GB2312"/>
                <w:kern w:val="0"/>
                <w:szCs w:val="21"/>
              </w:rPr>
            </w:pPr>
            <w:r>
              <w:rPr>
                <w:rFonts w:hint="eastAsia" w:eastAsia="仿宋_GB2312"/>
                <w:kern w:val="0"/>
                <w:szCs w:val="21"/>
              </w:rPr>
              <w:t>时效指标</w:t>
            </w:r>
          </w:p>
        </w:tc>
        <w:tc>
          <w:tcPr>
            <w:tcW w:w="2029" w:type="dxa"/>
            <w:tcBorders>
              <w:top w:val="single" w:color="auto" w:sz="4" w:space="0"/>
              <w:left w:val="nil"/>
              <w:bottom w:val="single" w:color="auto" w:sz="4" w:space="0"/>
              <w:right w:val="single" w:color="auto" w:sz="4" w:space="0"/>
            </w:tcBorders>
            <w:vAlign w:val="center"/>
          </w:tcPr>
          <w:p w14:paraId="457C5E3F">
            <w:pPr>
              <w:widowControl/>
              <w:spacing w:line="0" w:lineRule="atLeast"/>
              <w:jc w:val="left"/>
              <w:rPr>
                <w:rFonts w:ascii="Calibri" w:hAnsi="Calibri" w:eastAsia="仿宋_GB2312" w:cs="Times New Roman"/>
                <w:kern w:val="0"/>
                <w:sz w:val="20"/>
                <w:szCs w:val="20"/>
                <w:lang w:val="en-US" w:eastAsia="zh-CN" w:bidi="ar-SA"/>
              </w:rPr>
            </w:pPr>
            <w:r>
              <w:rPr>
                <w:rFonts w:hint="eastAsia" w:ascii="仿宋_GB2312" w:eastAsia="仿宋_GB2312"/>
                <w:kern w:val="0"/>
                <w:sz w:val="20"/>
                <w:szCs w:val="20"/>
                <w:lang w:eastAsia="zh-CN"/>
              </w:rPr>
              <w:t>完成及时率</w:t>
            </w:r>
          </w:p>
        </w:tc>
        <w:tc>
          <w:tcPr>
            <w:tcW w:w="1200" w:type="dxa"/>
            <w:tcBorders>
              <w:top w:val="single" w:color="auto" w:sz="4" w:space="0"/>
              <w:left w:val="nil"/>
              <w:bottom w:val="single" w:color="auto" w:sz="4" w:space="0"/>
              <w:right w:val="single" w:color="auto" w:sz="4" w:space="0"/>
            </w:tcBorders>
            <w:vAlign w:val="center"/>
          </w:tcPr>
          <w:p w14:paraId="6070198D">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100%</w:t>
            </w:r>
          </w:p>
        </w:tc>
        <w:tc>
          <w:tcPr>
            <w:tcW w:w="1200" w:type="dxa"/>
            <w:tcBorders>
              <w:top w:val="single" w:color="auto" w:sz="4" w:space="0"/>
              <w:left w:val="nil"/>
              <w:bottom w:val="single" w:color="auto" w:sz="4" w:space="0"/>
              <w:right w:val="single" w:color="auto" w:sz="4" w:space="0"/>
            </w:tcBorders>
            <w:vAlign w:val="center"/>
          </w:tcPr>
          <w:p w14:paraId="37FE4290">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100%</w:t>
            </w:r>
          </w:p>
        </w:tc>
        <w:tc>
          <w:tcPr>
            <w:tcW w:w="538" w:type="dxa"/>
            <w:tcBorders>
              <w:top w:val="single" w:color="auto" w:sz="4" w:space="0"/>
              <w:left w:val="nil"/>
              <w:bottom w:val="single" w:color="auto" w:sz="4" w:space="0"/>
              <w:right w:val="single" w:color="auto" w:sz="4" w:space="0"/>
            </w:tcBorders>
            <w:vAlign w:val="center"/>
          </w:tcPr>
          <w:p w14:paraId="7970DBA7">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5</w:t>
            </w:r>
          </w:p>
        </w:tc>
        <w:tc>
          <w:tcPr>
            <w:tcW w:w="550" w:type="dxa"/>
            <w:tcBorders>
              <w:top w:val="single" w:color="auto" w:sz="4" w:space="0"/>
              <w:left w:val="nil"/>
              <w:bottom w:val="single" w:color="auto" w:sz="4" w:space="0"/>
              <w:right w:val="single" w:color="auto" w:sz="4" w:space="0"/>
            </w:tcBorders>
            <w:vAlign w:val="center"/>
          </w:tcPr>
          <w:p w14:paraId="74A2B348">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5</w:t>
            </w:r>
          </w:p>
        </w:tc>
        <w:tc>
          <w:tcPr>
            <w:tcW w:w="1032" w:type="dxa"/>
            <w:gridSpan w:val="2"/>
            <w:tcBorders>
              <w:top w:val="single" w:color="auto" w:sz="4" w:space="0"/>
              <w:left w:val="nil"/>
              <w:bottom w:val="single" w:color="auto" w:sz="4" w:space="0"/>
              <w:right w:val="single" w:color="auto" w:sz="4" w:space="0"/>
            </w:tcBorders>
            <w:vAlign w:val="center"/>
          </w:tcPr>
          <w:p w14:paraId="19290F59">
            <w:pPr>
              <w:widowControl/>
              <w:spacing w:line="0" w:lineRule="atLeast"/>
              <w:jc w:val="center"/>
              <w:rPr>
                <w:rFonts w:eastAsia="仿宋_GB2312"/>
                <w:kern w:val="0"/>
                <w:szCs w:val="21"/>
              </w:rPr>
            </w:pPr>
          </w:p>
        </w:tc>
      </w:tr>
      <w:tr w14:paraId="20C8515F">
        <w:tblPrEx>
          <w:tblCellMar>
            <w:top w:w="0" w:type="dxa"/>
            <w:left w:w="108" w:type="dxa"/>
            <w:bottom w:w="0" w:type="dxa"/>
            <w:right w:w="108" w:type="dxa"/>
          </w:tblCellMar>
        </w:tblPrEx>
        <w:trPr>
          <w:trHeight w:val="340"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755ED9A">
            <w:pPr>
              <w:widowControl/>
              <w:spacing w:line="0" w:lineRule="atLeast"/>
              <w:jc w:val="center"/>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76B8FE6F">
            <w:pPr>
              <w:widowControl/>
              <w:spacing w:line="0" w:lineRule="atLeast"/>
              <w:jc w:val="center"/>
              <w:rPr>
                <w:rFonts w:eastAsia="仿宋_GB2312"/>
                <w:kern w:val="0"/>
                <w:szCs w:val="21"/>
              </w:rPr>
            </w:pPr>
          </w:p>
        </w:tc>
        <w:tc>
          <w:tcPr>
            <w:tcW w:w="1097" w:type="dxa"/>
            <w:vMerge w:val="continue"/>
            <w:tcBorders>
              <w:top w:val="single" w:color="auto" w:sz="4" w:space="0"/>
              <w:left w:val="nil"/>
              <w:bottom w:val="single" w:color="auto" w:sz="4" w:space="0"/>
              <w:right w:val="single" w:color="auto" w:sz="4" w:space="0"/>
            </w:tcBorders>
            <w:vAlign w:val="center"/>
          </w:tcPr>
          <w:p w14:paraId="4C2D46B1">
            <w:pPr>
              <w:widowControl/>
              <w:spacing w:line="0" w:lineRule="atLeast"/>
              <w:jc w:val="center"/>
              <w:rPr>
                <w:rFonts w:eastAsia="仿宋_GB2312"/>
                <w:kern w:val="0"/>
                <w:szCs w:val="21"/>
              </w:rPr>
            </w:pPr>
          </w:p>
        </w:tc>
        <w:tc>
          <w:tcPr>
            <w:tcW w:w="2029" w:type="dxa"/>
            <w:tcBorders>
              <w:top w:val="single" w:color="auto" w:sz="4" w:space="0"/>
              <w:left w:val="nil"/>
              <w:bottom w:val="single" w:color="auto" w:sz="4" w:space="0"/>
              <w:right w:val="single" w:color="auto" w:sz="4" w:space="0"/>
            </w:tcBorders>
            <w:vAlign w:val="center"/>
          </w:tcPr>
          <w:p w14:paraId="41E26BF1">
            <w:pPr>
              <w:widowControl/>
              <w:spacing w:line="0" w:lineRule="atLeast"/>
              <w:jc w:val="left"/>
              <w:rPr>
                <w:rFonts w:ascii="Calibri" w:hAnsi="Calibri" w:eastAsia="仿宋_GB2312" w:cs="Times New Roman"/>
                <w:kern w:val="0"/>
                <w:sz w:val="20"/>
                <w:szCs w:val="20"/>
                <w:lang w:val="en-US" w:eastAsia="zh-CN" w:bidi="ar-SA"/>
              </w:rPr>
            </w:pPr>
            <w:r>
              <w:rPr>
                <w:rFonts w:hint="eastAsia" w:ascii="仿宋_GB2312" w:eastAsia="仿宋_GB2312"/>
                <w:kern w:val="0"/>
                <w:sz w:val="20"/>
                <w:szCs w:val="20"/>
                <w:lang w:eastAsia="zh-CN"/>
              </w:rPr>
              <w:t>教职工到岗及时率</w:t>
            </w:r>
          </w:p>
        </w:tc>
        <w:tc>
          <w:tcPr>
            <w:tcW w:w="1200" w:type="dxa"/>
            <w:tcBorders>
              <w:top w:val="single" w:color="auto" w:sz="4" w:space="0"/>
              <w:left w:val="nil"/>
              <w:bottom w:val="single" w:color="auto" w:sz="4" w:space="0"/>
              <w:right w:val="single" w:color="auto" w:sz="4" w:space="0"/>
            </w:tcBorders>
            <w:vAlign w:val="center"/>
          </w:tcPr>
          <w:p w14:paraId="552ED5ED">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100%</w:t>
            </w:r>
          </w:p>
        </w:tc>
        <w:tc>
          <w:tcPr>
            <w:tcW w:w="1200" w:type="dxa"/>
            <w:tcBorders>
              <w:top w:val="single" w:color="auto" w:sz="4" w:space="0"/>
              <w:left w:val="nil"/>
              <w:bottom w:val="single" w:color="auto" w:sz="4" w:space="0"/>
              <w:right w:val="single" w:color="auto" w:sz="4" w:space="0"/>
            </w:tcBorders>
            <w:vAlign w:val="center"/>
          </w:tcPr>
          <w:p w14:paraId="11F12FF4">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100%</w:t>
            </w:r>
          </w:p>
        </w:tc>
        <w:tc>
          <w:tcPr>
            <w:tcW w:w="538" w:type="dxa"/>
            <w:tcBorders>
              <w:top w:val="single" w:color="auto" w:sz="4" w:space="0"/>
              <w:left w:val="nil"/>
              <w:bottom w:val="single" w:color="auto" w:sz="4" w:space="0"/>
              <w:right w:val="single" w:color="auto" w:sz="4" w:space="0"/>
            </w:tcBorders>
            <w:vAlign w:val="center"/>
          </w:tcPr>
          <w:p w14:paraId="7D24852D">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5</w:t>
            </w:r>
          </w:p>
        </w:tc>
        <w:tc>
          <w:tcPr>
            <w:tcW w:w="550" w:type="dxa"/>
            <w:tcBorders>
              <w:top w:val="single" w:color="auto" w:sz="4" w:space="0"/>
              <w:left w:val="nil"/>
              <w:bottom w:val="single" w:color="auto" w:sz="4" w:space="0"/>
              <w:right w:val="single" w:color="auto" w:sz="4" w:space="0"/>
            </w:tcBorders>
            <w:vAlign w:val="center"/>
          </w:tcPr>
          <w:p w14:paraId="28EF80A2">
            <w:pPr>
              <w:widowControl/>
              <w:spacing w:line="0" w:lineRule="atLeast"/>
              <w:jc w:val="center"/>
              <w:rPr>
                <w:rFonts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5</w:t>
            </w:r>
          </w:p>
        </w:tc>
        <w:tc>
          <w:tcPr>
            <w:tcW w:w="1032" w:type="dxa"/>
            <w:gridSpan w:val="2"/>
            <w:tcBorders>
              <w:top w:val="single" w:color="auto" w:sz="4" w:space="0"/>
              <w:left w:val="nil"/>
              <w:bottom w:val="single" w:color="auto" w:sz="4" w:space="0"/>
              <w:right w:val="single" w:color="auto" w:sz="4" w:space="0"/>
            </w:tcBorders>
            <w:vAlign w:val="center"/>
          </w:tcPr>
          <w:p w14:paraId="007B5DB0">
            <w:pPr>
              <w:widowControl/>
              <w:spacing w:line="0" w:lineRule="atLeast"/>
              <w:jc w:val="center"/>
              <w:rPr>
                <w:rFonts w:eastAsia="仿宋_GB2312"/>
                <w:kern w:val="0"/>
                <w:szCs w:val="21"/>
              </w:rPr>
            </w:pPr>
          </w:p>
        </w:tc>
      </w:tr>
      <w:tr w14:paraId="3AD092C4">
        <w:tblPrEx>
          <w:tblCellMar>
            <w:top w:w="0" w:type="dxa"/>
            <w:left w:w="108" w:type="dxa"/>
            <w:bottom w:w="0" w:type="dxa"/>
            <w:right w:w="108" w:type="dxa"/>
          </w:tblCellMar>
        </w:tblPrEx>
        <w:trPr>
          <w:trHeight w:val="340"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0D8C77BF">
            <w:pPr>
              <w:widowControl/>
              <w:spacing w:line="0" w:lineRule="atLeast"/>
              <w:jc w:val="center"/>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11181C70">
            <w:pPr>
              <w:widowControl/>
              <w:spacing w:line="0" w:lineRule="atLeast"/>
              <w:jc w:val="center"/>
              <w:rPr>
                <w:rFonts w:eastAsia="仿宋_GB2312"/>
                <w:kern w:val="0"/>
                <w:szCs w:val="21"/>
              </w:rPr>
            </w:pPr>
          </w:p>
        </w:tc>
        <w:tc>
          <w:tcPr>
            <w:tcW w:w="1097" w:type="dxa"/>
            <w:tcBorders>
              <w:top w:val="single" w:color="auto" w:sz="4" w:space="0"/>
              <w:left w:val="nil"/>
              <w:bottom w:val="single" w:color="auto" w:sz="4" w:space="0"/>
              <w:right w:val="single" w:color="auto" w:sz="4" w:space="0"/>
            </w:tcBorders>
            <w:vAlign w:val="center"/>
          </w:tcPr>
          <w:p w14:paraId="1CA5BE9C">
            <w:pPr>
              <w:widowControl/>
              <w:spacing w:line="0" w:lineRule="atLeast"/>
              <w:jc w:val="center"/>
              <w:rPr>
                <w:rFonts w:eastAsia="仿宋_GB2312"/>
                <w:kern w:val="0"/>
                <w:szCs w:val="21"/>
              </w:rPr>
            </w:pPr>
            <w:r>
              <w:rPr>
                <w:rFonts w:hint="eastAsia" w:eastAsia="仿宋_GB2312"/>
                <w:kern w:val="0"/>
                <w:szCs w:val="21"/>
              </w:rPr>
              <w:t>成本指标</w:t>
            </w:r>
          </w:p>
        </w:tc>
        <w:tc>
          <w:tcPr>
            <w:tcW w:w="2029" w:type="dxa"/>
            <w:tcBorders>
              <w:top w:val="single" w:color="auto" w:sz="4" w:space="0"/>
              <w:left w:val="nil"/>
              <w:bottom w:val="single" w:color="auto" w:sz="4" w:space="0"/>
              <w:right w:val="single" w:color="auto" w:sz="4" w:space="0"/>
            </w:tcBorders>
            <w:vAlign w:val="center"/>
          </w:tcPr>
          <w:p w14:paraId="4752DB55">
            <w:pPr>
              <w:widowControl/>
              <w:spacing w:line="0" w:lineRule="atLeast"/>
              <w:jc w:val="left"/>
              <w:rPr>
                <w:rFonts w:eastAsia="仿宋_GB2312"/>
                <w:kern w:val="0"/>
                <w:szCs w:val="21"/>
              </w:rPr>
            </w:pPr>
            <w:r>
              <w:rPr>
                <w:rFonts w:hint="eastAsia" w:ascii="仿宋_GB2312" w:eastAsia="仿宋_GB2312"/>
                <w:kern w:val="0"/>
                <w:sz w:val="20"/>
                <w:szCs w:val="20"/>
                <w:lang w:eastAsia="zh-CN"/>
              </w:rPr>
              <w:t>成本发生规范合格率</w:t>
            </w:r>
          </w:p>
        </w:tc>
        <w:tc>
          <w:tcPr>
            <w:tcW w:w="1200" w:type="dxa"/>
            <w:tcBorders>
              <w:top w:val="single" w:color="auto" w:sz="4" w:space="0"/>
              <w:left w:val="nil"/>
              <w:bottom w:val="single" w:color="auto" w:sz="4" w:space="0"/>
              <w:right w:val="single" w:color="auto" w:sz="4" w:space="0"/>
            </w:tcBorders>
            <w:vAlign w:val="center"/>
          </w:tcPr>
          <w:p w14:paraId="3995D996">
            <w:pPr>
              <w:widowControl/>
              <w:spacing w:line="0" w:lineRule="atLeast"/>
              <w:jc w:val="center"/>
              <w:rPr>
                <w:rFonts w:hint="eastAsia" w:eastAsia="仿宋_GB2312"/>
                <w:kern w:val="0"/>
                <w:sz w:val="20"/>
                <w:szCs w:val="20"/>
              </w:rPr>
            </w:pPr>
            <w:r>
              <w:rPr>
                <w:rFonts w:hint="eastAsia" w:eastAsia="仿宋_GB2312"/>
                <w:kern w:val="0"/>
                <w:sz w:val="20"/>
                <w:szCs w:val="20"/>
                <w:lang w:val="en-US" w:eastAsia="zh-CN"/>
              </w:rPr>
              <w:t>100%</w:t>
            </w:r>
          </w:p>
          <w:p w14:paraId="6EF7AECB">
            <w:pPr>
              <w:widowControl/>
              <w:spacing w:line="0" w:lineRule="atLeast"/>
              <w:jc w:val="center"/>
              <w:rPr>
                <w:rFonts w:eastAsia="仿宋_GB2312"/>
                <w:kern w:val="0"/>
                <w:szCs w:val="21"/>
              </w:rPr>
            </w:pPr>
          </w:p>
        </w:tc>
        <w:tc>
          <w:tcPr>
            <w:tcW w:w="1200" w:type="dxa"/>
            <w:tcBorders>
              <w:top w:val="single" w:color="auto" w:sz="4" w:space="0"/>
              <w:left w:val="nil"/>
              <w:bottom w:val="single" w:color="auto" w:sz="4" w:space="0"/>
              <w:right w:val="single" w:color="auto" w:sz="4" w:space="0"/>
            </w:tcBorders>
            <w:vAlign w:val="center"/>
          </w:tcPr>
          <w:p w14:paraId="7A1BB428">
            <w:pPr>
              <w:widowControl/>
              <w:spacing w:line="0" w:lineRule="atLeast"/>
              <w:jc w:val="center"/>
              <w:rPr>
                <w:rFonts w:hint="eastAsia" w:eastAsia="仿宋_GB2312"/>
                <w:kern w:val="0"/>
                <w:sz w:val="20"/>
                <w:szCs w:val="20"/>
              </w:rPr>
            </w:pPr>
            <w:r>
              <w:rPr>
                <w:rFonts w:hint="eastAsia" w:eastAsia="仿宋_GB2312"/>
                <w:kern w:val="0"/>
                <w:sz w:val="20"/>
                <w:szCs w:val="20"/>
                <w:lang w:val="en-US" w:eastAsia="zh-CN"/>
              </w:rPr>
              <w:t>100%</w:t>
            </w:r>
          </w:p>
          <w:p w14:paraId="7A8D9989">
            <w:pPr>
              <w:widowControl/>
              <w:spacing w:line="0" w:lineRule="atLeast"/>
              <w:jc w:val="center"/>
              <w:rPr>
                <w:rFonts w:eastAsia="仿宋_GB2312"/>
                <w:kern w:val="0"/>
                <w:szCs w:val="21"/>
              </w:rPr>
            </w:pPr>
          </w:p>
        </w:tc>
        <w:tc>
          <w:tcPr>
            <w:tcW w:w="538" w:type="dxa"/>
            <w:tcBorders>
              <w:top w:val="single" w:color="auto" w:sz="4" w:space="0"/>
              <w:left w:val="nil"/>
              <w:bottom w:val="single" w:color="auto" w:sz="4" w:space="0"/>
              <w:right w:val="single" w:color="auto" w:sz="4" w:space="0"/>
            </w:tcBorders>
            <w:vAlign w:val="center"/>
          </w:tcPr>
          <w:p w14:paraId="743AF70E">
            <w:pPr>
              <w:widowControl/>
              <w:spacing w:line="0" w:lineRule="atLeast"/>
              <w:jc w:val="center"/>
              <w:rPr>
                <w:rFonts w:hint="eastAsia" w:eastAsia="仿宋_GB2312"/>
                <w:kern w:val="0"/>
                <w:sz w:val="20"/>
                <w:szCs w:val="20"/>
                <w:lang w:val="en-US" w:eastAsia="zh-CN"/>
              </w:rPr>
            </w:pPr>
            <w:r>
              <w:rPr>
                <w:rFonts w:hint="eastAsia" w:eastAsia="仿宋_GB2312"/>
                <w:kern w:val="0"/>
                <w:sz w:val="20"/>
                <w:szCs w:val="20"/>
                <w:lang w:val="en-US" w:eastAsia="zh-CN"/>
              </w:rPr>
              <w:t>5</w:t>
            </w:r>
          </w:p>
          <w:p w14:paraId="7A36A66A">
            <w:pPr>
              <w:widowControl/>
              <w:spacing w:line="0" w:lineRule="atLeast"/>
              <w:jc w:val="center"/>
              <w:rPr>
                <w:rFonts w:eastAsia="仿宋_GB2312"/>
                <w:kern w:val="0"/>
                <w:szCs w:val="21"/>
              </w:rPr>
            </w:pPr>
          </w:p>
        </w:tc>
        <w:tc>
          <w:tcPr>
            <w:tcW w:w="550" w:type="dxa"/>
            <w:tcBorders>
              <w:top w:val="single" w:color="auto" w:sz="4" w:space="0"/>
              <w:left w:val="nil"/>
              <w:bottom w:val="single" w:color="auto" w:sz="4" w:space="0"/>
              <w:right w:val="single" w:color="auto" w:sz="4" w:space="0"/>
            </w:tcBorders>
            <w:vAlign w:val="center"/>
          </w:tcPr>
          <w:p w14:paraId="57EF5664">
            <w:pPr>
              <w:widowControl/>
              <w:spacing w:line="0" w:lineRule="atLeast"/>
              <w:jc w:val="center"/>
              <w:rPr>
                <w:rFonts w:hint="eastAsia" w:eastAsia="仿宋_GB2312"/>
                <w:kern w:val="0"/>
                <w:sz w:val="20"/>
                <w:szCs w:val="20"/>
                <w:lang w:val="en-US" w:eastAsia="zh-CN"/>
              </w:rPr>
            </w:pPr>
            <w:r>
              <w:rPr>
                <w:rFonts w:hint="eastAsia" w:eastAsia="仿宋_GB2312"/>
                <w:kern w:val="0"/>
                <w:sz w:val="20"/>
                <w:szCs w:val="20"/>
                <w:lang w:val="en-US" w:eastAsia="zh-CN"/>
              </w:rPr>
              <w:t>5</w:t>
            </w:r>
          </w:p>
          <w:p w14:paraId="0327725F">
            <w:pPr>
              <w:widowControl/>
              <w:spacing w:line="0" w:lineRule="atLeast"/>
              <w:jc w:val="center"/>
              <w:rPr>
                <w:rFonts w:eastAsia="仿宋_GB2312"/>
                <w:kern w:val="0"/>
                <w:szCs w:val="21"/>
              </w:rPr>
            </w:pPr>
          </w:p>
        </w:tc>
        <w:tc>
          <w:tcPr>
            <w:tcW w:w="1032" w:type="dxa"/>
            <w:gridSpan w:val="2"/>
            <w:tcBorders>
              <w:top w:val="single" w:color="auto" w:sz="4" w:space="0"/>
              <w:left w:val="nil"/>
              <w:bottom w:val="single" w:color="auto" w:sz="4" w:space="0"/>
              <w:right w:val="single" w:color="auto" w:sz="4" w:space="0"/>
            </w:tcBorders>
            <w:vAlign w:val="center"/>
          </w:tcPr>
          <w:p w14:paraId="5A596E28">
            <w:pPr>
              <w:widowControl/>
              <w:spacing w:line="0" w:lineRule="atLeast"/>
              <w:jc w:val="center"/>
              <w:rPr>
                <w:rFonts w:eastAsia="仿宋_GB2312"/>
                <w:kern w:val="0"/>
                <w:szCs w:val="21"/>
              </w:rPr>
            </w:pPr>
          </w:p>
        </w:tc>
      </w:tr>
      <w:tr w14:paraId="4CADB648">
        <w:tblPrEx>
          <w:tblCellMar>
            <w:top w:w="0" w:type="dxa"/>
            <w:left w:w="108" w:type="dxa"/>
            <w:bottom w:w="0" w:type="dxa"/>
            <w:right w:w="108" w:type="dxa"/>
          </w:tblCellMar>
        </w:tblPrEx>
        <w:trPr>
          <w:trHeight w:val="340"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386AB5E3">
            <w:pPr>
              <w:widowControl/>
              <w:spacing w:line="0" w:lineRule="atLeast"/>
              <w:jc w:val="center"/>
              <w:rPr>
                <w:rFonts w:eastAsia="仿宋_GB2312"/>
                <w:kern w:val="0"/>
                <w:szCs w:val="21"/>
              </w:rPr>
            </w:pPr>
          </w:p>
        </w:tc>
        <w:tc>
          <w:tcPr>
            <w:tcW w:w="767" w:type="dxa"/>
            <w:vMerge w:val="restart"/>
            <w:tcBorders>
              <w:top w:val="single" w:color="auto" w:sz="4" w:space="0"/>
              <w:left w:val="nil"/>
              <w:bottom w:val="single" w:color="auto" w:sz="4" w:space="0"/>
              <w:right w:val="single" w:color="auto" w:sz="4" w:space="0"/>
            </w:tcBorders>
            <w:vAlign w:val="center"/>
          </w:tcPr>
          <w:p w14:paraId="335D7789">
            <w:pPr>
              <w:widowControl/>
              <w:spacing w:line="0" w:lineRule="atLeast"/>
              <w:jc w:val="center"/>
              <w:rPr>
                <w:rFonts w:eastAsia="仿宋_GB2312"/>
                <w:kern w:val="0"/>
                <w:szCs w:val="21"/>
              </w:rPr>
            </w:pPr>
            <w:r>
              <w:rPr>
                <w:rFonts w:hint="eastAsia" w:eastAsia="仿宋_GB2312"/>
                <w:kern w:val="0"/>
                <w:szCs w:val="21"/>
              </w:rPr>
              <w:t>效益</w:t>
            </w:r>
          </w:p>
          <w:p w14:paraId="237B0E20">
            <w:pPr>
              <w:widowControl/>
              <w:spacing w:line="0" w:lineRule="atLeast"/>
              <w:jc w:val="center"/>
              <w:rPr>
                <w:rFonts w:eastAsia="仿宋_GB2312"/>
                <w:kern w:val="0"/>
                <w:szCs w:val="21"/>
              </w:rPr>
            </w:pPr>
            <w:r>
              <w:rPr>
                <w:rFonts w:hint="eastAsia" w:eastAsia="仿宋_GB2312"/>
                <w:kern w:val="0"/>
                <w:szCs w:val="21"/>
              </w:rPr>
              <w:t>指标</w:t>
            </w:r>
          </w:p>
          <w:p w14:paraId="3BF5D75D">
            <w:pPr>
              <w:widowControl/>
              <w:spacing w:line="0" w:lineRule="atLeast"/>
              <w:jc w:val="center"/>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w:t>
            </w:r>
          </w:p>
        </w:tc>
        <w:tc>
          <w:tcPr>
            <w:tcW w:w="1097" w:type="dxa"/>
            <w:tcBorders>
              <w:top w:val="single" w:color="auto" w:sz="4" w:space="0"/>
              <w:left w:val="nil"/>
              <w:bottom w:val="single" w:color="auto" w:sz="4" w:space="0"/>
              <w:right w:val="single" w:color="auto" w:sz="4" w:space="0"/>
            </w:tcBorders>
            <w:vAlign w:val="center"/>
          </w:tcPr>
          <w:p w14:paraId="04D34E17">
            <w:pPr>
              <w:widowControl/>
              <w:spacing w:line="0" w:lineRule="atLeast"/>
              <w:jc w:val="center"/>
              <w:rPr>
                <w:rFonts w:eastAsia="仿宋_GB2312"/>
                <w:kern w:val="0"/>
                <w:szCs w:val="21"/>
              </w:rPr>
            </w:pPr>
            <w:r>
              <w:rPr>
                <w:rFonts w:hint="eastAsia" w:eastAsia="仿宋_GB2312"/>
                <w:kern w:val="0"/>
                <w:szCs w:val="21"/>
              </w:rPr>
              <w:t>社会效</w:t>
            </w:r>
          </w:p>
          <w:p w14:paraId="48E906F0">
            <w:pPr>
              <w:widowControl/>
              <w:spacing w:line="0" w:lineRule="atLeast"/>
              <w:jc w:val="center"/>
              <w:rPr>
                <w:rFonts w:eastAsia="仿宋_GB2312"/>
                <w:kern w:val="0"/>
                <w:szCs w:val="21"/>
              </w:rPr>
            </w:pPr>
            <w:r>
              <w:rPr>
                <w:rFonts w:hint="eastAsia" w:eastAsia="仿宋_GB2312"/>
                <w:kern w:val="0"/>
                <w:szCs w:val="21"/>
              </w:rPr>
              <w:t>益指标</w:t>
            </w:r>
          </w:p>
        </w:tc>
        <w:tc>
          <w:tcPr>
            <w:tcW w:w="2029" w:type="dxa"/>
            <w:tcBorders>
              <w:top w:val="single" w:color="auto" w:sz="4" w:space="0"/>
              <w:left w:val="nil"/>
              <w:bottom w:val="single" w:color="auto" w:sz="4" w:space="0"/>
              <w:right w:val="single" w:color="auto" w:sz="4" w:space="0"/>
            </w:tcBorders>
            <w:vAlign w:val="center"/>
          </w:tcPr>
          <w:p w14:paraId="77ADFBC5">
            <w:pPr>
              <w:widowControl/>
              <w:spacing w:line="0" w:lineRule="atLeast"/>
              <w:jc w:val="left"/>
              <w:rPr>
                <w:rFonts w:hint="eastAsia" w:ascii="Calibri" w:hAnsi="Calibri" w:eastAsia="仿宋_GB2312" w:cs="Times New Roman"/>
                <w:kern w:val="0"/>
                <w:sz w:val="20"/>
                <w:szCs w:val="20"/>
                <w:lang w:val="en-US" w:eastAsia="zh-CN" w:bidi="ar-SA"/>
              </w:rPr>
            </w:pPr>
            <w:r>
              <w:rPr>
                <w:rFonts w:hint="eastAsia" w:eastAsia="仿宋_GB2312"/>
                <w:kern w:val="0"/>
                <w:sz w:val="20"/>
                <w:szCs w:val="20"/>
                <w:lang w:eastAsia="zh-CN"/>
              </w:rPr>
              <w:t>合格率</w:t>
            </w:r>
          </w:p>
        </w:tc>
        <w:tc>
          <w:tcPr>
            <w:tcW w:w="1200" w:type="dxa"/>
            <w:tcBorders>
              <w:top w:val="single" w:color="auto" w:sz="4" w:space="0"/>
              <w:left w:val="nil"/>
              <w:bottom w:val="single" w:color="auto" w:sz="4" w:space="0"/>
              <w:right w:val="single" w:color="auto" w:sz="4" w:space="0"/>
            </w:tcBorders>
            <w:vAlign w:val="center"/>
          </w:tcPr>
          <w:p w14:paraId="0D9CBA5E">
            <w:pPr>
              <w:widowControl/>
              <w:spacing w:line="0" w:lineRule="atLeast"/>
              <w:jc w:val="center"/>
              <w:rPr>
                <w:rFonts w:hint="eastAsia" w:eastAsia="仿宋_GB2312"/>
                <w:kern w:val="0"/>
                <w:sz w:val="20"/>
                <w:szCs w:val="20"/>
              </w:rPr>
            </w:pPr>
            <w:r>
              <w:rPr>
                <w:rFonts w:hint="eastAsia" w:eastAsia="仿宋_GB2312"/>
                <w:kern w:val="0"/>
                <w:sz w:val="20"/>
                <w:szCs w:val="20"/>
                <w:lang w:val="en-US" w:eastAsia="zh-CN"/>
              </w:rPr>
              <w:t>100%</w:t>
            </w:r>
          </w:p>
          <w:p w14:paraId="3C0FD1AE">
            <w:pPr>
              <w:widowControl/>
              <w:spacing w:line="0" w:lineRule="atLeast"/>
              <w:jc w:val="center"/>
              <w:rPr>
                <w:rFonts w:ascii="Calibri" w:hAnsi="Calibri" w:eastAsia="仿宋_GB2312" w:cs="Times New Roman"/>
                <w:kern w:val="0"/>
                <w:sz w:val="20"/>
                <w:szCs w:val="20"/>
                <w:lang w:val="en-US" w:eastAsia="zh-CN" w:bidi="ar-SA"/>
              </w:rPr>
            </w:pPr>
          </w:p>
        </w:tc>
        <w:tc>
          <w:tcPr>
            <w:tcW w:w="1200" w:type="dxa"/>
            <w:tcBorders>
              <w:top w:val="single" w:color="auto" w:sz="4" w:space="0"/>
              <w:left w:val="nil"/>
              <w:bottom w:val="single" w:color="auto" w:sz="4" w:space="0"/>
              <w:right w:val="single" w:color="auto" w:sz="4" w:space="0"/>
            </w:tcBorders>
            <w:vAlign w:val="center"/>
          </w:tcPr>
          <w:p w14:paraId="3600664A">
            <w:pPr>
              <w:widowControl/>
              <w:spacing w:line="0" w:lineRule="atLeast"/>
              <w:jc w:val="center"/>
              <w:rPr>
                <w:rFonts w:hint="eastAsia" w:eastAsia="仿宋_GB2312"/>
                <w:kern w:val="0"/>
                <w:sz w:val="20"/>
                <w:szCs w:val="20"/>
              </w:rPr>
            </w:pPr>
            <w:r>
              <w:rPr>
                <w:rFonts w:hint="eastAsia" w:eastAsia="仿宋_GB2312"/>
                <w:kern w:val="0"/>
                <w:sz w:val="20"/>
                <w:szCs w:val="20"/>
                <w:lang w:val="en-US" w:eastAsia="zh-CN"/>
              </w:rPr>
              <w:t>100%</w:t>
            </w:r>
          </w:p>
          <w:p w14:paraId="12599274">
            <w:pPr>
              <w:widowControl/>
              <w:spacing w:line="0" w:lineRule="atLeast"/>
              <w:jc w:val="center"/>
              <w:rPr>
                <w:rFonts w:ascii="Calibri" w:hAnsi="Calibri" w:eastAsia="仿宋_GB2312" w:cs="Times New Roman"/>
                <w:kern w:val="0"/>
                <w:sz w:val="20"/>
                <w:szCs w:val="20"/>
                <w:lang w:val="en-US" w:eastAsia="zh-CN" w:bidi="ar-SA"/>
              </w:rPr>
            </w:pPr>
          </w:p>
        </w:tc>
        <w:tc>
          <w:tcPr>
            <w:tcW w:w="538" w:type="dxa"/>
            <w:tcBorders>
              <w:top w:val="single" w:color="auto" w:sz="4" w:space="0"/>
              <w:left w:val="nil"/>
              <w:bottom w:val="single" w:color="auto" w:sz="4" w:space="0"/>
              <w:right w:val="single" w:color="auto" w:sz="4" w:space="0"/>
            </w:tcBorders>
            <w:vAlign w:val="center"/>
          </w:tcPr>
          <w:p w14:paraId="5BF866CD">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15</w:t>
            </w:r>
          </w:p>
        </w:tc>
        <w:tc>
          <w:tcPr>
            <w:tcW w:w="550" w:type="dxa"/>
            <w:tcBorders>
              <w:top w:val="single" w:color="auto" w:sz="4" w:space="0"/>
              <w:left w:val="nil"/>
              <w:bottom w:val="single" w:color="auto" w:sz="4" w:space="0"/>
              <w:right w:val="single" w:color="auto" w:sz="4" w:space="0"/>
            </w:tcBorders>
            <w:vAlign w:val="center"/>
          </w:tcPr>
          <w:p w14:paraId="65282D92">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15</w:t>
            </w:r>
          </w:p>
        </w:tc>
        <w:tc>
          <w:tcPr>
            <w:tcW w:w="1032" w:type="dxa"/>
            <w:gridSpan w:val="2"/>
            <w:tcBorders>
              <w:top w:val="single" w:color="auto" w:sz="4" w:space="0"/>
              <w:left w:val="nil"/>
              <w:bottom w:val="single" w:color="auto" w:sz="4" w:space="0"/>
              <w:right w:val="single" w:color="auto" w:sz="4" w:space="0"/>
            </w:tcBorders>
            <w:vAlign w:val="center"/>
          </w:tcPr>
          <w:p w14:paraId="0EECA4FB">
            <w:pPr>
              <w:widowControl/>
              <w:spacing w:line="0" w:lineRule="atLeast"/>
              <w:jc w:val="center"/>
              <w:rPr>
                <w:rFonts w:eastAsia="仿宋_GB2312"/>
                <w:kern w:val="0"/>
                <w:szCs w:val="21"/>
              </w:rPr>
            </w:pPr>
          </w:p>
        </w:tc>
      </w:tr>
      <w:tr w14:paraId="0404BBD9">
        <w:tblPrEx>
          <w:tblCellMar>
            <w:top w:w="0" w:type="dxa"/>
            <w:left w:w="108" w:type="dxa"/>
            <w:bottom w:w="0" w:type="dxa"/>
            <w:right w:w="108" w:type="dxa"/>
          </w:tblCellMar>
        </w:tblPrEx>
        <w:trPr>
          <w:trHeight w:val="632"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3543A1A">
            <w:pPr>
              <w:widowControl/>
              <w:spacing w:line="0" w:lineRule="atLeast"/>
              <w:jc w:val="center"/>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4E693DE6">
            <w:pPr>
              <w:widowControl/>
              <w:spacing w:line="0" w:lineRule="atLeast"/>
              <w:jc w:val="center"/>
              <w:rPr>
                <w:rFonts w:eastAsia="仿宋_GB2312"/>
                <w:kern w:val="0"/>
                <w:szCs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0D93AC2D">
            <w:pPr>
              <w:widowControl/>
              <w:spacing w:line="0" w:lineRule="atLeast"/>
              <w:jc w:val="center"/>
              <w:rPr>
                <w:rFonts w:eastAsia="仿宋_GB2312"/>
                <w:kern w:val="0"/>
                <w:szCs w:val="21"/>
              </w:rPr>
            </w:pPr>
            <w:r>
              <w:rPr>
                <w:rFonts w:hint="eastAsia" w:eastAsia="仿宋_GB2312"/>
                <w:kern w:val="0"/>
                <w:szCs w:val="21"/>
              </w:rPr>
              <w:t>可持续影响指标</w:t>
            </w:r>
          </w:p>
        </w:tc>
        <w:tc>
          <w:tcPr>
            <w:tcW w:w="2029" w:type="dxa"/>
            <w:tcBorders>
              <w:top w:val="nil"/>
              <w:left w:val="nil"/>
              <w:bottom w:val="single" w:color="auto" w:sz="4" w:space="0"/>
              <w:right w:val="single" w:color="auto" w:sz="4" w:space="0"/>
            </w:tcBorders>
            <w:vAlign w:val="center"/>
          </w:tcPr>
          <w:p w14:paraId="0B500179">
            <w:pPr>
              <w:widowControl/>
              <w:spacing w:line="0" w:lineRule="atLeast"/>
              <w:jc w:val="left"/>
              <w:rPr>
                <w:rFonts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办学水平</w:t>
            </w:r>
          </w:p>
        </w:tc>
        <w:tc>
          <w:tcPr>
            <w:tcW w:w="1200" w:type="dxa"/>
            <w:tcBorders>
              <w:top w:val="nil"/>
              <w:left w:val="nil"/>
              <w:bottom w:val="single" w:color="auto" w:sz="4" w:space="0"/>
              <w:right w:val="single" w:color="auto" w:sz="4" w:space="0"/>
            </w:tcBorders>
            <w:vAlign w:val="center"/>
          </w:tcPr>
          <w:p w14:paraId="2AD1B5EC">
            <w:pPr>
              <w:widowControl/>
              <w:spacing w:line="0" w:lineRule="atLeast"/>
              <w:jc w:val="center"/>
              <w:rPr>
                <w:rFonts w:ascii="Calibri" w:hAnsi="Calibri" w:eastAsia="仿宋_GB2312" w:cs="Times New Roman"/>
                <w:kern w:val="0"/>
                <w:sz w:val="20"/>
                <w:szCs w:val="20"/>
                <w:lang w:val="en-US" w:eastAsia="zh-CN" w:bidi="ar-SA"/>
              </w:rPr>
            </w:pPr>
            <w:r>
              <w:rPr>
                <w:rFonts w:hint="eastAsia" w:eastAsia="仿宋_GB2312"/>
                <w:kern w:val="0"/>
                <w:sz w:val="20"/>
                <w:szCs w:val="20"/>
                <w:lang w:eastAsia="zh-CN"/>
              </w:rPr>
              <w:t>持续改善</w:t>
            </w:r>
          </w:p>
        </w:tc>
        <w:tc>
          <w:tcPr>
            <w:tcW w:w="1200" w:type="dxa"/>
            <w:tcBorders>
              <w:top w:val="nil"/>
              <w:left w:val="nil"/>
              <w:bottom w:val="single" w:color="auto" w:sz="4" w:space="0"/>
              <w:right w:val="single" w:color="auto" w:sz="4" w:space="0"/>
            </w:tcBorders>
            <w:vAlign w:val="center"/>
          </w:tcPr>
          <w:p w14:paraId="46D738DF">
            <w:pPr>
              <w:widowControl/>
              <w:spacing w:line="0" w:lineRule="atLeast"/>
              <w:jc w:val="center"/>
              <w:rPr>
                <w:rFonts w:ascii="Calibri" w:hAnsi="Calibri" w:eastAsia="仿宋_GB2312" w:cs="Times New Roman"/>
                <w:kern w:val="0"/>
                <w:sz w:val="20"/>
                <w:szCs w:val="20"/>
                <w:lang w:val="en-US" w:eastAsia="zh-CN" w:bidi="ar-SA"/>
              </w:rPr>
            </w:pPr>
            <w:r>
              <w:rPr>
                <w:rFonts w:hint="eastAsia" w:eastAsia="仿宋_GB2312"/>
                <w:kern w:val="0"/>
                <w:sz w:val="20"/>
                <w:szCs w:val="20"/>
                <w:lang w:eastAsia="zh-CN"/>
              </w:rPr>
              <w:t>持续改善</w:t>
            </w:r>
          </w:p>
        </w:tc>
        <w:tc>
          <w:tcPr>
            <w:tcW w:w="538" w:type="dxa"/>
            <w:tcBorders>
              <w:top w:val="nil"/>
              <w:left w:val="nil"/>
              <w:bottom w:val="single" w:color="auto" w:sz="4" w:space="0"/>
              <w:right w:val="single" w:color="auto" w:sz="4" w:space="0"/>
            </w:tcBorders>
            <w:vAlign w:val="center"/>
          </w:tcPr>
          <w:p w14:paraId="744F9EB4">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15</w:t>
            </w:r>
          </w:p>
        </w:tc>
        <w:tc>
          <w:tcPr>
            <w:tcW w:w="550" w:type="dxa"/>
            <w:tcBorders>
              <w:top w:val="nil"/>
              <w:left w:val="nil"/>
              <w:bottom w:val="single" w:color="auto" w:sz="4" w:space="0"/>
              <w:right w:val="single" w:color="auto" w:sz="4" w:space="0"/>
            </w:tcBorders>
            <w:vAlign w:val="center"/>
          </w:tcPr>
          <w:p w14:paraId="4914F5D1">
            <w:pPr>
              <w:widowControl/>
              <w:spacing w:line="0" w:lineRule="atLeast"/>
              <w:jc w:val="center"/>
              <w:rPr>
                <w:rFonts w:hint="eastAsia" w:eastAsia="仿宋_GB2312"/>
                <w:kern w:val="0"/>
                <w:sz w:val="20"/>
                <w:szCs w:val="20"/>
                <w:lang w:val="en-US" w:eastAsia="zh-CN"/>
              </w:rPr>
            </w:pPr>
          </w:p>
          <w:p w14:paraId="20FEFC82">
            <w:pPr>
              <w:widowControl/>
              <w:spacing w:line="0" w:lineRule="atLeast"/>
              <w:jc w:val="center"/>
              <w:rPr>
                <w:rFonts w:hint="eastAsia" w:eastAsia="仿宋_GB2312"/>
                <w:kern w:val="0"/>
                <w:sz w:val="20"/>
                <w:szCs w:val="20"/>
                <w:lang w:val="en-US" w:eastAsia="zh-CN"/>
              </w:rPr>
            </w:pPr>
            <w:r>
              <w:rPr>
                <w:rFonts w:hint="eastAsia" w:eastAsia="仿宋_GB2312"/>
                <w:kern w:val="0"/>
                <w:sz w:val="20"/>
                <w:szCs w:val="20"/>
                <w:lang w:val="en-US" w:eastAsia="zh-CN"/>
              </w:rPr>
              <w:t>15</w:t>
            </w:r>
          </w:p>
          <w:p w14:paraId="399870DC">
            <w:pPr>
              <w:widowControl/>
              <w:spacing w:line="0" w:lineRule="atLeast"/>
              <w:jc w:val="center"/>
              <w:rPr>
                <w:rFonts w:ascii="Calibri" w:hAnsi="Calibri" w:eastAsia="仿宋_GB2312" w:cs="Times New Roman"/>
                <w:kern w:val="0"/>
                <w:sz w:val="20"/>
                <w:szCs w:val="20"/>
                <w:lang w:val="en-US" w:eastAsia="zh-CN" w:bidi="ar-SA"/>
              </w:rPr>
            </w:pPr>
          </w:p>
        </w:tc>
        <w:tc>
          <w:tcPr>
            <w:tcW w:w="1032" w:type="dxa"/>
            <w:gridSpan w:val="2"/>
            <w:tcBorders>
              <w:top w:val="nil"/>
              <w:left w:val="nil"/>
              <w:bottom w:val="single" w:color="auto" w:sz="4" w:space="0"/>
              <w:right w:val="single" w:color="auto" w:sz="4" w:space="0"/>
            </w:tcBorders>
            <w:vAlign w:val="center"/>
          </w:tcPr>
          <w:p w14:paraId="2EAF8141">
            <w:pPr>
              <w:widowControl/>
              <w:spacing w:line="0" w:lineRule="atLeast"/>
              <w:jc w:val="center"/>
              <w:rPr>
                <w:rFonts w:eastAsia="仿宋_GB2312"/>
                <w:kern w:val="0"/>
                <w:szCs w:val="21"/>
              </w:rPr>
            </w:pPr>
          </w:p>
        </w:tc>
      </w:tr>
      <w:tr w14:paraId="4AF6A601">
        <w:tblPrEx>
          <w:tblCellMar>
            <w:top w:w="0" w:type="dxa"/>
            <w:left w:w="108" w:type="dxa"/>
            <w:bottom w:w="0" w:type="dxa"/>
            <w:right w:w="108" w:type="dxa"/>
          </w:tblCellMar>
        </w:tblPrEx>
        <w:trPr>
          <w:trHeight w:val="340"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89D2C59">
            <w:pPr>
              <w:widowControl/>
              <w:spacing w:line="0" w:lineRule="atLeast"/>
              <w:jc w:val="center"/>
              <w:rPr>
                <w:rFonts w:eastAsia="仿宋_GB2312"/>
                <w:kern w:val="0"/>
                <w:szCs w:val="21"/>
              </w:rPr>
            </w:pPr>
          </w:p>
        </w:tc>
        <w:tc>
          <w:tcPr>
            <w:tcW w:w="767" w:type="dxa"/>
            <w:vMerge w:val="restart"/>
            <w:tcBorders>
              <w:top w:val="nil"/>
              <w:left w:val="nil"/>
              <w:bottom w:val="single" w:color="auto" w:sz="4" w:space="0"/>
              <w:right w:val="single" w:color="auto" w:sz="4" w:space="0"/>
            </w:tcBorders>
            <w:vAlign w:val="center"/>
          </w:tcPr>
          <w:p w14:paraId="6A2B0474">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3F64AA74">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97" w:type="dxa"/>
            <w:vMerge w:val="restart"/>
            <w:tcBorders>
              <w:top w:val="nil"/>
              <w:left w:val="nil"/>
              <w:bottom w:val="single" w:color="auto" w:sz="4" w:space="0"/>
              <w:right w:val="single" w:color="auto" w:sz="4" w:space="0"/>
            </w:tcBorders>
            <w:vAlign w:val="center"/>
          </w:tcPr>
          <w:p w14:paraId="223B277B">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2029" w:type="dxa"/>
            <w:tcBorders>
              <w:top w:val="nil"/>
              <w:left w:val="nil"/>
              <w:bottom w:val="single" w:color="auto" w:sz="4" w:space="0"/>
              <w:right w:val="single" w:color="auto" w:sz="4" w:space="0"/>
            </w:tcBorders>
            <w:vAlign w:val="center"/>
          </w:tcPr>
          <w:p w14:paraId="3275ABF0">
            <w:pPr>
              <w:widowControl/>
              <w:spacing w:line="0" w:lineRule="atLeast"/>
              <w:jc w:val="left"/>
              <w:rPr>
                <w:rFonts w:hint="eastAsia" w:ascii="Calibri" w:hAnsi="Calibri" w:eastAsia="仿宋_GB2312" w:cs="Times New Roman"/>
                <w:kern w:val="0"/>
                <w:sz w:val="20"/>
                <w:szCs w:val="20"/>
                <w:lang w:val="en-US" w:eastAsia="zh-CN" w:bidi="ar-SA"/>
              </w:rPr>
            </w:pPr>
            <w:r>
              <w:rPr>
                <w:rFonts w:hint="eastAsia" w:eastAsia="仿宋_GB2312"/>
                <w:kern w:val="0"/>
                <w:sz w:val="20"/>
                <w:szCs w:val="20"/>
                <w:lang w:eastAsia="zh-CN"/>
              </w:rPr>
              <w:t>学生满意度</w:t>
            </w:r>
          </w:p>
        </w:tc>
        <w:tc>
          <w:tcPr>
            <w:tcW w:w="1200" w:type="dxa"/>
            <w:tcBorders>
              <w:top w:val="nil"/>
              <w:left w:val="nil"/>
              <w:bottom w:val="single" w:color="auto" w:sz="4" w:space="0"/>
              <w:right w:val="single" w:color="auto" w:sz="4" w:space="0"/>
            </w:tcBorders>
            <w:vAlign w:val="center"/>
          </w:tcPr>
          <w:p w14:paraId="7D0C65F4">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95%</w:t>
            </w:r>
          </w:p>
        </w:tc>
        <w:tc>
          <w:tcPr>
            <w:tcW w:w="1200" w:type="dxa"/>
            <w:tcBorders>
              <w:top w:val="nil"/>
              <w:left w:val="nil"/>
              <w:bottom w:val="single" w:color="auto" w:sz="4" w:space="0"/>
              <w:right w:val="single" w:color="auto" w:sz="4" w:space="0"/>
            </w:tcBorders>
            <w:vAlign w:val="center"/>
          </w:tcPr>
          <w:p w14:paraId="5777C981">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99%</w:t>
            </w:r>
          </w:p>
        </w:tc>
        <w:tc>
          <w:tcPr>
            <w:tcW w:w="538" w:type="dxa"/>
            <w:tcBorders>
              <w:top w:val="nil"/>
              <w:left w:val="nil"/>
              <w:bottom w:val="single" w:color="auto" w:sz="4" w:space="0"/>
              <w:right w:val="single" w:color="auto" w:sz="4" w:space="0"/>
            </w:tcBorders>
            <w:vAlign w:val="center"/>
          </w:tcPr>
          <w:p w14:paraId="7FACE13C">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5</w:t>
            </w:r>
          </w:p>
        </w:tc>
        <w:tc>
          <w:tcPr>
            <w:tcW w:w="550" w:type="dxa"/>
            <w:tcBorders>
              <w:top w:val="nil"/>
              <w:left w:val="nil"/>
              <w:bottom w:val="single" w:color="auto" w:sz="4" w:space="0"/>
              <w:right w:val="single" w:color="auto" w:sz="4" w:space="0"/>
            </w:tcBorders>
            <w:vAlign w:val="center"/>
          </w:tcPr>
          <w:p w14:paraId="511670E9">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5</w:t>
            </w:r>
          </w:p>
        </w:tc>
        <w:tc>
          <w:tcPr>
            <w:tcW w:w="1032" w:type="dxa"/>
            <w:gridSpan w:val="2"/>
            <w:tcBorders>
              <w:top w:val="nil"/>
              <w:left w:val="nil"/>
              <w:bottom w:val="single" w:color="auto" w:sz="4" w:space="0"/>
              <w:right w:val="single" w:color="auto" w:sz="4" w:space="0"/>
            </w:tcBorders>
            <w:vAlign w:val="center"/>
          </w:tcPr>
          <w:p w14:paraId="1A7EF068">
            <w:pPr>
              <w:widowControl/>
              <w:spacing w:line="0" w:lineRule="atLeast"/>
              <w:jc w:val="center"/>
              <w:rPr>
                <w:rFonts w:eastAsia="仿宋_GB2312"/>
                <w:kern w:val="0"/>
                <w:szCs w:val="21"/>
              </w:rPr>
            </w:pPr>
          </w:p>
        </w:tc>
      </w:tr>
      <w:tr w14:paraId="3E4EFD0A">
        <w:tblPrEx>
          <w:tblCellMar>
            <w:top w:w="0" w:type="dxa"/>
            <w:left w:w="108" w:type="dxa"/>
            <w:bottom w:w="0" w:type="dxa"/>
            <w:right w:w="108" w:type="dxa"/>
          </w:tblCellMar>
        </w:tblPrEx>
        <w:trPr>
          <w:trHeight w:val="545"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73AD79E">
            <w:pPr>
              <w:widowControl/>
              <w:spacing w:line="0" w:lineRule="atLeast"/>
              <w:jc w:val="center"/>
              <w:rPr>
                <w:rFonts w:eastAsia="仿宋_GB2312"/>
                <w:kern w:val="0"/>
                <w:szCs w:val="21"/>
              </w:rPr>
            </w:pPr>
          </w:p>
        </w:tc>
        <w:tc>
          <w:tcPr>
            <w:tcW w:w="767" w:type="dxa"/>
            <w:vMerge w:val="continue"/>
            <w:tcBorders>
              <w:top w:val="nil"/>
              <w:left w:val="nil"/>
              <w:bottom w:val="single" w:color="auto" w:sz="4" w:space="0"/>
              <w:right w:val="single" w:color="auto" w:sz="4" w:space="0"/>
            </w:tcBorders>
            <w:vAlign w:val="center"/>
          </w:tcPr>
          <w:p w14:paraId="6AD3A6B8">
            <w:pPr>
              <w:widowControl/>
              <w:spacing w:line="0" w:lineRule="atLeast"/>
              <w:jc w:val="center"/>
              <w:rPr>
                <w:rFonts w:eastAsia="仿宋_GB2312"/>
                <w:kern w:val="0"/>
                <w:szCs w:val="21"/>
              </w:rPr>
            </w:pPr>
          </w:p>
        </w:tc>
        <w:tc>
          <w:tcPr>
            <w:tcW w:w="1097" w:type="dxa"/>
            <w:vMerge w:val="continue"/>
            <w:tcBorders>
              <w:top w:val="nil"/>
              <w:left w:val="nil"/>
              <w:bottom w:val="single" w:color="auto" w:sz="4" w:space="0"/>
              <w:right w:val="single" w:color="auto" w:sz="4" w:space="0"/>
            </w:tcBorders>
            <w:vAlign w:val="center"/>
          </w:tcPr>
          <w:p w14:paraId="46577426">
            <w:pPr>
              <w:widowControl/>
              <w:spacing w:line="0" w:lineRule="atLeast"/>
              <w:jc w:val="center"/>
              <w:rPr>
                <w:rFonts w:eastAsia="仿宋_GB2312"/>
                <w:kern w:val="0"/>
                <w:szCs w:val="21"/>
              </w:rPr>
            </w:pPr>
          </w:p>
        </w:tc>
        <w:tc>
          <w:tcPr>
            <w:tcW w:w="2029" w:type="dxa"/>
            <w:tcBorders>
              <w:top w:val="nil"/>
              <w:left w:val="nil"/>
              <w:bottom w:val="single" w:color="auto" w:sz="4" w:space="0"/>
              <w:right w:val="single" w:color="auto" w:sz="4" w:space="0"/>
            </w:tcBorders>
            <w:vAlign w:val="center"/>
          </w:tcPr>
          <w:p w14:paraId="79B6C76B">
            <w:pPr>
              <w:widowControl/>
              <w:spacing w:line="0" w:lineRule="atLeast"/>
              <w:jc w:val="left"/>
              <w:rPr>
                <w:rFonts w:hint="eastAsia" w:ascii="Calibri" w:hAnsi="Calibri" w:eastAsia="仿宋_GB2312" w:cs="Times New Roman"/>
                <w:kern w:val="0"/>
                <w:sz w:val="20"/>
                <w:szCs w:val="20"/>
                <w:lang w:val="en-US" w:eastAsia="zh-CN" w:bidi="ar-SA"/>
              </w:rPr>
            </w:pPr>
            <w:r>
              <w:rPr>
                <w:rFonts w:hint="eastAsia" w:eastAsia="仿宋_GB2312"/>
                <w:kern w:val="0"/>
                <w:sz w:val="20"/>
                <w:szCs w:val="20"/>
                <w:lang w:eastAsia="zh-CN"/>
              </w:rPr>
              <w:t>社会公众满意度</w:t>
            </w:r>
          </w:p>
        </w:tc>
        <w:tc>
          <w:tcPr>
            <w:tcW w:w="1200" w:type="dxa"/>
            <w:tcBorders>
              <w:top w:val="nil"/>
              <w:left w:val="nil"/>
              <w:bottom w:val="single" w:color="auto" w:sz="4" w:space="0"/>
              <w:right w:val="single" w:color="auto" w:sz="4" w:space="0"/>
            </w:tcBorders>
            <w:vAlign w:val="center"/>
          </w:tcPr>
          <w:p w14:paraId="2F217783">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95%</w:t>
            </w:r>
          </w:p>
        </w:tc>
        <w:tc>
          <w:tcPr>
            <w:tcW w:w="1200" w:type="dxa"/>
            <w:tcBorders>
              <w:top w:val="nil"/>
              <w:left w:val="nil"/>
              <w:bottom w:val="single" w:color="auto" w:sz="4" w:space="0"/>
              <w:right w:val="single" w:color="auto" w:sz="4" w:space="0"/>
            </w:tcBorders>
            <w:vAlign w:val="center"/>
          </w:tcPr>
          <w:p w14:paraId="5184B09C">
            <w:pPr>
              <w:widowControl/>
              <w:spacing w:line="0" w:lineRule="atLeast"/>
              <w:jc w:val="center"/>
              <w:rPr>
                <w:rFonts w:hint="default"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99%</w:t>
            </w:r>
          </w:p>
        </w:tc>
        <w:tc>
          <w:tcPr>
            <w:tcW w:w="538" w:type="dxa"/>
            <w:tcBorders>
              <w:top w:val="nil"/>
              <w:left w:val="nil"/>
              <w:bottom w:val="single" w:color="auto" w:sz="4" w:space="0"/>
              <w:right w:val="single" w:color="auto" w:sz="4" w:space="0"/>
            </w:tcBorders>
            <w:vAlign w:val="center"/>
          </w:tcPr>
          <w:p w14:paraId="32A9E04C">
            <w:pPr>
              <w:widowControl/>
              <w:spacing w:line="0" w:lineRule="atLeast"/>
              <w:jc w:val="center"/>
              <w:rPr>
                <w:rFonts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5</w:t>
            </w:r>
          </w:p>
        </w:tc>
        <w:tc>
          <w:tcPr>
            <w:tcW w:w="550" w:type="dxa"/>
            <w:tcBorders>
              <w:top w:val="nil"/>
              <w:left w:val="nil"/>
              <w:bottom w:val="single" w:color="auto" w:sz="4" w:space="0"/>
              <w:right w:val="single" w:color="auto" w:sz="4" w:space="0"/>
            </w:tcBorders>
            <w:vAlign w:val="center"/>
          </w:tcPr>
          <w:p w14:paraId="3141F2CD">
            <w:pPr>
              <w:widowControl/>
              <w:spacing w:line="0" w:lineRule="atLeast"/>
              <w:jc w:val="center"/>
              <w:rPr>
                <w:rFonts w:hint="eastAsia" w:ascii="Calibri" w:hAnsi="Calibri" w:eastAsia="仿宋_GB2312" w:cs="Times New Roman"/>
                <w:kern w:val="0"/>
                <w:sz w:val="20"/>
                <w:szCs w:val="20"/>
                <w:lang w:val="en-US" w:eastAsia="zh-CN" w:bidi="ar-SA"/>
              </w:rPr>
            </w:pPr>
            <w:r>
              <w:rPr>
                <w:rFonts w:hint="eastAsia" w:eastAsia="仿宋_GB2312"/>
                <w:kern w:val="0"/>
                <w:sz w:val="20"/>
                <w:szCs w:val="20"/>
                <w:lang w:val="en-US" w:eastAsia="zh-CN"/>
              </w:rPr>
              <w:t>5</w:t>
            </w:r>
          </w:p>
        </w:tc>
        <w:tc>
          <w:tcPr>
            <w:tcW w:w="1032" w:type="dxa"/>
            <w:gridSpan w:val="2"/>
            <w:tcBorders>
              <w:top w:val="nil"/>
              <w:left w:val="nil"/>
              <w:bottom w:val="single" w:color="auto" w:sz="4" w:space="0"/>
              <w:right w:val="single" w:color="auto" w:sz="4" w:space="0"/>
            </w:tcBorders>
            <w:vAlign w:val="center"/>
          </w:tcPr>
          <w:p w14:paraId="0C43B976">
            <w:pPr>
              <w:widowControl/>
              <w:spacing w:line="0" w:lineRule="atLeast"/>
              <w:jc w:val="center"/>
              <w:rPr>
                <w:rFonts w:eastAsia="仿宋_GB2312"/>
                <w:kern w:val="0"/>
                <w:szCs w:val="21"/>
              </w:rPr>
            </w:pPr>
          </w:p>
        </w:tc>
      </w:tr>
      <w:tr w14:paraId="692B40A4">
        <w:tblPrEx>
          <w:tblCellMar>
            <w:top w:w="0" w:type="dxa"/>
            <w:left w:w="108" w:type="dxa"/>
            <w:bottom w:w="0" w:type="dxa"/>
            <w:right w:w="108" w:type="dxa"/>
          </w:tblCellMar>
        </w:tblPrEx>
        <w:trPr>
          <w:trHeight w:val="313" w:hRule="atLeast"/>
          <w:jc w:val="center"/>
        </w:trPr>
        <w:tc>
          <w:tcPr>
            <w:tcW w:w="7308" w:type="dxa"/>
            <w:gridSpan w:val="6"/>
            <w:tcBorders>
              <w:top w:val="single" w:color="auto" w:sz="4" w:space="0"/>
              <w:left w:val="single" w:color="auto" w:sz="4" w:space="0"/>
              <w:bottom w:val="single" w:color="auto" w:sz="4" w:space="0"/>
              <w:right w:val="single" w:color="000000" w:sz="4" w:space="0"/>
            </w:tcBorders>
            <w:vAlign w:val="center"/>
          </w:tcPr>
          <w:p w14:paraId="3B28DFA4">
            <w:pPr>
              <w:widowControl/>
              <w:spacing w:line="0" w:lineRule="atLeast"/>
              <w:jc w:val="center"/>
              <w:rPr>
                <w:rFonts w:eastAsia="仿宋_GB2312"/>
                <w:kern w:val="0"/>
                <w:szCs w:val="21"/>
              </w:rPr>
            </w:pPr>
            <w:r>
              <w:rPr>
                <w:rFonts w:hint="eastAsia" w:eastAsia="仿宋_GB2312"/>
                <w:kern w:val="0"/>
                <w:szCs w:val="21"/>
              </w:rPr>
              <w:t>总分</w:t>
            </w:r>
          </w:p>
        </w:tc>
        <w:tc>
          <w:tcPr>
            <w:tcW w:w="538" w:type="dxa"/>
            <w:tcBorders>
              <w:top w:val="nil"/>
              <w:left w:val="nil"/>
              <w:bottom w:val="single" w:color="auto" w:sz="4" w:space="0"/>
              <w:right w:val="single" w:color="auto" w:sz="4" w:space="0"/>
            </w:tcBorders>
            <w:vAlign w:val="center"/>
          </w:tcPr>
          <w:p w14:paraId="0BCF496C">
            <w:pPr>
              <w:widowControl/>
              <w:spacing w:line="0" w:lineRule="atLeast"/>
              <w:jc w:val="center"/>
              <w:rPr>
                <w:rFonts w:eastAsia="仿宋_GB2312"/>
                <w:kern w:val="0"/>
                <w:szCs w:val="21"/>
              </w:rPr>
            </w:pPr>
            <w:r>
              <w:rPr>
                <w:rFonts w:eastAsia="仿宋_GB2312"/>
                <w:kern w:val="0"/>
                <w:szCs w:val="21"/>
              </w:rPr>
              <w:t>100</w:t>
            </w:r>
          </w:p>
        </w:tc>
        <w:tc>
          <w:tcPr>
            <w:tcW w:w="550" w:type="dxa"/>
            <w:tcBorders>
              <w:top w:val="nil"/>
              <w:left w:val="nil"/>
              <w:bottom w:val="single" w:color="auto" w:sz="4" w:space="0"/>
              <w:right w:val="single" w:color="auto" w:sz="4" w:space="0"/>
            </w:tcBorders>
            <w:vAlign w:val="center"/>
          </w:tcPr>
          <w:p w14:paraId="24D0E446">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032" w:type="dxa"/>
            <w:gridSpan w:val="2"/>
            <w:tcBorders>
              <w:top w:val="nil"/>
              <w:left w:val="nil"/>
              <w:bottom w:val="single" w:color="auto" w:sz="4" w:space="0"/>
              <w:right w:val="single" w:color="auto" w:sz="4" w:space="0"/>
            </w:tcBorders>
            <w:vAlign w:val="center"/>
          </w:tcPr>
          <w:p w14:paraId="7ABE4307">
            <w:pPr>
              <w:widowControl/>
              <w:spacing w:line="0" w:lineRule="atLeast"/>
              <w:jc w:val="center"/>
              <w:rPr>
                <w:rFonts w:eastAsia="仿宋_GB2312"/>
                <w:kern w:val="0"/>
                <w:szCs w:val="21"/>
              </w:rPr>
            </w:pPr>
          </w:p>
        </w:tc>
      </w:tr>
    </w:tbl>
    <w:p w14:paraId="460AC9C9">
      <w:pPr>
        <w:spacing w:before="120" w:beforeLines="50"/>
        <w:rPr>
          <w:rFonts w:ascii="Times New Roman" w:hAnsi="Times New Roman"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14:paraId="3E9B4903">
      <w:pPr>
        <w:ind w:left="10" w:leftChars="5" w:firstLine="406" w:firstLineChars="127"/>
        <w:jc w:val="left"/>
        <w:rPr>
          <w:rFonts w:hint="eastAsia" w:ascii="仿宋" w:hAnsi="仿宋" w:eastAsia="仿宋" w:cs="仿宋"/>
          <w:sz w:val="32"/>
          <w:szCs w:val="32"/>
        </w:rPr>
      </w:pPr>
    </w:p>
    <w:p w14:paraId="1CB3B390">
      <w:pPr>
        <w:keepNext w:val="0"/>
        <w:keepLines w:val="0"/>
        <w:pageBreakBefore w:val="0"/>
        <w:widowControl w:val="0"/>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其中，绩效目标自评表填报注意事项如下：</w:t>
      </w:r>
    </w:p>
    <w:p w14:paraId="4B268870">
      <w:pPr>
        <w:keepNext w:val="0"/>
        <w:keepLines w:val="0"/>
        <w:pageBreakBefore w:val="0"/>
        <w:widowControl w:val="0"/>
        <w:numPr>
          <w:ilvl w:val="0"/>
          <w:numId w:val="1"/>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14:paraId="3E880839">
      <w:pPr>
        <w:keepNext w:val="0"/>
        <w:keepLines w:val="0"/>
        <w:pageBreakBefore w:val="0"/>
        <w:widowControl w:val="0"/>
        <w:numPr>
          <w:ilvl w:val="0"/>
          <w:numId w:val="1"/>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14:paraId="7C51C3EB">
      <w:pPr>
        <w:keepNext w:val="0"/>
        <w:keepLines w:val="0"/>
        <w:pageBreakBefore w:val="0"/>
        <w:widowControl w:val="0"/>
        <w:numPr>
          <w:ilvl w:val="0"/>
          <w:numId w:val="1"/>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14:paraId="39F1C097">
      <w:pPr>
        <w:keepNext w:val="0"/>
        <w:keepLines w:val="0"/>
        <w:pageBreakBefore w:val="0"/>
        <w:widowControl w:val="0"/>
        <w:kinsoku/>
        <w:wordWrap/>
        <w:overflowPunct/>
        <w:topLinePunct w:val="0"/>
        <w:autoSpaceDE/>
        <w:autoSpaceDN/>
        <w:bidi w:val="0"/>
        <w:snapToGrid/>
        <w:spacing w:line="600" w:lineRule="exact"/>
        <w:ind w:left="277" w:leftChars="132"/>
        <w:jc w:val="left"/>
        <w:textAlignment w:val="auto"/>
        <w:rPr>
          <w:rFonts w:ascii="仿宋" w:hAnsi="仿宋" w:eastAsia="仿宋" w:cs="仿宋"/>
          <w:sz w:val="32"/>
          <w:szCs w:val="32"/>
        </w:rPr>
      </w:pPr>
    </w:p>
    <w:p w14:paraId="385DF18E">
      <w:pPr>
        <w:keepNext w:val="0"/>
        <w:keepLines w:val="0"/>
        <w:pageBreakBefore w:val="0"/>
        <w:widowControl w:val="0"/>
        <w:kinsoku/>
        <w:wordWrap/>
        <w:overflowPunct/>
        <w:topLinePunct w:val="0"/>
        <w:autoSpaceDE/>
        <w:autoSpaceDN/>
        <w:bidi w:val="0"/>
        <w:adjustRightInd w:val="0"/>
        <w:snapToGrid/>
        <w:spacing w:line="600" w:lineRule="exact"/>
        <w:ind w:right="641"/>
        <w:textAlignment w:val="auto"/>
        <w:rPr>
          <w:rFonts w:hint="eastAsia" w:ascii="黑体" w:eastAsia="黑体"/>
          <w:sz w:val="32"/>
          <w:szCs w:val="32"/>
        </w:rPr>
      </w:pPr>
    </w:p>
    <w:p w14:paraId="0E0DAC63">
      <w:pPr>
        <w:rPr>
          <w:rFonts w:ascii="仿宋" w:hAnsi="仿宋" w:eastAsia="仿宋" w:cs="仿宋"/>
          <w:sz w:val="32"/>
          <w:szCs w:val="32"/>
        </w:rPr>
      </w:pPr>
    </w:p>
    <w:sectPr>
      <w:pgSz w:w="11905" w:h="16837"/>
      <w:pgMar w:top="1417" w:right="1417" w:bottom="1417" w:left="1417" w:header="0" w:footer="0" w:gutter="0"/>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348B66A1">
        <w:pPr>
          <w:pStyle w:val="3"/>
          <w:jc w:val="center"/>
        </w:pPr>
        <w:r>
          <w:fldChar w:fldCharType="begin"/>
        </w:r>
        <w:r>
          <w:instrText xml:space="preserve">PAGE   \* MERGEFORMAT</w:instrText>
        </w:r>
        <w:r>
          <w:fldChar w:fldCharType="separate"/>
        </w:r>
        <w:r>
          <w:rPr>
            <w:lang w:val="zh-CN"/>
          </w:rPr>
          <w:t>3</w:t>
        </w:r>
        <w:r>
          <w:fldChar w:fldCharType="end"/>
        </w:r>
      </w:p>
    </w:sdtContent>
  </w:sdt>
  <w:p w14:paraId="59286331">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8993E"/>
    <w:multiLevelType w:val="singleLevel"/>
    <w:tmpl w:val="658899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jE5Y2ExOGJjZjkzNTQ0M2Y2YzgxZWEyMTIyZGE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4F25F86"/>
    <w:rsid w:val="055F72FC"/>
    <w:rsid w:val="05C63780"/>
    <w:rsid w:val="062736E9"/>
    <w:rsid w:val="06B14C94"/>
    <w:rsid w:val="07061C60"/>
    <w:rsid w:val="07601F6F"/>
    <w:rsid w:val="0859360A"/>
    <w:rsid w:val="087251E8"/>
    <w:rsid w:val="090C0797"/>
    <w:rsid w:val="092550F0"/>
    <w:rsid w:val="09636F12"/>
    <w:rsid w:val="0B402ED3"/>
    <w:rsid w:val="0B5575DE"/>
    <w:rsid w:val="0B595BEC"/>
    <w:rsid w:val="0D013842"/>
    <w:rsid w:val="0D605FA4"/>
    <w:rsid w:val="0DAC1131"/>
    <w:rsid w:val="0DCD1FE2"/>
    <w:rsid w:val="0F0351A9"/>
    <w:rsid w:val="0F6040CA"/>
    <w:rsid w:val="0F686EA2"/>
    <w:rsid w:val="0FA4224E"/>
    <w:rsid w:val="10125033"/>
    <w:rsid w:val="1199240D"/>
    <w:rsid w:val="13063EC3"/>
    <w:rsid w:val="14AC5B87"/>
    <w:rsid w:val="194621AC"/>
    <w:rsid w:val="1C96001A"/>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30133FEC"/>
    <w:rsid w:val="301467A7"/>
    <w:rsid w:val="319E58AE"/>
    <w:rsid w:val="32E672DE"/>
    <w:rsid w:val="33173320"/>
    <w:rsid w:val="33C57F19"/>
    <w:rsid w:val="33F47CCB"/>
    <w:rsid w:val="367E6347"/>
    <w:rsid w:val="36B74B2C"/>
    <w:rsid w:val="376A7251"/>
    <w:rsid w:val="38FF20BA"/>
    <w:rsid w:val="3A875795"/>
    <w:rsid w:val="3B4A4976"/>
    <w:rsid w:val="3D6A788A"/>
    <w:rsid w:val="3DBA51E3"/>
    <w:rsid w:val="3E1C6CCE"/>
    <w:rsid w:val="3F07230B"/>
    <w:rsid w:val="401A4DB7"/>
    <w:rsid w:val="40551718"/>
    <w:rsid w:val="412A5093"/>
    <w:rsid w:val="41D96CAB"/>
    <w:rsid w:val="4374336C"/>
    <w:rsid w:val="438C45B0"/>
    <w:rsid w:val="43CA6E24"/>
    <w:rsid w:val="448C37A5"/>
    <w:rsid w:val="44AE371A"/>
    <w:rsid w:val="4750610E"/>
    <w:rsid w:val="476A2E5A"/>
    <w:rsid w:val="48D77849"/>
    <w:rsid w:val="492E6CEA"/>
    <w:rsid w:val="499C5626"/>
    <w:rsid w:val="49D62A28"/>
    <w:rsid w:val="4A6A422A"/>
    <w:rsid w:val="4C3126A7"/>
    <w:rsid w:val="4C985623"/>
    <w:rsid w:val="4D1D75B1"/>
    <w:rsid w:val="4D9964EA"/>
    <w:rsid w:val="4DC14C54"/>
    <w:rsid w:val="5025403F"/>
    <w:rsid w:val="512D283B"/>
    <w:rsid w:val="51706157"/>
    <w:rsid w:val="51A64FE7"/>
    <w:rsid w:val="51BD5B0B"/>
    <w:rsid w:val="52245ABB"/>
    <w:rsid w:val="544E62B5"/>
    <w:rsid w:val="54D83964"/>
    <w:rsid w:val="551E5284"/>
    <w:rsid w:val="569958AC"/>
    <w:rsid w:val="57965D12"/>
    <w:rsid w:val="587F7BAB"/>
    <w:rsid w:val="590B7824"/>
    <w:rsid w:val="598A0134"/>
    <w:rsid w:val="59BA41A7"/>
    <w:rsid w:val="5B0867BA"/>
    <w:rsid w:val="5E2D0ECA"/>
    <w:rsid w:val="5E7E2E48"/>
    <w:rsid w:val="5EB920A6"/>
    <w:rsid w:val="5EE15247"/>
    <w:rsid w:val="5FEB66AA"/>
    <w:rsid w:val="607B7A2E"/>
    <w:rsid w:val="611C2A4E"/>
    <w:rsid w:val="61ED0983"/>
    <w:rsid w:val="621A2785"/>
    <w:rsid w:val="62380621"/>
    <w:rsid w:val="62882906"/>
    <w:rsid w:val="6296592A"/>
    <w:rsid w:val="62AA63A9"/>
    <w:rsid w:val="64653D4C"/>
    <w:rsid w:val="647E0D38"/>
    <w:rsid w:val="64821F10"/>
    <w:rsid w:val="64BB7C34"/>
    <w:rsid w:val="657A4758"/>
    <w:rsid w:val="693B1A2C"/>
    <w:rsid w:val="6AB73D58"/>
    <w:rsid w:val="6BDD159D"/>
    <w:rsid w:val="70561C9A"/>
    <w:rsid w:val="715A370C"/>
    <w:rsid w:val="71AF52DC"/>
    <w:rsid w:val="71C15269"/>
    <w:rsid w:val="73011BDF"/>
    <w:rsid w:val="752D41F9"/>
    <w:rsid w:val="77F770D8"/>
    <w:rsid w:val="783F1A66"/>
    <w:rsid w:val="786A32D4"/>
    <w:rsid w:val="788155F2"/>
    <w:rsid w:val="78EF290F"/>
    <w:rsid w:val="7A794B87"/>
    <w:rsid w:val="7ACB2BF8"/>
    <w:rsid w:val="7E0E41C6"/>
    <w:rsid w:val="7E132BFC"/>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2"/>
    <w:autoRedefine/>
    <w:qFormat/>
    <w:uiPriority w:val="0"/>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3"/>
    <w:autoRedefine/>
    <w:qFormat/>
    <w:uiPriority w:val="99"/>
    <w:rPr>
      <w:kern w:val="2"/>
      <w:sz w:val="18"/>
      <w:szCs w:val="18"/>
    </w:rPr>
  </w:style>
  <w:style w:type="character" w:customStyle="1" w:styleId="13">
    <w:name w:val="font41"/>
    <w:basedOn w:val="9"/>
    <w:autoRedefine/>
    <w:qFormat/>
    <w:uiPriority w:val="0"/>
    <w:rPr>
      <w:rFonts w:hint="eastAsia" w:ascii="宋体" w:hAnsi="宋体" w:eastAsia="宋体" w:cs="宋体"/>
      <w:color w:val="000000"/>
      <w:sz w:val="18"/>
      <w:szCs w:val="18"/>
      <w:u w:val="none"/>
    </w:rPr>
  </w:style>
  <w:style w:type="character" w:customStyle="1" w:styleId="14">
    <w:name w:val="font51"/>
    <w:basedOn w:val="9"/>
    <w:autoRedefine/>
    <w:qFormat/>
    <w:uiPriority w:val="0"/>
    <w:rPr>
      <w:rFonts w:hint="default" w:ascii="Times New Roman" w:hAnsi="Times New Roman" w:cs="Times New Roman"/>
      <w:color w:val="000000"/>
      <w:sz w:val="18"/>
      <w:szCs w:val="18"/>
      <w:u w:val="none"/>
    </w:rPr>
  </w:style>
  <w:style w:type="character" w:customStyle="1" w:styleId="15">
    <w:name w:val="font71"/>
    <w:basedOn w:val="9"/>
    <w:autoRedefine/>
    <w:qFormat/>
    <w:uiPriority w:val="0"/>
    <w:rPr>
      <w:rFonts w:hint="eastAsia" w:ascii="宋体" w:hAnsi="宋体" w:eastAsia="宋体" w:cs="宋体"/>
      <w:color w:val="000000"/>
      <w:sz w:val="18"/>
      <w:szCs w:val="18"/>
      <w:u w:val="none"/>
    </w:rPr>
  </w:style>
  <w:style w:type="character" w:customStyle="1" w:styleId="16">
    <w:name w:val="font61"/>
    <w:basedOn w:val="9"/>
    <w:autoRedefine/>
    <w:qFormat/>
    <w:uiPriority w:val="0"/>
    <w:rPr>
      <w:rFonts w:hint="default" w:ascii="Times New Roman" w:hAnsi="Times New Roman" w:cs="Times New Roman"/>
      <w:color w:val="000000"/>
      <w:sz w:val="18"/>
      <w:szCs w:val="18"/>
      <w:u w:val="none"/>
    </w:rPr>
  </w:style>
  <w:style w:type="character" w:customStyle="1" w:styleId="17">
    <w:name w:val="font11"/>
    <w:basedOn w:val="9"/>
    <w:autoRedefine/>
    <w:qFormat/>
    <w:uiPriority w:val="0"/>
    <w:rPr>
      <w:rFonts w:hint="eastAsia" w:ascii="宋体" w:hAnsi="宋体" w:eastAsia="宋体" w:cs="宋体"/>
      <w:color w:val="000000"/>
      <w:sz w:val="18"/>
      <w:szCs w:val="18"/>
      <w:u w:val="none"/>
    </w:rPr>
  </w:style>
  <w:style w:type="character" w:customStyle="1" w:styleId="18">
    <w:name w:val="font81"/>
    <w:basedOn w:val="9"/>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7513</Words>
  <Characters>7925</Characters>
  <Lines>56</Lines>
  <Paragraphs>15</Paragraphs>
  <TotalTime>16</TotalTime>
  <ScaleCrop>false</ScaleCrop>
  <LinksUpToDate>false</LinksUpToDate>
  <CharactersWithSpaces>7997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kk.</cp:lastModifiedBy>
  <cp:lastPrinted>2024-02-29T01:34:00Z</cp:lastPrinted>
  <dcterms:modified xsi:type="dcterms:W3CDTF">2024-07-29T07:32:49Z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7C7C9F319160448BA9009BD3AD751AB8_13</vt:lpwstr>
  </property>
</Properties>
</file>