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spacing w:line="560" w:lineRule="exact"/>
        <w:jc w:val="center"/>
        <w:rPr>
          <w:rFonts w:eastAsia="方正小标宋_GBK"/>
          <w:sz w:val="36"/>
          <w:szCs w:val="36"/>
        </w:rPr>
      </w:pPr>
      <w:r>
        <w:rPr>
          <w:rFonts w:hint="eastAsia" w:eastAsia="方正小标宋_GBK"/>
          <w:sz w:val="36"/>
          <w:szCs w:val="36"/>
        </w:rPr>
        <w:t>部门整体支出绩效评价指标评分表</w:t>
      </w:r>
    </w:p>
    <w:tbl>
      <w:tblPr>
        <w:tblStyle w:val="6"/>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740"/>
        <w:gridCol w:w="802"/>
        <w:gridCol w:w="1968"/>
        <w:gridCol w:w="3347"/>
        <w:gridCol w:w="791"/>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eastAsia="仿宋_GB2312" w:hAnsiTheme="minorHAnsi" w:cstheme="minorBidi"/>
                <w:b/>
                <w:bCs/>
                <w:szCs w:val="21"/>
                <w:lang w:eastAsia="zh-CN"/>
              </w:rPr>
            </w:pPr>
            <w:r>
              <w:rPr>
                <w:rFonts w:hint="eastAsia" w:ascii="仿宋_GB2312" w:eastAsia="仿宋_GB2312" w:hAnsiTheme="minorHAnsi" w:cstheme="minorBidi"/>
                <w:b/>
                <w:bCs/>
                <w:szCs w:val="21"/>
              </w:rPr>
              <w:t>一级</w:t>
            </w:r>
          </w:p>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right="-174" w:rightChars="-83"/>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二级</w:t>
            </w:r>
          </w:p>
          <w:p>
            <w:pPr>
              <w:ind w:right="-174" w:rightChars="-83"/>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三级</w:t>
            </w:r>
          </w:p>
          <w:p>
            <w:pPr>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指标解释</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指标说明</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分值</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ind w:left="105" w:leftChars="50" w:right="105" w:rightChars="50"/>
              <w:jc w:val="center"/>
              <w:rPr>
                <w:rFonts w:ascii="仿宋_GB2312" w:eastAsia="仿宋_GB2312" w:hAnsiTheme="minorHAnsi" w:cstheme="minorBidi"/>
                <w:b/>
                <w:bCs/>
                <w:szCs w:val="21"/>
              </w:rPr>
            </w:pPr>
            <w:r>
              <w:rPr>
                <w:rFonts w:hint="eastAsia" w:ascii="仿宋_GB2312" w:eastAsia="仿宋_GB2312" w:hAnsiTheme="minorHAnsi" w:cstheme="minorBidi"/>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投   入</w:t>
            </w: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目标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设定</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绩效目标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合理性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部门所设立的整体绩效目标依据是否充分，是否符合客观实际，用以反映和考核部门整体绩效目标与部门履职、年度工作任务的相符性情况。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是否符合国家法律法规、国民经济和社会发展总体规划；</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是否符合部门“三定”方案确定的职责；</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③</w:t>
            </w:r>
            <w:r>
              <w:rPr>
                <w:rFonts w:hint="eastAsia" w:ascii="仿宋_GB2312" w:eastAsia="仿宋_GB2312" w:hAnsiTheme="minorHAnsi" w:cstheme="minorBidi"/>
                <w:szCs w:val="21"/>
              </w:rPr>
              <w:t>是否符合部门制定的中长期实施规划。</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绩效指标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明确性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部门依据整体绩效目标所设定的绩效指标是否清晰、细化、可衡量，用以反映和考核部门整体绩效目标的明细化情况。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是否将部门整体的绩效目标细化分解为具体的工作任务；</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 xml:space="preserve">是否通过清晰、可衡量的指标值予以体现。    </w:t>
            </w:r>
            <w:r>
              <w:rPr>
                <w:rFonts w:hint="eastAsia" w:ascii="仿宋_GB2312" w:hAnsi="宋体" w:eastAsia="仿宋_GB2312" w:cs="宋体"/>
                <w:szCs w:val="21"/>
              </w:rPr>
              <w:t>③</w:t>
            </w:r>
            <w:r>
              <w:rPr>
                <w:rFonts w:hint="eastAsia" w:ascii="仿宋_GB2312" w:eastAsia="仿宋_GB2312" w:hAnsiTheme="minorHAnsi" w:cstheme="minorBidi"/>
                <w:szCs w:val="21"/>
              </w:rPr>
              <w:t>是否与部门年度的任务数或计划数相对应；</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④</w:t>
            </w:r>
            <w:r>
              <w:rPr>
                <w:rFonts w:hint="eastAsia" w:ascii="仿宋_GB2312" w:eastAsia="仿宋_GB2312" w:hAnsiTheme="minorHAnsi" w:cstheme="minorBidi"/>
                <w:szCs w:val="21"/>
              </w:rPr>
              <w:t>是否与本年度部门预算资金相匹配。</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配置</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在职人员</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控制率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部门本年度实际在职人员数与编制数的比率，用以反映和考核部门对人员成本的控制程度。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在职人员控制率=（在职人员数/编制数）×100%。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在职人员数：部门实际在职人数，以财政部确定的部门决算编制口径为准。</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编制数：机构编制部门核定批复的部门的人员编制数。</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“三公经费”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变动率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部门本年度“三公经费”预算数与上年度“三公经费”预算数的变动比率，用以反映和考核部门对控制重点行政成本的努力程度。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“三公经费”变动率=[（本年度“三公经费”总额-上年度“三公经费”总额）/上年度“三公经费”总额]×100%。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“三公经费”：年度预算安排的因公出国（境）费、公务车辆购置及运行费和公务招待费。</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重点支出</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安排率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部门本年度预算安排的重点预算支出与部门预算总支出的比率，用以反映和考核部门对履行主要职责或完成重点任务的保障程度。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重点支出安排率=（重点预算支出/预算总支出）×100%。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重点预算支出：部门年度预算安排的，与本部门履职和发展密切相关、具有明显社会和经济影响、党委政府关心或社会比较关注的预算支出支出总额。</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预算总支出：部门年度预算安排的预算支出支出总额。</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   程</w:t>
            </w: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部门本年度预算完成数与预算数的比率，用以反映和考核部门预算完成程度。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预算执行率=（预算执行数/预算数）×100%。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预算执行数：部门本年度实际完成的预算数。</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预算数：财政部门批复的本年度部门预算数。</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调整率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部门本年度预算调整数与预算数的比率，用以反映和考核部门预算的调整程度。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预算调整率=（预算调整数/预算数）×100%。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预算调整数：部门在本年度内涉及预算的追加、追减或结构调整的资金总和（因落实国家政策、发生不可抗力、上级部门或本级党委政府临时交办而产生的调整除外）。</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支付</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进度率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部门实际支付进度与既定支付进度的比率，用以反映和考核部门预算执行的及时性和均衡性程度。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支付进度率=（实际支付进度/既定支付进度）×100%。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实际支付进度：部门在某一时点的支出预算执行总数与年度支出预算数的比率。</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既定支付进度：由部门在申报部门整体绩效目标时，参照序时支付进度、前三年支付进度、本级部门平均支付进度水平等确定的，在某一时点应达到的支付进度（比率）。</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结转</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结余率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部门本年度结转结余总额与支出预算数的比率，用以反映和考核部门对本年度结转结余资金的实际控制程度。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结转结余率=结转结余总额/支出预算数×100%。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结转结余总额：部门本年度的结转资金与结余资金之和（以决算数为准）。</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结转结余</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变动率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部门本年度结转结余资金总额与上年度结转结余资金总额的变动比率，用以反映和考核部门对控制结转结余资金的努力程度。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结转结余变动率=[（本年度累计结转结余资金总额-上年度累计结转结余资金总额）/上年度累计结转结余资金总额]×100%。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公用经费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控制率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部门本年度实际支出的公用经费总额与预算安排的公用经费总额的比率，用以反映和考核部门对机构运转成本的实际控制程度。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公用经费控制率=（实际支出公用经费总额/预算安排公用经费总额）×100%。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程</w:t>
            </w: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“三公经费”控制率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部门本年度“三公经费”实际支出数与预算安排数的比率，用以反映和考核部门对“三公经费”的实际控制程度。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“三公经费”控制率=（“三公经费”实际支出数/“三公经费”预算安排数）×100%。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政府采购</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执行率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部门本年度实际政府采购金额与年初政府采购预算的比率，用以反映和考核部门政府采购预算执行情况。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政府采购执行率=（实际政府采购金额/政府采购预算数）×100%；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 xml:space="preserve">政府采购预算：采购机关根据事业发展计划和行政任务编制的、并经过规定程序批准的年度政府采购计划。 </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管理制度</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健全性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部门为加强预算管理、规范财务行为而制定的管理制度是否健全完整，用以反映和考核部门预算管理制度对完成主要职责或促进事业发展的保障情况。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是否已制定或具有预算资金管理办法、内部财务管理制度、会计核算制度等管理制度；</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相关管理制度是否合法、合规、完整；</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③</w:t>
            </w:r>
            <w:r>
              <w:rPr>
                <w:rFonts w:hint="eastAsia" w:ascii="仿宋_GB2312" w:eastAsia="仿宋_GB2312" w:hAnsiTheme="minorHAnsi" w:cstheme="minorBidi"/>
                <w:szCs w:val="21"/>
              </w:rPr>
              <w:t>相关管理制度是否得到有效执行。</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6</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资金使用</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合规性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部门使用预算资金是否符合相关的预算财务管理制度的规定，用以反映和考核部门预算资金的规范运行情况。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是否符合国家财经法规和财务管理制度规定以及有关预算支出管理办法的规定；</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资金的拨付是否有完整的审批程序和手续；</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③</w:t>
            </w:r>
            <w:r>
              <w:rPr>
                <w:rFonts w:hint="eastAsia" w:ascii="仿宋_GB2312" w:eastAsia="仿宋_GB2312" w:hAnsiTheme="minorHAnsi" w:cstheme="minorBidi"/>
                <w:szCs w:val="21"/>
              </w:rPr>
              <w:t>预算支出的重大开支是否经过评估论证；</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④</w:t>
            </w:r>
            <w:r>
              <w:rPr>
                <w:rFonts w:hint="eastAsia" w:ascii="仿宋_GB2312" w:eastAsia="仿宋_GB2312" w:hAnsiTheme="minorHAnsi" w:cstheme="minorBidi"/>
                <w:szCs w:val="21"/>
              </w:rPr>
              <w:t>是否符合部门预算批复的用途；</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⑤</w:t>
            </w:r>
            <w:r>
              <w:rPr>
                <w:rFonts w:hint="eastAsia" w:ascii="仿宋_GB2312" w:eastAsia="仿宋_GB2312" w:hAnsiTheme="minorHAnsi" w:cstheme="minorBidi"/>
                <w:szCs w:val="21"/>
              </w:rPr>
              <w:t>是否存在截留、挤占、挪用、虚列支出等情况。</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预决算信</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息公开性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部门是否按照政府信息公开有关规定公开相关预决算信息，用以反映和考核部门预决算管理的公开透明情况。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是否按规定内容公开预决算信息；</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是否按规定时限公开预决算信息。</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预决算信息是指与部门预算、执行、决算、监督、绩效等管理相关的信息。</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过</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程</w:t>
            </w:r>
          </w:p>
        </w:tc>
        <w:tc>
          <w:tcPr>
            <w:tcW w:w="7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预算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基础信息</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完善性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部门基础信息是否完善，用以反映和考核基础信息对预算管理工作的支撑情况。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基础数据信息和会计信息资料是否真实；</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基础数据信息和会计信息资料是否完整；</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③</w:t>
            </w:r>
            <w:r>
              <w:rPr>
                <w:rFonts w:hint="eastAsia" w:ascii="仿宋_GB2312" w:eastAsia="仿宋_GB2312" w:hAnsiTheme="minorHAnsi" w:cstheme="minorBidi"/>
                <w:szCs w:val="21"/>
              </w:rPr>
              <w:t>基础数据信息和会计信息资料是否准确。</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资产</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管理制度</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健全性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部门为加强资产管理、规范资产管理行为而制定的管理制度是否健全完整，用以反映和考核部门资产管理制度对完成主要职责或促进社会发展的保障情况。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 xml:space="preserve">是否已制定或具有资产管理制度；           </w:t>
            </w:r>
            <w:r>
              <w:rPr>
                <w:rFonts w:hint="eastAsia" w:ascii="仿宋_GB2312" w:hAnsi="宋体" w:eastAsia="仿宋_GB2312" w:cs="宋体"/>
                <w:szCs w:val="21"/>
              </w:rPr>
              <w:t>②</w:t>
            </w:r>
            <w:r>
              <w:rPr>
                <w:rFonts w:hint="eastAsia" w:ascii="仿宋_GB2312" w:eastAsia="仿宋_GB2312" w:hAnsiTheme="minorHAnsi" w:cstheme="minorBidi"/>
                <w:szCs w:val="21"/>
              </w:rPr>
              <w:t>相关资金管理制度是否合法、合规、完整；</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③</w:t>
            </w:r>
            <w:r>
              <w:rPr>
                <w:rFonts w:hint="eastAsia" w:ascii="仿宋_GB2312" w:eastAsia="仿宋_GB2312" w:hAnsiTheme="minorHAnsi" w:cstheme="minorBidi"/>
                <w:szCs w:val="21"/>
              </w:rPr>
              <w:t>相关资产管理制度是否得到有效执行。</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管理</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资产管理</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安全性</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部门的资产是否保存完整、使用合规、配置合理、处置规范、收入及时足额上缴，用以反映和考核部门资产安全运行情况。</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评价要点：</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①</w:t>
            </w:r>
            <w:r>
              <w:rPr>
                <w:rFonts w:hint="eastAsia" w:ascii="仿宋_GB2312" w:eastAsia="仿宋_GB2312" w:hAnsiTheme="minorHAnsi" w:cstheme="minorBidi"/>
                <w:szCs w:val="21"/>
              </w:rPr>
              <w:t>资产保存是否完整；</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②</w:t>
            </w:r>
            <w:r>
              <w:rPr>
                <w:rFonts w:hint="eastAsia" w:ascii="仿宋_GB2312" w:eastAsia="仿宋_GB2312" w:hAnsiTheme="minorHAnsi" w:cstheme="minorBidi"/>
                <w:szCs w:val="21"/>
              </w:rPr>
              <w:t>资产配置是否合理；</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③</w:t>
            </w:r>
            <w:r>
              <w:rPr>
                <w:rFonts w:hint="eastAsia" w:ascii="仿宋_GB2312" w:eastAsia="仿宋_GB2312" w:hAnsiTheme="minorHAnsi" w:cstheme="minorBidi"/>
                <w:szCs w:val="21"/>
              </w:rPr>
              <w:t>资产处置是否规范；</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hAnsi="宋体" w:eastAsia="仿宋_GB2312" w:cs="宋体"/>
                <w:szCs w:val="21"/>
              </w:rPr>
              <w:t>④</w:t>
            </w:r>
            <w:r>
              <w:rPr>
                <w:rFonts w:hint="eastAsia" w:ascii="仿宋_GB2312" w:eastAsia="仿宋_GB2312" w:hAnsiTheme="minorHAnsi" w:cstheme="minorBidi"/>
                <w:szCs w:val="21"/>
              </w:rPr>
              <w:t>资产账务管理是否合规，是否帐实相符；</w:t>
            </w:r>
          </w:p>
          <w:p>
            <w:pPr>
              <w:spacing w:line="320" w:lineRule="exact"/>
              <w:ind w:left="105" w:leftChars="50" w:right="105" w:rightChars="50"/>
              <w:rPr>
                <w:rFonts w:ascii="仿宋_GB2312" w:eastAsia="仿宋_GB2312" w:hAnsiTheme="minorHAnsi" w:cstheme="minorBidi"/>
                <w:szCs w:val="21"/>
              </w:rPr>
            </w:pPr>
            <w:r>
              <w:rPr>
                <w:rFonts w:hint="eastAsia" w:ascii="仿宋_GB2312" w:hAnsi="宋体" w:eastAsia="仿宋_GB2312" w:cs="宋体"/>
                <w:szCs w:val="21"/>
              </w:rPr>
              <w:t>⑤</w:t>
            </w:r>
            <w:r>
              <w:rPr>
                <w:rFonts w:hint="eastAsia" w:ascii="仿宋_GB2312" w:eastAsia="仿宋_GB2312" w:hAnsiTheme="minorHAnsi" w:cstheme="minorBidi"/>
                <w:szCs w:val="21"/>
              </w:rPr>
              <w:t>资产是否有偿使用及处置收入及时足额上缴。</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16</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固定资产</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利用率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部门实际在用固定资产总额与所有固定资产总额的比率，用以反映和考核部门固定资产使用效率程度。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固定资产利用率=（实际在用固定资产总额/所有固定资产总额）×100%。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产   出</w:t>
            </w:r>
          </w:p>
        </w:tc>
        <w:tc>
          <w:tcPr>
            <w:tcW w:w="7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职责</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履行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实际</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完成率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部门履行职责而实际完成工作数与计划工作数的比率，用以反映和考核部门履职工作任务目标的实现程度。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实际完成率=（实际完成工作数/计划工作数）×100%。</w:t>
            </w:r>
          </w:p>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实际完成工作数：一定时期（年度或规划期）内部门实际完成工作任务的数量。</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计划工作数：部门整体绩效目标确定的一定时期（年度或规划期）内预计完成工作任务的数量。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47"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ind w:left="113"/>
              <w:jc w:val="center"/>
              <w:rPr>
                <w:rFonts w:ascii="仿宋_GB2312" w:eastAsia="仿宋_GB2312" w:hAnsiTheme="minorHAnsi" w:cstheme="minorBidi"/>
                <w:szCs w:val="21"/>
              </w:rPr>
            </w:pPr>
            <w:r>
              <w:rPr>
                <w:rFonts w:hint="eastAsia" w:ascii="仿宋_GB2312" w:eastAsia="仿宋_GB2312" w:hAnsiTheme="minorHAnsi" w:cstheme="minorBidi"/>
                <w:szCs w:val="21"/>
              </w:rPr>
              <w:t>产   出</w:t>
            </w: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职责</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履行</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完成</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及时率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部门在规定时限内及时完成的实际工作数与计划工作数的比率,用以反映和考核部门履职时效目标的实现程度。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完成及时率=（及时完成实际工作数/计划工作数）×100%。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及时完成实际工作数：部门按照整体绩效目标确定的时限实际完成的工作任务数量。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质量</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达标率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达到质量标准（绩效标准值）的实际工作数与计划工作数的比率,用以反映和考核部门履职质量目标的实现程度。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质量达标率=（质量达标实际工作数/计划工作数）×100%。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质量达标实际工作数：一定时期（年度或规划期）内部门实际完成工作数中达到部门绩效目标要求（绩效标准值）的工作任务数量。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重点工作</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办结率</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部门年度重点工作实际完成数与交办或下达数的比率，用以反映部门对重点工作的办理落实程度。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重点工作办结率=（重点工作实际完成数/交办或下达数）×100%。</w:t>
            </w:r>
          </w:p>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重点工作是指党委、政府、人大、相关部门交办或下达的工作任务。</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效   果</w:t>
            </w:r>
          </w:p>
        </w:tc>
        <w:tc>
          <w:tcPr>
            <w:tcW w:w="7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hint="eastAsia" w:ascii="仿宋_GB2312" w:eastAsia="仿宋_GB2312" w:hAnsiTheme="minorHAnsi" w:cstheme="minorBidi"/>
                <w:szCs w:val="21"/>
                <w:lang w:eastAsia="zh-CN"/>
              </w:rPr>
            </w:pPr>
            <w:r>
              <w:rPr>
                <w:rFonts w:hint="eastAsia" w:ascii="仿宋_GB2312" w:eastAsia="仿宋_GB2312" w:hAnsiTheme="minorHAnsi" w:cstheme="minorBidi"/>
                <w:szCs w:val="21"/>
              </w:rPr>
              <w:t>履职</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效益</w:t>
            </w: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经济效益</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部门履行职责对经济发展所带来的直接或间接影响。</w:t>
            </w:r>
          </w:p>
        </w:tc>
        <w:tc>
          <w:tcPr>
            <w:tcW w:w="3347"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此三项指标为设置部门整体支出绩效评价指标时必须考虑的共性要素，可根据部门实际并结合部门整体支出绩效目标设立情况有选择的进行设置，并将其细化为相应的个性化指标。</w:t>
            </w:r>
          </w:p>
        </w:tc>
        <w:tc>
          <w:tcPr>
            <w:tcW w:w="791"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c>
          <w:tcPr>
            <w:tcW w:w="791"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社会效益</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部门履行职责对社会发展所带来的直接或间接影响。</w:t>
            </w:r>
          </w:p>
        </w:tc>
        <w:tc>
          <w:tcPr>
            <w:tcW w:w="33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91" w:type="dxa"/>
            <w:vMerge w:val="continue"/>
            <w:tcBorders>
              <w:left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91" w:type="dxa"/>
            <w:vMerge w:val="continue"/>
            <w:tcBorders>
              <w:left w:val="single" w:color="auto" w:sz="4" w:space="0"/>
              <w:right w:val="single" w:color="auto" w:sz="4" w:space="0"/>
            </w:tcBorders>
            <w:vAlign w:val="center"/>
          </w:tcPr>
          <w:p>
            <w:pPr>
              <w:widowControl/>
              <w:jc w:val="left"/>
              <w:rPr>
                <w:rFonts w:ascii="仿宋_GB2312" w:eastAsia="仿宋_GB2312" w:hAnsiTheme="minorHAnsi"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生态效益</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部门履行职责对生态环境所带来的直接或间接影响。</w:t>
            </w:r>
          </w:p>
        </w:tc>
        <w:tc>
          <w:tcPr>
            <w:tcW w:w="33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91"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91"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社会公众</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或服务对</w:t>
            </w:r>
          </w:p>
          <w:p>
            <w:pPr>
              <w:spacing w:line="320" w:lineRule="exact"/>
              <w:jc w:val="center"/>
              <w:rPr>
                <w:rFonts w:ascii="仿宋_GB2312" w:eastAsia="仿宋_GB2312" w:hAnsiTheme="minorHAnsi" w:cstheme="minorBidi"/>
                <w:szCs w:val="21"/>
              </w:rPr>
            </w:pPr>
            <w:r>
              <w:rPr>
                <w:rFonts w:hint="eastAsia" w:ascii="仿宋_GB2312" w:eastAsia="仿宋_GB2312" w:hAnsiTheme="minorHAnsi" w:cstheme="minorBidi"/>
                <w:szCs w:val="21"/>
              </w:rPr>
              <w:t>象满意度</w:t>
            </w: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r>
              <w:rPr>
                <w:rFonts w:hint="eastAsia" w:ascii="仿宋_GB2312" w:eastAsia="仿宋_GB2312" w:hAnsiTheme="minorHAnsi" w:cstheme="minorBidi"/>
                <w:szCs w:val="21"/>
              </w:rPr>
              <w:t>社会公众或部门的服务对象对部门履职效果的满意程度。</w:t>
            </w: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社会公众或服务对象是指部门履行职责而影响到的部门、群体或个人。一般采取社会调查的方式。</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r>
              <w:rPr>
                <w:rFonts w:hint="eastAsia" w:ascii="仿宋_GB2312" w:eastAsia="仿宋_GB2312" w:hAnsiTheme="minorHAnsi" w:cstheme="minorBidi"/>
                <w:szCs w:val="21"/>
              </w:rPr>
              <w:t>合计</w:t>
            </w:r>
          </w:p>
        </w:tc>
        <w:tc>
          <w:tcPr>
            <w:tcW w:w="7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hAnsiTheme="minorHAnsi" w:cstheme="minorBidi"/>
                <w:szCs w:val="21"/>
              </w:rPr>
            </w:pPr>
          </w:p>
        </w:tc>
        <w:tc>
          <w:tcPr>
            <w:tcW w:w="8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jc w:val="center"/>
              <w:rPr>
                <w:rFonts w:ascii="仿宋_GB2312" w:eastAsia="仿宋_GB2312" w:hAnsiTheme="minorHAnsi" w:cstheme="minorBidi"/>
                <w:szCs w:val="21"/>
              </w:rPr>
            </w:pPr>
          </w:p>
        </w:tc>
        <w:tc>
          <w:tcPr>
            <w:tcW w:w="196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hAnsiTheme="minorHAnsi" w:cstheme="minorBidi"/>
                <w:szCs w:val="21"/>
              </w:rPr>
            </w:pPr>
          </w:p>
        </w:tc>
        <w:tc>
          <w:tcPr>
            <w:tcW w:w="334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100</w:t>
            </w:r>
          </w:p>
        </w:tc>
        <w:tc>
          <w:tcPr>
            <w:tcW w:w="7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320" w:lineRule="exact"/>
              <w:ind w:left="105" w:leftChars="50" w:right="105" w:rightChars="50"/>
              <w:rPr>
                <w:rFonts w:ascii="仿宋_GB2312" w:eastAsia="仿宋_GB2312" w:hAnsiTheme="minorHAnsi" w:cstheme="minorBidi"/>
                <w:szCs w:val="21"/>
              </w:rPr>
            </w:pPr>
            <w:r>
              <w:rPr>
                <w:rFonts w:hint="eastAsia" w:ascii="仿宋_GB2312" w:eastAsia="仿宋_GB2312" w:hAnsiTheme="minorHAnsi" w:cstheme="minorBidi"/>
                <w:szCs w:val="21"/>
              </w:rPr>
              <w:t>97.3</w:t>
            </w:r>
          </w:p>
        </w:tc>
      </w:tr>
    </w:tbl>
    <w:p>
      <w:pPr>
        <w:rPr>
          <w:rFonts w:ascii="Times New Roman" w:hAnsi="Times New Roman"/>
        </w:rPr>
      </w:pPr>
    </w:p>
    <w:p>
      <w:pPr>
        <w:spacing w:line="600" w:lineRule="exact"/>
        <w:rPr>
          <w:rFonts w:ascii="宋体" w:hAnsi="宋体" w:cs="宋体"/>
          <w:kern w:val="0"/>
          <w:sz w:val="32"/>
          <w:szCs w:val="32"/>
        </w:rPr>
      </w:pPr>
      <w:r>
        <w:rPr>
          <w:rFonts w:asciiTheme="minorHAnsi" w:hAnsiTheme="minorHAnsi" w:eastAsiaTheme="minorEastAsia" w:cstheme="minorBidi"/>
          <w:szCs w:val="22"/>
        </w:rPr>
        <w:br w:type="page"/>
      </w:r>
    </w:p>
    <w:p>
      <w:pPr>
        <w:adjustRightInd w:val="0"/>
        <w:spacing w:line="600" w:lineRule="exact"/>
        <w:ind w:right="641"/>
        <w:rPr>
          <w:rFonts w:ascii="黑体" w:eastAsia="黑体"/>
          <w:sz w:val="30"/>
          <w:szCs w:val="30"/>
        </w:rPr>
      </w:pPr>
      <w:r>
        <w:rPr>
          <w:rFonts w:hint="eastAsia" w:ascii="黑体" w:eastAsia="黑体"/>
          <w:sz w:val="32"/>
          <w:szCs w:val="32"/>
        </w:rPr>
        <w:t>附件2</w:t>
      </w:r>
    </w:p>
    <w:p>
      <w:pPr>
        <w:spacing w:line="560" w:lineRule="exact"/>
        <w:jc w:val="center"/>
        <w:rPr>
          <w:rFonts w:eastAsia="方正小标宋_GBK"/>
          <w:sz w:val="30"/>
          <w:szCs w:val="30"/>
        </w:rPr>
      </w:pPr>
      <w:r>
        <w:rPr>
          <w:rFonts w:hint="eastAsia" w:eastAsia="方正小标宋_GBK"/>
          <w:sz w:val="30"/>
          <w:szCs w:val="30"/>
        </w:rPr>
        <w:t>部门整体支出绩效评价报告</w:t>
      </w:r>
    </w:p>
    <w:p>
      <w:pPr>
        <w:pStyle w:val="10"/>
        <w:numPr>
          <w:ilvl w:val="0"/>
          <w:numId w:val="0"/>
        </w:numPr>
        <w:spacing w:line="560" w:lineRule="exact"/>
        <w:ind w:firstLine="600" w:firstLineChars="200"/>
        <w:rPr>
          <w:rFonts w:eastAsia="黑体"/>
          <w:sz w:val="30"/>
          <w:szCs w:val="30"/>
        </w:rPr>
      </w:pPr>
      <w:r>
        <w:rPr>
          <w:rFonts w:hint="eastAsia" w:eastAsia="黑体"/>
          <w:sz w:val="30"/>
          <w:szCs w:val="30"/>
          <w:lang w:val="en-US" w:eastAsia="zh-CN"/>
        </w:rPr>
        <w:t>一、</w:t>
      </w:r>
      <w:r>
        <w:rPr>
          <w:rFonts w:hint="eastAsia" w:eastAsia="黑体"/>
          <w:sz w:val="30"/>
          <w:szCs w:val="30"/>
        </w:rPr>
        <w:t>部门、单位基本情况</w:t>
      </w:r>
    </w:p>
    <w:p>
      <w:pPr>
        <w:pStyle w:val="5"/>
        <w:shd w:val="clear" w:color="auto" w:fill="FFFFFF"/>
        <w:spacing w:before="0" w:beforeAutospacing="0" w:after="0" w:afterAutospacing="0" w:line="560" w:lineRule="exact"/>
        <w:ind w:firstLine="640"/>
        <w:rPr>
          <w:rFonts w:hint="eastAsia"/>
          <w:sz w:val="30"/>
          <w:szCs w:val="30"/>
        </w:rPr>
      </w:pPr>
      <w:r>
        <w:rPr>
          <w:rFonts w:hint="eastAsia"/>
          <w:sz w:val="30"/>
          <w:szCs w:val="30"/>
        </w:rPr>
        <w:t>我单位是政府举办的非营利性公益一类教育服务单位，属县财政全额预算事业单位，现有在职工作人员</w:t>
      </w:r>
      <w:r>
        <w:rPr>
          <w:rFonts w:hint="eastAsia"/>
          <w:sz w:val="30"/>
          <w:szCs w:val="30"/>
          <w:lang w:val="en-US" w:eastAsia="zh-CN"/>
        </w:rPr>
        <w:t>27</w:t>
      </w:r>
      <w:r>
        <w:rPr>
          <w:rFonts w:hint="eastAsia"/>
          <w:sz w:val="30"/>
          <w:szCs w:val="30"/>
        </w:rPr>
        <w:t>人，其中专业技术人员</w:t>
      </w:r>
      <w:r>
        <w:rPr>
          <w:rFonts w:hint="eastAsia"/>
          <w:sz w:val="30"/>
          <w:szCs w:val="30"/>
          <w:lang w:val="en-US" w:eastAsia="zh-CN"/>
        </w:rPr>
        <w:t xml:space="preserve"> 27</w:t>
      </w:r>
      <w:r>
        <w:rPr>
          <w:rFonts w:hint="eastAsia"/>
          <w:sz w:val="30"/>
          <w:szCs w:val="30"/>
        </w:rPr>
        <w:t>人。</w:t>
      </w:r>
      <w:r>
        <w:rPr>
          <w:rFonts w:ascii="宋体" w:hAnsi="宋体" w:eastAsia="宋体" w:cs="宋体"/>
          <w:color w:val="000000"/>
          <w:sz w:val="32"/>
          <w:szCs w:val="32"/>
        </w:rPr>
        <w:t>内设机构4个，分别为：</w:t>
      </w:r>
      <w:r>
        <w:rPr>
          <w:rFonts w:hint="eastAsia" w:ascii="宋体" w:hAnsi="宋体" w:eastAsia="宋体" w:cs="宋体"/>
          <w:color w:val="000000"/>
          <w:sz w:val="32"/>
          <w:szCs w:val="32"/>
        </w:rPr>
        <w:t>校长室，办公室，财务室、工会活动室</w:t>
      </w:r>
      <w:r>
        <w:rPr>
          <w:rFonts w:hint="eastAsia"/>
          <w:color w:val="000000"/>
          <w:sz w:val="30"/>
          <w:szCs w:val="30"/>
        </w:rPr>
        <w:t>。</w:t>
      </w:r>
      <w:r>
        <w:rPr>
          <w:rFonts w:hint="eastAsia"/>
          <w:sz w:val="30"/>
          <w:szCs w:val="30"/>
        </w:rPr>
        <w:t>主要职责是</w:t>
      </w:r>
      <w:r>
        <w:rPr>
          <w:rFonts w:hint="eastAsia"/>
          <w:color w:val="000000"/>
          <w:sz w:val="30"/>
          <w:szCs w:val="30"/>
        </w:rPr>
        <w:t>贯彻落实党和国家关于教育工作的方针、政策和法律法规；协助县教育局</w:t>
      </w:r>
      <w:r>
        <w:rPr>
          <w:rFonts w:hint="eastAsia"/>
          <w:color w:val="000000"/>
          <w:sz w:val="30"/>
          <w:szCs w:val="30"/>
          <w:lang w:val="en-US" w:eastAsia="zh-CN"/>
        </w:rPr>
        <w:t>及镇中心学校</w:t>
      </w:r>
      <w:r>
        <w:rPr>
          <w:rFonts w:hint="eastAsia"/>
          <w:color w:val="000000"/>
          <w:sz w:val="30"/>
          <w:szCs w:val="30"/>
        </w:rPr>
        <w:t>管理全校教育教学工作；负责</w:t>
      </w:r>
      <w:r>
        <w:rPr>
          <w:rFonts w:hint="eastAsia"/>
          <w:color w:val="000000"/>
          <w:sz w:val="30"/>
          <w:szCs w:val="30"/>
          <w:lang w:val="en-US" w:eastAsia="zh-CN"/>
        </w:rPr>
        <w:t>学校</w:t>
      </w:r>
      <w:r>
        <w:rPr>
          <w:rFonts w:hint="eastAsia"/>
          <w:color w:val="000000"/>
          <w:sz w:val="30"/>
          <w:szCs w:val="30"/>
        </w:rPr>
        <w:t>教育基本信息的统计分析；负责指导并监督</w:t>
      </w:r>
      <w:r>
        <w:rPr>
          <w:rFonts w:hint="eastAsia"/>
          <w:color w:val="000000"/>
          <w:sz w:val="30"/>
          <w:szCs w:val="30"/>
          <w:lang w:val="en-US" w:eastAsia="zh-CN"/>
        </w:rPr>
        <w:t>全校教师教育教学工作及</w:t>
      </w:r>
      <w:r>
        <w:rPr>
          <w:rFonts w:hint="eastAsia"/>
          <w:color w:val="000000"/>
          <w:sz w:val="30"/>
          <w:szCs w:val="30"/>
        </w:rPr>
        <w:t>学校教育教学经费使用；完成上级交办的其他工作等。</w:t>
      </w:r>
    </w:p>
    <w:p>
      <w:pPr>
        <w:pStyle w:val="10"/>
        <w:spacing w:line="560" w:lineRule="exact"/>
        <w:ind w:left="0" w:leftChars="0" w:firstLine="600" w:firstLineChars="200"/>
        <w:rPr>
          <w:rFonts w:eastAsia="黑体"/>
          <w:sz w:val="30"/>
          <w:szCs w:val="30"/>
        </w:rPr>
      </w:pPr>
      <w:r>
        <w:rPr>
          <w:rFonts w:hint="eastAsia" w:eastAsia="黑体"/>
          <w:sz w:val="30"/>
          <w:szCs w:val="30"/>
        </w:rPr>
        <w:t>二、一般公共预算支出情况</w:t>
      </w:r>
    </w:p>
    <w:p>
      <w:pPr>
        <w:pStyle w:val="10"/>
        <w:spacing w:line="560" w:lineRule="exact"/>
        <w:ind w:left="640" w:firstLine="0" w:firstLineChars="0"/>
        <w:rPr>
          <w:rFonts w:eastAsia="黑体"/>
          <w:sz w:val="30"/>
          <w:szCs w:val="30"/>
        </w:rPr>
      </w:pPr>
      <w:r>
        <w:rPr>
          <w:rFonts w:hint="eastAsia" w:eastAsia="黑体"/>
          <w:sz w:val="30"/>
          <w:szCs w:val="30"/>
        </w:rPr>
        <w:t>（一）基本支出情况</w:t>
      </w:r>
    </w:p>
    <w:p>
      <w:pPr>
        <w:widowControl/>
        <w:spacing w:line="560" w:lineRule="exact"/>
        <w:ind w:firstLine="645"/>
        <w:jc w:val="left"/>
        <w:rPr>
          <w:rFonts w:hint="default" w:eastAsia="仿宋_GB2312"/>
          <w:sz w:val="30"/>
          <w:szCs w:val="30"/>
          <w:lang w:val="en-US" w:eastAsia="zh-CN"/>
        </w:rPr>
      </w:pPr>
      <w:r>
        <w:rPr>
          <w:rFonts w:hint="eastAsia" w:eastAsia="仿宋_GB2312"/>
          <w:sz w:val="30"/>
          <w:szCs w:val="30"/>
          <w:lang w:eastAsia="zh-CN"/>
        </w:rPr>
        <w:t>2023年</w:t>
      </w:r>
      <w:r>
        <w:rPr>
          <w:rFonts w:hint="eastAsia" w:eastAsia="仿宋_GB2312"/>
          <w:sz w:val="30"/>
          <w:szCs w:val="30"/>
        </w:rPr>
        <w:t>本单位基本支出</w:t>
      </w:r>
      <w:r>
        <w:rPr>
          <w:rFonts w:hint="eastAsia" w:ascii="宋体" w:hAnsi="宋体" w:cs="宋体"/>
          <w:sz w:val="30"/>
          <w:szCs w:val="30"/>
          <w:lang w:val="en-US" w:eastAsia="zh-CN"/>
        </w:rPr>
        <w:t>409.01</w:t>
      </w:r>
      <w:r>
        <w:rPr>
          <w:rFonts w:hint="eastAsia" w:eastAsia="仿宋_GB2312"/>
          <w:sz w:val="30"/>
          <w:szCs w:val="30"/>
        </w:rPr>
        <w:t>万元。全年用于工资福利支出</w:t>
      </w:r>
      <w:r>
        <w:rPr>
          <w:rFonts w:hint="eastAsia" w:ascii="宋体" w:hAnsi="宋体" w:cs="宋体"/>
          <w:sz w:val="30"/>
          <w:szCs w:val="30"/>
          <w:lang w:val="en-US" w:eastAsia="zh-CN"/>
        </w:rPr>
        <w:t>352.48</w:t>
      </w:r>
      <w:r>
        <w:rPr>
          <w:rFonts w:hint="eastAsia" w:eastAsia="仿宋_GB2312"/>
          <w:sz w:val="30"/>
          <w:szCs w:val="30"/>
        </w:rPr>
        <w:t>万元，用来支付单位职工的基本工资，绩效工资、社会保障费、住房公积金及临聘人员工资；商品服务支出</w:t>
      </w:r>
      <w:r>
        <w:rPr>
          <w:rFonts w:hint="eastAsia" w:ascii="宋体" w:hAnsi="宋体" w:cs="宋体"/>
          <w:sz w:val="30"/>
          <w:szCs w:val="30"/>
          <w:lang w:val="en-US" w:eastAsia="zh-CN"/>
        </w:rPr>
        <w:t>25.29</w:t>
      </w:r>
      <w:r>
        <w:rPr>
          <w:rFonts w:hint="eastAsia" w:eastAsia="仿宋_GB2312"/>
          <w:sz w:val="30"/>
          <w:szCs w:val="30"/>
        </w:rPr>
        <w:t>万元，用来支付单位日常公用支出；对个人和家庭的补助支出</w:t>
      </w:r>
      <w:r>
        <w:rPr>
          <w:rFonts w:hint="eastAsia" w:ascii="宋体" w:hAnsi="宋体" w:cs="宋体"/>
          <w:sz w:val="30"/>
          <w:szCs w:val="30"/>
          <w:lang w:val="en-US" w:eastAsia="zh-CN"/>
        </w:rPr>
        <w:t>25.24</w:t>
      </w:r>
      <w:r>
        <w:rPr>
          <w:rFonts w:hint="eastAsia" w:eastAsia="仿宋_GB2312"/>
          <w:sz w:val="30"/>
          <w:szCs w:val="30"/>
        </w:rPr>
        <w:t>万元</w:t>
      </w:r>
      <w:r>
        <w:rPr>
          <w:rFonts w:hint="eastAsia" w:eastAsia="仿宋_GB2312"/>
          <w:sz w:val="30"/>
          <w:szCs w:val="30"/>
          <w:lang w:eastAsia="zh-CN"/>
        </w:rPr>
        <w:t>；</w:t>
      </w:r>
      <w:r>
        <w:rPr>
          <w:rFonts w:hint="eastAsia" w:eastAsia="仿宋_GB2312"/>
          <w:sz w:val="30"/>
          <w:szCs w:val="30"/>
          <w:lang w:val="en-US" w:eastAsia="zh-CN"/>
        </w:rPr>
        <w:t>资本性支出6万元。</w:t>
      </w:r>
    </w:p>
    <w:p>
      <w:pPr>
        <w:widowControl/>
        <w:spacing w:line="560" w:lineRule="exact"/>
        <w:ind w:firstLine="645"/>
        <w:jc w:val="left"/>
        <w:rPr>
          <w:rFonts w:eastAsia="仿宋_GB2312"/>
          <w:sz w:val="30"/>
          <w:szCs w:val="30"/>
        </w:rPr>
      </w:pPr>
      <w:r>
        <w:rPr>
          <w:rFonts w:hint="eastAsia" w:eastAsia="仿宋_GB2312"/>
          <w:sz w:val="30"/>
          <w:szCs w:val="30"/>
          <w:lang w:eastAsia="zh-CN"/>
        </w:rPr>
        <w:t>2023年</w:t>
      </w:r>
      <w:r>
        <w:rPr>
          <w:rFonts w:hint="eastAsia" w:eastAsia="仿宋_GB2312"/>
          <w:sz w:val="30"/>
          <w:szCs w:val="30"/>
        </w:rPr>
        <w:t>我单位“三公”经费支出</w:t>
      </w:r>
      <w:r>
        <w:rPr>
          <w:rFonts w:hint="eastAsia" w:eastAsia="仿宋_GB2312"/>
          <w:sz w:val="30"/>
          <w:szCs w:val="30"/>
          <w:lang w:val="en-US" w:eastAsia="zh-CN"/>
        </w:rPr>
        <w:t>0</w:t>
      </w:r>
      <w:r>
        <w:rPr>
          <w:rFonts w:hint="eastAsia" w:eastAsia="仿宋_GB2312"/>
          <w:sz w:val="30"/>
          <w:szCs w:val="30"/>
        </w:rPr>
        <w:t>万元。</w:t>
      </w:r>
    </w:p>
    <w:p>
      <w:pPr>
        <w:pStyle w:val="10"/>
        <w:spacing w:line="560" w:lineRule="exact"/>
        <w:ind w:left="640" w:firstLine="0" w:firstLineChars="0"/>
        <w:rPr>
          <w:rFonts w:eastAsia="黑体"/>
          <w:sz w:val="30"/>
          <w:szCs w:val="30"/>
        </w:rPr>
      </w:pPr>
      <w:r>
        <w:rPr>
          <w:rFonts w:hint="eastAsia" w:eastAsia="黑体"/>
          <w:sz w:val="30"/>
          <w:szCs w:val="30"/>
        </w:rPr>
        <w:t>（二）项目支出情况</w:t>
      </w:r>
    </w:p>
    <w:p>
      <w:pPr>
        <w:adjustRightInd w:val="0"/>
        <w:snapToGrid w:val="0"/>
        <w:spacing w:line="600" w:lineRule="exact"/>
        <w:ind w:firstLine="600" w:firstLineChars="200"/>
        <w:rPr>
          <w:rFonts w:hint="default" w:eastAsia="仿宋_GB2312"/>
          <w:sz w:val="30"/>
          <w:szCs w:val="30"/>
          <w:lang w:val="en-US"/>
        </w:rPr>
      </w:pPr>
      <w:r>
        <w:rPr>
          <w:rFonts w:hint="eastAsia" w:eastAsia="仿宋_GB2312"/>
          <w:sz w:val="30"/>
          <w:szCs w:val="30"/>
          <w:lang w:eastAsia="zh-CN"/>
        </w:rPr>
        <w:t>2023年</w:t>
      </w:r>
      <w:r>
        <w:rPr>
          <w:rFonts w:hint="eastAsia" w:eastAsia="仿宋_GB2312"/>
          <w:sz w:val="30"/>
          <w:szCs w:val="30"/>
          <w:lang w:val="en-US" w:eastAsia="zh-CN"/>
        </w:rPr>
        <w:t>本单位项目支出0万元。</w:t>
      </w:r>
    </w:p>
    <w:p>
      <w:pPr>
        <w:pStyle w:val="10"/>
        <w:spacing w:line="560" w:lineRule="exact"/>
        <w:ind w:left="640" w:firstLine="0" w:firstLineChars="0"/>
        <w:rPr>
          <w:rFonts w:eastAsia="黑体"/>
          <w:sz w:val="30"/>
          <w:szCs w:val="30"/>
        </w:rPr>
      </w:pPr>
      <w:r>
        <w:rPr>
          <w:rFonts w:hint="eastAsia" w:eastAsia="黑体"/>
          <w:sz w:val="30"/>
          <w:szCs w:val="30"/>
        </w:rPr>
        <w:t>三、政府性基金预算支出情况</w:t>
      </w:r>
      <w:bookmarkStart w:id="1" w:name="_GoBack"/>
      <w:bookmarkEnd w:id="1"/>
    </w:p>
    <w:p>
      <w:pPr>
        <w:adjustRightInd w:val="0"/>
        <w:snapToGrid w:val="0"/>
        <w:spacing w:line="600" w:lineRule="exact"/>
        <w:ind w:firstLine="600" w:firstLineChars="200"/>
        <w:rPr>
          <w:rFonts w:eastAsia="仿宋_GB2312"/>
          <w:sz w:val="30"/>
          <w:szCs w:val="30"/>
        </w:rPr>
      </w:pPr>
      <w:r>
        <w:rPr>
          <w:rFonts w:hint="eastAsia" w:eastAsia="仿宋_GB2312"/>
          <w:sz w:val="30"/>
          <w:szCs w:val="30"/>
          <w:lang w:eastAsia="zh-CN"/>
        </w:rPr>
        <w:t>2023年</w:t>
      </w:r>
      <w:r>
        <w:rPr>
          <w:rFonts w:hint="eastAsia" w:eastAsia="仿宋_GB2312"/>
          <w:sz w:val="30"/>
          <w:szCs w:val="30"/>
        </w:rPr>
        <w:t>本单位无政府性基金预算支出。</w:t>
      </w:r>
    </w:p>
    <w:p>
      <w:pPr>
        <w:pStyle w:val="10"/>
        <w:spacing w:line="560" w:lineRule="exact"/>
        <w:ind w:left="640" w:firstLine="0" w:firstLineChars="0"/>
        <w:rPr>
          <w:rFonts w:eastAsia="黑体"/>
          <w:sz w:val="30"/>
          <w:szCs w:val="30"/>
        </w:rPr>
      </w:pPr>
      <w:r>
        <w:rPr>
          <w:rFonts w:hint="eastAsia" w:eastAsia="黑体"/>
          <w:sz w:val="30"/>
          <w:szCs w:val="30"/>
        </w:rPr>
        <w:t>四、国有资本经营预算支出情况</w:t>
      </w:r>
    </w:p>
    <w:p>
      <w:pPr>
        <w:pStyle w:val="10"/>
        <w:spacing w:line="560" w:lineRule="exact"/>
        <w:ind w:left="640" w:firstLine="0" w:firstLineChars="0"/>
        <w:rPr>
          <w:rFonts w:eastAsia="黑体"/>
          <w:sz w:val="30"/>
          <w:szCs w:val="30"/>
        </w:rPr>
      </w:pPr>
      <w:r>
        <w:rPr>
          <w:rFonts w:hint="eastAsia" w:ascii="Calibri" w:hAnsi="Calibri" w:eastAsia="仿宋_GB2312"/>
          <w:sz w:val="30"/>
          <w:szCs w:val="30"/>
          <w:lang w:eastAsia="zh-CN"/>
        </w:rPr>
        <w:t>2023年</w:t>
      </w:r>
      <w:r>
        <w:rPr>
          <w:rFonts w:hint="eastAsia" w:ascii="Calibri" w:hAnsi="Calibri" w:eastAsia="仿宋_GB2312"/>
          <w:sz w:val="30"/>
          <w:szCs w:val="30"/>
        </w:rPr>
        <w:t>本单位无国有资本经营预算支出。</w:t>
      </w:r>
    </w:p>
    <w:p>
      <w:pPr>
        <w:pStyle w:val="10"/>
        <w:spacing w:line="560" w:lineRule="exact"/>
        <w:ind w:left="640" w:firstLine="0" w:firstLineChars="0"/>
        <w:rPr>
          <w:rFonts w:eastAsia="黑体"/>
          <w:sz w:val="30"/>
          <w:szCs w:val="30"/>
        </w:rPr>
      </w:pPr>
      <w:r>
        <w:rPr>
          <w:rFonts w:hint="eastAsia" w:eastAsia="黑体"/>
          <w:sz w:val="30"/>
          <w:szCs w:val="30"/>
        </w:rPr>
        <w:t>五、社会保险基金预算支出情况</w:t>
      </w:r>
    </w:p>
    <w:p>
      <w:pPr>
        <w:pStyle w:val="10"/>
        <w:spacing w:line="560" w:lineRule="exact"/>
        <w:ind w:left="640" w:firstLine="0" w:firstLineChars="0"/>
        <w:rPr>
          <w:rFonts w:eastAsia="黑体"/>
          <w:sz w:val="30"/>
          <w:szCs w:val="30"/>
        </w:rPr>
      </w:pPr>
      <w:r>
        <w:rPr>
          <w:rFonts w:hint="eastAsia" w:ascii="Calibri" w:hAnsi="Calibri" w:eastAsia="仿宋_GB2312"/>
          <w:sz w:val="30"/>
          <w:szCs w:val="30"/>
          <w:lang w:eastAsia="zh-CN"/>
        </w:rPr>
        <w:t>2023年</w:t>
      </w:r>
      <w:r>
        <w:rPr>
          <w:rFonts w:hint="eastAsia" w:ascii="Calibri" w:hAnsi="Calibri" w:eastAsia="仿宋_GB2312"/>
          <w:sz w:val="30"/>
          <w:szCs w:val="30"/>
        </w:rPr>
        <w:t>本单位无社会保险基金预算支出。</w:t>
      </w:r>
    </w:p>
    <w:p>
      <w:pPr>
        <w:widowControl/>
        <w:spacing w:line="560" w:lineRule="exact"/>
        <w:ind w:firstLine="645"/>
        <w:jc w:val="left"/>
        <w:rPr>
          <w:rFonts w:ascii="Times New Roman" w:hAnsi="Times New Roman" w:eastAsia="黑体"/>
          <w:sz w:val="30"/>
          <w:szCs w:val="30"/>
        </w:rPr>
      </w:pPr>
      <w:r>
        <w:rPr>
          <w:rFonts w:hint="eastAsia" w:eastAsia="黑体"/>
          <w:sz w:val="30"/>
          <w:szCs w:val="30"/>
        </w:rPr>
        <w:t>六、部门整体支出绩效情况</w:t>
      </w:r>
    </w:p>
    <w:p>
      <w:pPr>
        <w:adjustRightInd w:val="0"/>
        <w:snapToGrid w:val="0"/>
        <w:spacing w:line="600" w:lineRule="exact"/>
        <w:ind w:firstLine="600" w:firstLineChars="200"/>
        <w:rPr>
          <w:rFonts w:hint="eastAsia" w:eastAsia="仿宋_GB2312"/>
          <w:sz w:val="30"/>
          <w:szCs w:val="30"/>
        </w:rPr>
      </w:pPr>
      <w:r>
        <w:rPr>
          <w:rFonts w:hint="eastAsia" w:eastAsia="仿宋_GB2312"/>
          <w:sz w:val="30"/>
          <w:szCs w:val="30"/>
          <w:lang w:eastAsia="zh-CN"/>
        </w:rPr>
        <w:t>2023年</w:t>
      </w:r>
      <w:r>
        <w:rPr>
          <w:rFonts w:hint="eastAsia" w:eastAsia="仿宋_GB2312"/>
          <w:sz w:val="30"/>
          <w:szCs w:val="30"/>
        </w:rPr>
        <w:t>，</w:t>
      </w:r>
      <w:r>
        <w:rPr>
          <w:rFonts w:hint="eastAsia" w:eastAsia="仿宋_GB2312"/>
          <w:sz w:val="30"/>
          <w:szCs w:val="30"/>
          <w:lang w:eastAsia="zh-CN"/>
        </w:rPr>
        <w:t>邵阳县罗城乡初级中学</w:t>
      </w:r>
      <w:r>
        <w:rPr>
          <w:rFonts w:hint="eastAsia" w:eastAsia="仿宋_GB2312"/>
          <w:sz w:val="30"/>
          <w:szCs w:val="30"/>
        </w:rPr>
        <w:t>把强化工作责任心，提高工作质量，优化工作态度，各科室工作按照年初的计划有序的开展，办事效益进一步提高，服务态度进一步优化。基本支出严格按年初预算执行，特别是严控“三公经费”支出，“三公经费”支出</w:t>
      </w:r>
      <w:r>
        <w:rPr>
          <w:rFonts w:hint="eastAsia" w:eastAsia="仿宋_GB2312"/>
          <w:sz w:val="30"/>
          <w:szCs w:val="30"/>
          <w:lang w:val="en-US" w:eastAsia="zh-CN"/>
        </w:rPr>
        <w:t>0元</w:t>
      </w:r>
      <w:r>
        <w:rPr>
          <w:rFonts w:hint="eastAsia" w:eastAsia="仿宋_GB2312"/>
          <w:sz w:val="30"/>
          <w:szCs w:val="30"/>
        </w:rPr>
        <w:t>。进一步规范资金使用，把好“支出关”。单位经费开支按预算和单位财务管理制度执行，基本支出做到不铺张浪费，开源节流。推进预算等重要信息的公开透明，</w:t>
      </w:r>
      <w:r>
        <w:rPr>
          <w:rFonts w:hint="eastAsia" w:eastAsia="仿宋_GB2312"/>
          <w:sz w:val="30"/>
          <w:szCs w:val="30"/>
          <w:lang w:eastAsia="zh-CN"/>
        </w:rPr>
        <w:t>本年</w:t>
      </w:r>
      <w:r>
        <w:rPr>
          <w:rFonts w:hint="eastAsia" w:eastAsia="仿宋_GB2312"/>
          <w:sz w:val="30"/>
          <w:szCs w:val="30"/>
        </w:rPr>
        <w:t>度在网站上公开部门预算信息，做到主动接受社会公众的监督。</w:t>
      </w:r>
    </w:p>
    <w:p>
      <w:pPr>
        <w:adjustRightInd w:val="0"/>
        <w:snapToGrid w:val="0"/>
        <w:spacing w:line="600" w:lineRule="exact"/>
        <w:ind w:firstLine="600" w:firstLineChars="200"/>
        <w:rPr>
          <w:rFonts w:hint="eastAsia" w:eastAsia="仿宋_GB2312"/>
          <w:sz w:val="30"/>
          <w:szCs w:val="30"/>
        </w:rPr>
      </w:pPr>
      <w:r>
        <w:rPr>
          <w:rFonts w:hint="eastAsia" w:eastAsia="仿宋_GB2312"/>
          <w:sz w:val="30"/>
          <w:szCs w:val="30"/>
        </w:rPr>
        <w:t>本年度我单位部门整体支出综合评价情况良好，预算配置、执行、管理、资产管理、绩效管理、职责履行执行及完成情况良好，社会公众或服务对象满意度较高，整体支出绩效评为良好。</w:t>
      </w:r>
    </w:p>
    <w:p>
      <w:pPr>
        <w:pStyle w:val="10"/>
        <w:spacing w:line="560" w:lineRule="exact"/>
        <w:ind w:left="640" w:firstLine="0" w:firstLineChars="0"/>
        <w:rPr>
          <w:rFonts w:eastAsia="黑体"/>
          <w:sz w:val="30"/>
          <w:szCs w:val="30"/>
        </w:rPr>
      </w:pPr>
      <w:r>
        <w:rPr>
          <w:rFonts w:hint="eastAsia" w:eastAsia="黑体"/>
          <w:sz w:val="30"/>
          <w:szCs w:val="30"/>
        </w:rPr>
        <w:t>七、存在的问题及原因分析</w:t>
      </w:r>
    </w:p>
    <w:p>
      <w:pPr>
        <w:adjustRightInd w:val="0"/>
        <w:snapToGrid w:val="0"/>
        <w:spacing w:line="600" w:lineRule="exact"/>
        <w:ind w:firstLine="600" w:firstLineChars="200"/>
        <w:rPr>
          <w:rFonts w:hint="eastAsia" w:eastAsia="仿宋_GB2312"/>
          <w:sz w:val="30"/>
          <w:szCs w:val="30"/>
        </w:rPr>
      </w:pPr>
      <w:r>
        <w:rPr>
          <w:rFonts w:hint="eastAsia" w:eastAsia="仿宋_GB2312"/>
          <w:sz w:val="30"/>
          <w:szCs w:val="30"/>
        </w:rPr>
        <w:t>对于绩效评价的认识不够深入，实际工作中存在把预算绩效简单等同于工作目标、工作考核，绩效目标和指标往往根据项目实际完成情况制定，对项目执行过程有效约束不够，存在一定的偏差。</w:t>
      </w:r>
    </w:p>
    <w:p>
      <w:pPr>
        <w:widowControl/>
        <w:spacing w:line="560" w:lineRule="exact"/>
        <w:ind w:firstLine="600" w:firstLineChars="200"/>
        <w:jc w:val="left"/>
        <w:rPr>
          <w:rFonts w:hint="eastAsia" w:eastAsia="黑体"/>
          <w:sz w:val="30"/>
          <w:szCs w:val="30"/>
        </w:rPr>
      </w:pPr>
      <w:r>
        <w:rPr>
          <w:rFonts w:hint="eastAsia" w:eastAsia="黑体"/>
          <w:sz w:val="30"/>
          <w:szCs w:val="30"/>
        </w:rPr>
        <w:t>八、下一步改进措施</w:t>
      </w:r>
    </w:p>
    <w:p>
      <w:pPr>
        <w:spacing w:line="600" w:lineRule="exact"/>
        <w:ind w:firstLine="600" w:firstLineChars="200"/>
        <w:rPr>
          <w:rFonts w:eastAsia="仿宋_GB2312"/>
          <w:sz w:val="30"/>
          <w:szCs w:val="30"/>
        </w:rPr>
      </w:pPr>
      <w:r>
        <w:rPr>
          <w:rFonts w:hint="eastAsia" w:eastAsia="仿宋_GB2312"/>
          <w:sz w:val="30"/>
          <w:szCs w:val="30"/>
        </w:rPr>
        <w:t>进一步完善、明确和细化各项费用支出管理制度，严格控制各项费用。加强与财政的沟通协调，提升财政资金使用效率。规范绩效评价管理资料的收集整理，确保相关信息完整、可靠，客观公正地反映资金实际使用和产生的绩效状况。</w:t>
      </w:r>
    </w:p>
    <w:p>
      <w:pPr>
        <w:widowControl/>
        <w:spacing w:line="560" w:lineRule="exact"/>
        <w:ind w:firstLine="645"/>
        <w:jc w:val="left"/>
        <w:rPr>
          <w:rFonts w:eastAsia="黑体"/>
          <w:sz w:val="30"/>
          <w:szCs w:val="30"/>
        </w:rPr>
      </w:pPr>
      <w:r>
        <w:rPr>
          <w:rFonts w:hint="eastAsia" w:eastAsia="黑体"/>
          <w:sz w:val="30"/>
          <w:szCs w:val="30"/>
        </w:rPr>
        <w:t>九、其他需要说明的情况</w:t>
      </w:r>
    </w:p>
    <w:p>
      <w:pPr>
        <w:widowControl/>
        <w:spacing w:line="560" w:lineRule="exact"/>
        <w:ind w:firstLine="1500" w:firstLineChars="500"/>
        <w:jc w:val="left"/>
        <w:rPr>
          <w:rFonts w:hint="eastAsia" w:eastAsia="仿宋_GB2312"/>
          <w:sz w:val="30"/>
          <w:szCs w:val="30"/>
        </w:rPr>
      </w:pPr>
      <w:r>
        <w:rPr>
          <w:rFonts w:hint="eastAsia" w:eastAsia="仿宋_GB2312"/>
          <w:sz w:val="30"/>
          <w:szCs w:val="30"/>
        </w:rPr>
        <w:t>无</w:t>
      </w:r>
    </w:p>
    <w:p>
      <w:pPr>
        <w:widowControl/>
        <w:spacing w:line="560" w:lineRule="exact"/>
        <w:ind w:firstLine="320" w:firstLineChars="100"/>
        <w:jc w:val="left"/>
        <w:rPr>
          <w:rFonts w:hint="eastAsia" w:eastAsia="仿宋_GB2312"/>
          <w:sz w:val="32"/>
          <w:szCs w:val="32"/>
          <w:lang w:val="en-US" w:eastAsia="zh-CN"/>
        </w:rPr>
      </w:pPr>
      <w:r>
        <w:rPr>
          <w:rFonts w:hint="eastAsia" w:eastAsia="仿宋_GB2312"/>
          <w:sz w:val="32"/>
          <w:szCs w:val="32"/>
          <w:lang w:val="en-US" w:eastAsia="zh-CN"/>
        </w:rPr>
        <w:t xml:space="preserve">                            2024年4月11日</w:t>
      </w: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hint="eastAsia" w:eastAsia="仿宋_GB2312"/>
          <w:sz w:val="32"/>
          <w:szCs w:val="32"/>
        </w:rPr>
      </w:pPr>
    </w:p>
    <w:p>
      <w:pPr>
        <w:widowControl/>
        <w:spacing w:line="560" w:lineRule="exact"/>
        <w:ind w:firstLine="645"/>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widowControl/>
        <w:spacing w:line="560"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rPr>
        <w:t>、项目支出绩效自评表（每个一级项目支出一张表）</w:t>
      </w:r>
    </w:p>
    <w:p>
      <w:pPr>
        <w:widowControl/>
        <w:spacing w:line="56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、政府性基金预算支出情况表</w:t>
      </w:r>
    </w:p>
    <w:p>
      <w:pPr>
        <w:widowControl/>
        <w:spacing w:line="560" w:lineRule="exact"/>
        <w:ind w:firstLine="640" w:firstLineChars="200"/>
        <w:jc w:val="left"/>
        <w:rPr>
          <w:rFonts w:eastAsia="仿宋_GB2312"/>
          <w:sz w:val="32"/>
          <w:szCs w:val="32"/>
        </w:rPr>
      </w:pPr>
      <w:r>
        <w:rPr>
          <w:rFonts w:eastAsia="仿宋_GB2312"/>
          <w:sz w:val="32"/>
          <w:szCs w:val="32"/>
        </w:rPr>
        <w:t>5</w:t>
      </w:r>
      <w:r>
        <w:rPr>
          <w:rFonts w:hint="eastAsia" w:eastAsia="仿宋_GB2312"/>
          <w:sz w:val="32"/>
          <w:szCs w:val="32"/>
        </w:rPr>
        <w:t>、国有资本经营预算支出情况表</w:t>
      </w:r>
    </w:p>
    <w:p>
      <w:pPr>
        <w:widowControl/>
        <w:spacing w:line="560" w:lineRule="exact"/>
        <w:ind w:firstLine="640" w:firstLineChars="200"/>
        <w:jc w:val="left"/>
        <w:rPr>
          <w:rFonts w:eastAsia="仿宋_GB2312"/>
          <w:sz w:val="32"/>
          <w:szCs w:val="32"/>
        </w:rPr>
      </w:pPr>
      <w:r>
        <w:rPr>
          <w:rFonts w:eastAsia="仿宋_GB2312"/>
          <w:sz w:val="32"/>
          <w:szCs w:val="32"/>
        </w:rPr>
        <w:t>6</w:t>
      </w:r>
      <w:r>
        <w:rPr>
          <w:rFonts w:hint="eastAsia" w:eastAsia="仿宋_GB2312"/>
          <w:sz w:val="32"/>
          <w:szCs w:val="32"/>
        </w:rPr>
        <w:t>、社会保险基金预算支出情况表</w:t>
      </w:r>
    </w:p>
    <w:p>
      <w:pPr>
        <w:spacing w:line="600" w:lineRule="exact"/>
        <w:ind w:firstLine="640" w:firstLineChars="200"/>
        <w:rPr>
          <w:rFonts w:eastAsia="黑体"/>
          <w:sz w:val="32"/>
          <w:szCs w:val="32"/>
        </w:rPr>
      </w:pPr>
    </w:p>
    <w:p>
      <w:pPr>
        <w:rPr>
          <w:rFonts w:ascii="黑体" w:eastAsia="黑体"/>
          <w:sz w:val="32"/>
          <w:szCs w:val="32"/>
        </w:rPr>
      </w:pPr>
      <w:r>
        <w:rPr>
          <w:rFonts w:eastAsia="黑体"/>
          <w:kern w:val="0"/>
          <w:sz w:val="32"/>
          <w:szCs w:val="32"/>
        </w:rPr>
        <w:br w:type="page"/>
      </w: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hint="eastAsia" w:ascii="宋体" w:hAnsi="宋体"/>
          <w:sz w:val="44"/>
          <w:szCs w:val="44"/>
        </w:rPr>
      </w:pPr>
    </w:p>
    <w:p>
      <w:pPr>
        <w:jc w:val="center"/>
        <w:rPr>
          <w:rFonts w:ascii="宋体" w:hAnsi="宋体"/>
          <w:sz w:val="44"/>
          <w:szCs w:val="44"/>
        </w:rPr>
      </w:pPr>
      <w:r>
        <w:rPr>
          <w:rFonts w:hint="eastAsia" w:ascii="宋体" w:hAnsi="宋体"/>
          <w:sz w:val="44"/>
          <w:szCs w:val="44"/>
        </w:rPr>
        <w:t>邵阳县</w:t>
      </w:r>
      <w:r>
        <w:rPr>
          <w:rFonts w:hint="eastAsia" w:ascii="宋体" w:hAnsi="宋体"/>
          <w:sz w:val="44"/>
          <w:szCs w:val="44"/>
          <w:lang w:eastAsia="zh-CN"/>
        </w:rPr>
        <w:t>2023年</w:t>
      </w:r>
      <w:r>
        <w:rPr>
          <w:rFonts w:hint="eastAsia" w:ascii="宋体" w:hAnsi="宋体"/>
          <w:sz w:val="44"/>
          <w:szCs w:val="44"/>
        </w:rPr>
        <w:t xml:space="preserve">度部门整体支出绩效自评报告   </w:t>
      </w:r>
    </w:p>
    <w:p>
      <w:pPr>
        <w:jc w:val="center"/>
        <w:rPr>
          <w:rFonts w:ascii="宋体" w:hAnsi="宋体"/>
          <w:sz w:val="44"/>
          <w:szCs w:val="44"/>
        </w:rPr>
      </w:pPr>
    </w:p>
    <w:p>
      <w:pPr>
        <w:spacing w:line="600" w:lineRule="exact"/>
        <w:rPr>
          <w:sz w:val="36"/>
        </w:rPr>
      </w:pPr>
    </w:p>
    <w:p>
      <w:pPr>
        <w:spacing w:line="600" w:lineRule="exact"/>
        <w:rPr>
          <w:rFonts w:hint="eastAsia"/>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ind w:firstLine="643" w:firstLineChars="200"/>
        <w:rPr>
          <w:rFonts w:hint="default"/>
          <w:b/>
          <w:bCs/>
          <w:sz w:val="32"/>
          <w:szCs w:val="32"/>
          <w:u w:val="single"/>
          <w:lang w:val="en-US" w:eastAsia="zh-CN"/>
        </w:rPr>
      </w:pPr>
      <w:r>
        <w:rPr>
          <w:rFonts w:hint="eastAsia"/>
          <w:b/>
          <w:bCs/>
          <w:sz w:val="32"/>
          <w:szCs w:val="32"/>
        </w:rPr>
        <w:t xml:space="preserve">自评单位：  </w:t>
      </w:r>
      <w:r>
        <w:rPr>
          <w:rFonts w:hint="eastAsia"/>
          <w:b/>
          <w:bCs/>
          <w:sz w:val="32"/>
          <w:szCs w:val="32"/>
          <w:u w:val="single"/>
        </w:rPr>
        <w:t>　</w:t>
      </w:r>
      <w:r>
        <w:rPr>
          <w:rFonts w:hint="eastAsia"/>
          <w:b/>
          <w:bCs/>
          <w:sz w:val="32"/>
          <w:szCs w:val="32"/>
          <w:u w:val="single"/>
          <w:lang w:val="en-US" w:eastAsia="zh-CN"/>
        </w:rPr>
        <w:t xml:space="preserve">邵阳县罗城乡初级中学  </w:t>
      </w:r>
    </w:p>
    <w:p>
      <w:pPr>
        <w:spacing w:line="600" w:lineRule="exact"/>
        <w:rPr>
          <w:rFonts w:hint="eastAsia"/>
          <w:b/>
          <w:bCs/>
          <w:sz w:val="32"/>
          <w:szCs w:val="32"/>
          <w:u w:val="single"/>
          <w:lang w:val="en-US" w:eastAsia="zh-CN"/>
        </w:rPr>
      </w:pPr>
    </w:p>
    <w:p>
      <w:pPr>
        <w:spacing w:line="600" w:lineRule="exact"/>
        <w:rPr>
          <w:rFonts w:hint="eastAsia"/>
        </w:rPr>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日期：202</w:t>
      </w:r>
      <w:r>
        <w:rPr>
          <w:rFonts w:hint="eastAsia" w:ascii="楷体" w:hAnsi="楷体" w:eastAsia="楷体" w:cs="楷体"/>
          <w:sz w:val="36"/>
          <w:lang w:val="en-US" w:eastAsia="zh-CN"/>
        </w:rPr>
        <w:t>4</w:t>
      </w:r>
      <w:r>
        <w:rPr>
          <w:rFonts w:hint="eastAsia" w:ascii="楷体" w:hAnsi="楷体" w:eastAsia="楷体" w:cs="楷体"/>
          <w:sz w:val="36"/>
        </w:rPr>
        <w:t>年</w:t>
      </w:r>
      <w:r>
        <w:rPr>
          <w:rFonts w:hint="eastAsia" w:ascii="楷体" w:hAnsi="楷体" w:eastAsia="楷体" w:cs="楷体"/>
          <w:sz w:val="36"/>
          <w:lang w:val="en-US" w:eastAsia="zh-CN"/>
        </w:rPr>
        <w:t>4</w:t>
      </w:r>
      <w:r>
        <w:rPr>
          <w:rFonts w:hint="eastAsia" w:ascii="楷体" w:hAnsi="楷体" w:eastAsia="楷体" w:cs="楷体"/>
          <w:sz w:val="36"/>
        </w:rPr>
        <w:t>月</w:t>
      </w:r>
      <w:r>
        <w:rPr>
          <w:rFonts w:hint="eastAsia" w:ascii="楷体" w:hAnsi="楷体" w:eastAsia="楷体" w:cs="楷体"/>
          <w:sz w:val="36"/>
          <w:lang w:val="en-US" w:eastAsia="zh-CN"/>
        </w:rPr>
        <w:t>11</w:t>
      </w:r>
      <w:r>
        <w:rPr>
          <w:rFonts w:hint="eastAsia" w:ascii="楷体" w:hAnsi="楷体" w:eastAsia="楷体" w:cs="楷体"/>
          <w:sz w:val="36"/>
        </w:rPr>
        <w:t>日</w:t>
      </w:r>
    </w:p>
    <w:p>
      <w:pPr>
        <w:spacing w:line="600" w:lineRule="exact"/>
        <w:rPr>
          <w:rFonts w:hint="eastAsia" w:eastAsia="仿宋_GB2312"/>
          <w:sz w:val="28"/>
          <w:szCs w:val="28"/>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ascii="宋体" w:hAnsi="宋体" w:cs="宋体"/>
          <w:sz w:val="44"/>
          <w:szCs w:val="44"/>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件4</w:t>
      </w:r>
    </w:p>
    <w:p>
      <w:pPr>
        <w:jc w:val="center"/>
        <w:rPr>
          <w:sz w:val="36"/>
          <w:szCs w:val="36"/>
        </w:rPr>
      </w:pPr>
      <w:r>
        <w:rPr>
          <w:rFonts w:hint="eastAsia"/>
          <w:sz w:val="36"/>
          <w:szCs w:val="36"/>
          <w:u w:val="single"/>
          <w:lang w:val="en-US" w:eastAsia="zh-CN"/>
        </w:rPr>
        <w:t>邵阳县罗城乡初级中学</w:t>
      </w:r>
      <w:r>
        <w:rPr>
          <w:rFonts w:hint="eastAsia"/>
          <w:sz w:val="36"/>
          <w:szCs w:val="36"/>
        </w:rPr>
        <w:t>单位履行职责情况调查问卷</w:t>
      </w:r>
    </w:p>
    <w:p>
      <w:pPr>
        <w:jc w:val="center"/>
        <w:rPr>
          <w:rFonts w:hint="default" w:ascii="楷体" w:hAnsi="楷体" w:eastAsia="楷体" w:cs="楷体"/>
          <w:sz w:val="28"/>
          <w:szCs w:val="28"/>
          <w:lang w:val="en-US" w:eastAsia="zh-CN"/>
        </w:rPr>
      </w:pPr>
      <w:r>
        <w:rPr>
          <w:rFonts w:hint="eastAsia" w:ascii="楷体" w:hAnsi="楷体" w:eastAsia="楷体" w:cs="楷体"/>
          <w:sz w:val="28"/>
          <w:szCs w:val="28"/>
        </w:rPr>
        <w:t>单位：</w:t>
      </w:r>
      <w:r>
        <w:rPr>
          <w:rFonts w:hint="eastAsia" w:ascii="楷体" w:hAnsi="楷体" w:eastAsia="楷体" w:cs="楷体"/>
          <w:sz w:val="28"/>
          <w:szCs w:val="28"/>
          <w:lang w:val="en-US" w:eastAsia="zh-CN"/>
        </w:rPr>
        <w:t>罗城乡初级中学</w:t>
      </w:r>
      <w:r>
        <w:rPr>
          <w:rFonts w:hint="eastAsia" w:ascii="楷体" w:hAnsi="楷体" w:eastAsia="楷体" w:cs="楷体"/>
          <w:sz w:val="28"/>
          <w:szCs w:val="28"/>
        </w:rPr>
        <w:t xml:space="preserve">  职业：教师       性别：</w:t>
      </w:r>
      <w:r>
        <w:rPr>
          <w:rFonts w:hint="eastAsia" w:ascii="楷体" w:hAnsi="楷体" w:eastAsia="楷体" w:cs="楷体"/>
          <w:sz w:val="28"/>
          <w:szCs w:val="28"/>
          <w:lang w:val="en-US" w:eastAsia="zh-CN"/>
        </w:rPr>
        <w:t>女</w:t>
      </w:r>
      <w:r>
        <w:rPr>
          <w:rFonts w:hint="eastAsia" w:ascii="楷体" w:hAnsi="楷体" w:eastAsia="楷体" w:cs="楷体"/>
          <w:sz w:val="28"/>
          <w:szCs w:val="28"/>
        </w:rPr>
        <w:t xml:space="preserve">       年龄：</w:t>
      </w:r>
      <w:r>
        <w:rPr>
          <w:rFonts w:hint="eastAsia" w:ascii="楷体" w:hAnsi="楷体" w:eastAsia="楷体" w:cs="楷体"/>
          <w:sz w:val="28"/>
          <w:szCs w:val="28"/>
          <w:lang w:val="en-US" w:eastAsia="zh-CN"/>
        </w:rPr>
        <w:t>29</w:t>
      </w:r>
    </w:p>
    <w:p>
      <w:pPr>
        <w:numPr>
          <w:ilvl w:val="0"/>
          <w:numId w:val="1"/>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你对该单位履行职责情况是否满意？（A）</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2"/>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你对该单位干部作风建设情况是否满意？（A）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3.你对该单位的“三公经费”使用是否满意？（A）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4.你对该单位的“信息公开”是否满意？（A）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5.你对该单位的办事效率是否满意？（A）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hint="eastAsia" w:ascii="仿宋" w:hAnsi="仿宋" w:eastAsia="仿宋" w:cs="仿宋"/>
          <w:sz w:val="32"/>
          <w:szCs w:val="32"/>
        </w:rPr>
      </w:pPr>
      <w:r>
        <w:rPr>
          <w:rFonts w:hint="eastAsia" w:ascii="仿宋" w:hAnsi="仿宋" w:eastAsia="仿宋" w:cs="仿宋"/>
          <w:sz w:val="32"/>
          <w:szCs w:val="32"/>
        </w:rPr>
        <w:t>6.你对该单位的服务态度是否满意？（A）</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3"/>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你对该单位对“公车”的管理是否满意？（A）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8.你对该单位的“固定资产”管理是否满意？（A）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9.你对该单位的项目（包括招投标、项目建设等）管理情况是否满意？（A）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10.你对该单位的党风廉政建设情况是否满意？（A）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11.你对该单位处理、解决群众所反映的问题是否满意？（A）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4"/>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你对该单位为民办实事的工作是否满意？（A）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13.你对该单位在落实政策、执行制度方面是否满意？（A）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14.你对该单位干部的敬业精神评价如何？（A）</w:t>
      </w:r>
    </w:p>
    <w:p>
      <w:pPr>
        <w:ind w:left="10" w:leftChars="5" w:firstLine="406" w:firstLineChars="127"/>
        <w:jc w:val="left"/>
        <w:rPr>
          <w:rFonts w:hint="eastAsia"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ascii="仿宋" w:hAnsi="仿宋" w:eastAsia="仿宋" w:cs="仿宋"/>
          <w:sz w:val="32"/>
          <w:szCs w:val="32"/>
        </w:rPr>
      </w:pPr>
    </w:p>
    <w:p>
      <w:pPr>
        <w:spacing w:line="0" w:lineRule="atLeast"/>
        <w:jc w:val="center"/>
        <w:rPr>
          <w:rFonts w:hint="eastAsia" w:eastAsia="方正小标宋_GBK"/>
          <w:kern w:val="0"/>
          <w:sz w:val="32"/>
          <w:szCs w:val="32"/>
        </w:rPr>
      </w:pPr>
    </w:p>
    <w:p>
      <w:pPr>
        <w:ind w:left="277" w:leftChars="132"/>
        <w:jc w:val="left"/>
        <w:rPr>
          <w:rFonts w:ascii="仿宋" w:hAnsi="仿宋" w:eastAsia="仿宋" w:cs="仿宋"/>
          <w:sz w:val="32"/>
          <w:szCs w:val="32"/>
        </w:rPr>
      </w:pPr>
    </w:p>
    <w:sectPr>
      <w:footerReference r:id="rId3" w:type="default"/>
      <w:footerReference r:id="rId4" w:type="even"/>
      <w:pgSz w:w="11905" w:h="16837"/>
      <w:pgMar w:top="1418" w:right="1418" w:bottom="1134"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sdtPr>
    <w:sdtContent>
      <w:p>
        <w:pPr>
          <w:pStyle w:val="3"/>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separate"/>
    </w:r>
    <w:r>
      <w:rPr>
        <w:rStyle w:val="9"/>
      </w:rPr>
      <w:t>4</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AD2DF"/>
    <w:multiLevelType w:val="singleLevel"/>
    <w:tmpl w:val="536AD2DF"/>
    <w:lvl w:ilvl="0" w:tentative="0">
      <w:start w:val="1"/>
      <w:numFmt w:val="decimal"/>
      <w:suff w:val="nothing"/>
      <w:lvlText w:val="%1."/>
      <w:lvlJc w:val="left"/>
    </w:lvl>
  </w:abstractNum>
  <w:abstractNum w:abstractNumId="1">
    <w:nsid w:val="536AD99E"/>
    <w:multiLevelType w:val="singleLevel"/>
    <w:tmpl w:val="536AD99E"/>
    <w:lvl w:ilvl="0" w:tentative="0">
      <w:start w:val="7"/>
      <w:numFmt w:val="decimal"/>
      <w:suff w:val="nothing"/>
      <w:lvlText w:val="%1."/>
      <w:lvlJc w:val="left"/>
    </w:lvl>
  </w:abstractNum>
  <w:abstractNum w:abstractNumId="2">
    <w:nsid w:val="536AEB9E"/>
    <w:multiLevelType w:val="singleLevel"/>
    <w:tmpl w:val="536AEB9E"/>
    <w:lvl w:ilvl="0" w:tentative="0">
      <w:start w:val="12"/>
      <w:numFmt w:val="decimal"/>
      <w:suff w:val="nothing"/>
      <w:lvlText w:val="%1."/>
      <w:lvlJc w:val="left"/>
    </w:lvl>
  </w:abstractNum>
  <w:abstractNum w:abstractNumId="3">
    <w:nsid w:val="536AF9FC"/>
    <w:multiLevelType w:val="singleLevel"/>
    <w:tmpl w:val="536AF9FC"/>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NzZjNWZjOWI1YjE5ZjIyZjA2NGI4NDExZGIwNWM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9465D"/>
    <w:rsid w:val="001B772D"/>
    <w:rsid w:val="001D59EB"/>
    <w:rsid w:val="002106FB"/>
    <w:rsid w:val="00253DD9"/>
    <w:rsid w:val="002616DB"/>
    <w:rsid w:val="00292D3A"/>
    <w:rsid w:val="00295B88"/>
    <w:rsid w:val="002A5C3D"/>
    <w:rsid w:val="002A6620"/>
    <w:rsid w:val="002B2D2E"/>
    <w:rsid w:val="002E3C7F"/>
    <w:rsid w:val="002E7CE5"/>
    <w:rsid w:val="002F5042"/>
    <w:rsid w:val="002F65FE"/>
    <w:rsid w:val="00332386"/>
    <w:rsid w:val="00332970"/>
    <w:rsid w:val="003355CD"/>
    <w:rsid w:val="0036796A"/>
    <w:rsid w:val="003B1FDB"/>
    <w:rsid w:val="003D2AD1"/>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93817"/>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C75D9"/>
    <w:rsid w:val="00AD58C8"/>
    <w:rsid w:val="00AE03E4"/>
    <w:rsid w:val="00AF1164"/>
    <w:rsid w:val="00AF6C78"/>
    <w:rsid w:val="00B2595B"/>
    <w:rsid w:val="00B260CD"/>
    <w:rsid w:val="00B265C7"/>
    <w:rsid w:val="00B30CBF"/>
    <w:rsid w:val="00B311B7"/>
    <w:rsid w:val="00B41963"/>
    <w:rsid w:val="00B510C4"/>
    <w:rsid w:val="00B53D76"/>
    <w:rsid w:val="00B81179"/>
    <w:rsid w:val="00B85F42"/>
    <w:rsid w:val="00BB4FEC"/>
    <w:rsid w:val="00BC3FA3"/>
    <w:rsid w:val="00BF35E4"/>
    <w:rsid w:val="00C035F5"/>
    <w:rsid w:val="00C16596"/>
    <w:rsid w:val="00C673FA"/>
    <w:rsid w:val="00CA77FB"/>
    <w:rsid w:val="00CC094F"/>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E7466"/>
    <w:rsid w:val="00FF4638"/>
    <w:rsid w:val="03BA01AE"/>
    <w:rsid w:val="055F72FC"/>
    <w:rsid w:val="05C63780"/>
    <w:rsid w:val="07061C60"/>
    <w:rsid w:val="07601F6F"/>
    <w:rsid w:val="080C026A"/>
    <w:rsid w:val="091C74D7"/>
    <w:rsid w:val="092550F0"/>
    <w:rsid w:val="09636F12"/>
    <w:rsid w:val="0B402ED3"/>
    <w:rsid w:val="0B595BEC"/>
    <w:rsid w:val="0D605FA4"/>
    <w:rsid w:val="0DAC1131"/>
    <w:rsid w:val="0F0351A9"/>
    <w:rsid w:val="0F686EA2"/>
    <w:rsid w:val="10125033"/>
    <w:rsid w:val="13063EC3"/>
    <w:rsid w:val="194621AC"/>
    <w:rsid w:val="1B844F7A"/>
    <w:rsid w:val="1C96001A"/>
    <w:rsid w:val="21486D67"/>
    <w:rsid w:val="22D70E01"/>
    <w:rsid w:val="26CA0729"/>
    <w:rsid w:val="26EC76C6"/>
    <w:rsid w:val="27654B82"/>
    <w:rsid w:val="279C010A"/>
    <w:rsid w:val="2ACD4C49"/>
    <w:rsid w:val="2B9C3577"/>
    <w:rsid w:val="2EF0518E"/>
    <w:rsid w:val="2F373F0A"/>
    <w:rsid w:val="2F465CE9"/>
    <w:rsid w:val="30133FEC"/>
    <w:rsid w:val="301467A7"/>
    <w:rsid w:val="313F0B0F"/>
    <w:rsid w:val="367E6347"/>
    <w:rsid w:val="376A7251"/>
    <w:rsid w:val="38170F5F"/>
    <w:rsid w:val="3F07230B"/>
    <w:rsid w:val="401A4DB7"/>
    <w:rsid w:val="40551718"/>
    <w:rsid w:val="41D96CAB"/>
    <w:rsid w:val="44AE371A"/>
    <w:rsid w:val="4750610E"/>
    <w:rsid w:val="48D77849"/>
    <w:rsid w:val="4A3A10A5"/>
    <w:rsid w:val="4A6A422A"/>
    <w:rsid w:val="4DC14C54"/>
    <w:rsid w:val="4FF21102"/>
    <w:rsid w:val="5025403F"/>
    <w:rsid w:val="512D283B"/>
    <w:rsid w:val="544E62B5"/>
    <w:rsid w:val="57965D12"/>
    <w:rsid w:val="590B7824"/>
    <w:rsid w:val="598A0134"/>
    <w:rsid w:val="5EE15247"/>
    <w:rsid w:val="611C2A4E"/>
    <w:rsid w:val="61ED0983"/>
    <w:rsid w:val="621A2785"/>
    <w:rsid w:val="62882906"/>
    <w:rsid w:val="6296592A"/>
    <w:rsid w:val="64653D4C"/>
    <w:rsid w:val="64821F10"/>
    <w:rsid w:val="679A6800"/>
    <w:rsid w:val="693971C8"/>
    <w:rsid w:val="693B1A2C"/>
    <w:rsid w:val="717E737E"/>
    <w:rsid w:val="746A3BEA"/>
    <w:rsid w:val="752D41F9"/>
    <w:rsid w:val="77F770D8"/>
    <w:rsid w:val="783F1A66"/>
    <w:rsid w:val="786A32D4"/>
    <w:rsid w:val="79816C15"/>
    <w:rsid w:val="7C916961"/>
    <w:rsid w:val="7E0E41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11">
    <w:name w:val="页脚 Char"/>
    <w:basedOn w:val="8"/>
    <w:link w:val="3"/>
    <w:qFormat/>
    <w:uiPriority w:val="99"/>
    <w:rPr>
      <w:kern w:val="2"/>
      <w:sz w:val="18"/>
      <w:szCs w:val="18"/>
    </w:rPr>
  </w:style>
  <w:style w:type="character" w:customStyle="1" w:styleId="12">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0F79F-F8CB-42A1-BBAB-4B7E0108915B}">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6621</Words>
  <Characters>7035</Characters>
  <Lines>31</Lines>
  <Paragraphs>25</Paragraphs>
  <TotalTime>22</TotalTime>
  <ScaleCrop>false</ScaleCrop>
  <LinksUpToDate>false</LinksUpToDate>
  <CharactersWithSpaces>7446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admin</cp:lastModifiedBy>
  <cp:lastPrinted>2023-04-12T03:02:00Z</cp:lastPrinted>
  <dcterms:modified xsi:type="dcterms:W3CDTF">2024-11-14T05:15:40Z</dcterms:modified>
  <dc:title>湖南省财政厅文件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92D9D86E09574AF19535AB89401C5028_13</vt:lpwstr>
  </property>
</Properties>
</file>