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B0C8">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39694758">
      <w:pPr>
        <w:rPr>
          <w:rFonts w:eastAsia="黑体"/>
          <w:sz w:val="44"/>
        </w:rPr>
      </w:pPr>
    </w:p>
    <w:p w14:paraId="738E54D1">
      <w:pPr>
        <w:rPr>
          <w:rFonts w:eastAsia="黑体"/>
          <w:sz w:val="44"/>
        </w:rPr>
      </w:pPr>
    </w:p>
    <w:p w14:paraId="5EB506A5">
      <w:pPr>
        <w:rPr>
          <w:rFonts w:eastAsia="黑体"/>
          <w:sz w:val="44"/>
        </w:rPr>
      </w:pPr>
    </w:p>
    <w:p w14:paraId="6147405D">
      <w:pPr>
        <w:jc w:val="center"/>
        <w:rPr>
          <w:rFonts w:ascii="宋体" w:hAnsi="宋体"/>
          <w:sz w:val="44"/>
          <w:szCs w:val="44"/>
        </w:rPr>
      </w:pPr>
    </w:p>
    <w:p w14:paraId="0C01299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年度部门整体支出</w:t>
      </w:r>
    </w:p>
    <w:p w14:paraId="364E26B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绩效自评报告   </w:t>
      </w:r>
    </w:p>
    <w:p w14:paraId="24A57A15">
      <w:pPr>
        <w:jc w:val="center"/>
        <w:rPr>
          <w:rFonts w:ascii="宋体" w:hAnsi="宋体"/>
          <w:sz w:val="44"/>
          <w:szCs w:val="44"/>
        </w:rPr>
      </w:pPr>
    </w:p>
    <w:p w14:paraId="1035642D">
      <w:pPr>
        <w:spacing w:line="600" w:lineRule="exact"/>
        <w:rPr>
          <w:sz w:val="36"/>
        </w:rPr>
      </w:pPr>
    </w:p>
    <w:p w14:paraId="78937418">
      <w:pPr>
        <w:spacing w:line="600" w:lineRule="exact"/>
        <w:rPr>
          <w:sz w:val="36"/>
        </w:rPr>
      </w:pPr>
    </w:p>
    <w:p w14:paraId="3382E1FE">
      <w:pPr>
        <w:spacing w:line="600" w:lineRule="exact"/>
        <w:rPr>
          <w:sz w:val="36"/>
        </w:rPr>
      </w:pPr>
    </w:p>
    <w:p w14:paraId="0E185563">
      <w:pPr>
        <w:spacing w:line="600" w:lineRule="exact"/>
        <w:rPr>
          <w:sz w:val="36"/>
        </w:rPr>
      </w:pPr>
    </w:p>
    <w:p w14:paraId="0943E187">
      <w:pPr>
        <w:spacing w:line="600" w:lineRule="exact"/>
        <w:rPr>
          <w:sz w:val="36"/>
        </w:rPr>
      </w:pPr>
    </w:p>
    <w:p w14:paraId="0F39C73E">
      <w:pPr>
        <w:spacing w:line="600" w:lineRule="exact"/>
        <w:rPr>
          <w:sz w:val="36"/>
        </w:rPr>
      </w:pPr>
    </w:p>
    <w:p w14:paraId="1FBA2537">
      <w:pPr>
        <w:spacing w:line="1000" w:lineRule="exact"/>
        <w:jc w:val="left"/>
        <w:rPr>
          <w:bCs/>
          <w:sz w:val="32"/>
          <w:szCs w:val="32"/>
          <w:u w:val="single"/>
        </w:rPr>
      </w:pPr>
      <w:r>
        <w:rPr>
          <w:rFonts w:hint="eastAsia"/>
          <w:sz w:val="36"/>
        </w:rPr>
        <w:t xml:space="preserve">    </w:t>
      </w:r>
      <w:r>
        <w:rPr>
          <w:rFonts w:hint="eastAsia"/>
          <w:b/>
          <w:bCs/>
          <w:sz w:val="32"/>
          <w:szCs w:val="32"/>
        </w:rPr>
        <w:t xml:space="preserve"> 自评单位：</w:t>
      </w:r>
      <w:r>
        <w:rPr>
          <w:rFonts w:hint="eastAsia"/>
          <w:b/>
          <w:bCs/>
          <w:sz w:val="32"/>
          <w:szCs w:val="32"/>
          <w:u w:val="single"/>
          <w:lang w:val="en-US" w:eastAsia="zh-CN"/>
        </w:rPr>
        <w:t>邵阳县芙蓉学校</w:t>
      </w:r>
      <w:r>
        <w:rPr>
          <w:rFonts w:hint="eastAsia"/>
          <w:bCs/>
          <w:sz w:val="32"/>
          <w:szCs w:val="32"/>
        </w:rPr>
        <w:t>（单位公章）</w:t>
      </w:r>
    </w:p>
    <w:p w14:paraId="4C4D3853">
      <w:pPr>
        <w:spacing w:line="600" w:lineRule="exact"/>
      </w:pPr>
    </w:p>
    <w:p w14:paraId="7269BC57">
      <w:pPr>
        <w:spacing w:line="600" w:lineRule="exact"/>
      </w:pPr>
    </w:p>
    <w:p w14:paraId="5CB279D5">
      <w:pPr>
        <w:spacing w:line="600" w:lineRule="exact"/>
      </w:pPr>
    </w:p>
    <w:p w14:paraId="45CEB6BC">
      <w:pPr>
        <w:spacing w:line="600" w:lineRule="exact"/>
      </w:pPr>
    </w:p>
    <w:p w14:paraId="0C174E50">
      <w:pPr>
        <w:spacing w:line="600" w:lineRule="exact"/>
      </w:pPr>
    </w:p>
    <w:p w14:paraId="066A5FB3">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04</w:t>
      </w:r>
      <w:r>
        <w:rPr>
          <w:rFonts w:hint="eastAsia" w:ascii="楷体" w:hAnsi="楷体" w:eastAsia="楷体" w:cs="楷体"/>
          <w:sz w:val="36"/>
        </w:rPr>
        <w:t>月</w:t>
      </w:r>
      <w:r>
        <w:rPr>
          <w:rFonts w:hint="eastAsia" w:ascii="楷体" w:hAnsi="楷体" w:eastAsia="楷体" w:cs="楷体"/>
          <w:sz w:val="36"/>
          <w:lang w:val="en-US" w:eastAsia="zh-CN"/>
        </w:rPr>
        <w:t>08</w:t>
      </w:r>
      <w:r>
        <w:rPr>
          <w:rFonts w:hint="eastAsia" w:ascii="楷体" w:hAnsi="楷体" w:eastAsia="楷体" w:cs="楷体"/>
          <w:sz w:val="36"/>
        </w:rPr>
        <w:t>日</w:t>
      </w:r>
    </w:p>
    <w:p w14:paraId="3F3BB7E6">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5CDB67F9">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5A826B5F">
      <w:pPr>
        <w:adjustRightInd w:val="0"/>
        <w:spacing w:line="600" w:lineRule="exact"/>
        <w:ind w:right="641"/>
        <w:rPr>
          <w:rFonts w:eastAsia="仿宋_GB2312"/>
          <w:sz w:val="32"/>
          <w:szCs w:val="32"/>
        </w:rPr>
      </w:pPr>
    </w:p>
    <w:p w14:paraId="072A557F">
      <w:pPr>
        <w:widowControl/>
        <w:spacing w:line="600" w:lineRule="exact"/>
        <w:ind w:firstLine="645"/>
        <w:jc w:val="left"/>
        <w:rPr>
          <w:rFonts w:hint="eastAsia" w:eastAsia="黑体"/>
          <w:sz w:val="32"/>
          <w:szCs w:val="32"/>
        </w:rPr>
      </w:pPr>
      <w:r>
        <w:rPr>
          <w:rFonts w:hint="eastAsia" w:eastAsia="黑体"/>
          <w:sz w:val="32"/>
          <w:szCs w:val="32"/>
        </w:rPr>
        <w:t>一、部门、单位基本情况</w:t>
      </w:r>
    </w:p>
    <w:p w14:paraId="04D363B0">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14:paraId="6DC8A84A">
      <w:pPr>
        <w:widowControl/>
        <w:numPr>
          <w:ilvl w:val="0"/>
          <w:numId w:val="0"/>
        </w:numPr>
        <w:spacing w:line="600" w:lineRule="exact"/>
        <w:ind w:firstLine="640" w:firstLineChars="200"/>
        <w:jc w:val="left"/>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本校内设一室三部，分别为：校长室，教学部，学生部，资源部。</w:t>
      </w:r>
    </w:p>
    <w:p w14:paraId="68B2951D">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14:paraId="00B81C71">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我单位是政府举办的非营利性公益一类教育服务单位，属县财政全额预算事业单位，</w:t>
      </w:r>
      <w:r>
        <w:rPr>
          <w:rFonts w:hint="eastAsia" w:eastAsia="仿宋_GB2312" w:cs="Times New Roman"/>
          <w:kern w:val="2"/>
          <w:sz w:val="32"/>
          <w:szCs w:val="32"/>
          <w:lang w:val="en-US" w:eastAsia="zh-CN" w:bidi="ar-SA"/>
        </w:rPr>
        <w:t>本校共有编制人数165人，实有165人。</w:t>
      </w:r>
    </w:p>
    <w:p w14:paraId="2F93E9D2">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14:paraId="063F9797">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1、正确贯彻执行党和国家的教育方针、政策、法规。 </w:t>
      </w:r>
    </w:p>
    <w:p w14:paraId="5327A07C">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2、维护学校的教学秩序，为学生创造良好的学习环境。</w:t>
      </w:r>
    </w:p>
    <w:p w14:paraId="51027360">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3、积极稳妥地推进教育改革，按教育规律办事，不断提高教育质量。 </w:t>
      </w:r>
    </w:p>
    <w:p w14:paraId="5A293800">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4、根据学校管理规模，设置学校管理机构，建立健全各项规章制度和岗位责任制。 </w:t>
      </w:r>
    </w:p>
    <w:p w14:paraId="27EAD4AD">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5、坚持教书育人，服务育人，环境育人方针，加强对学生的思想品德教育，使学生的德智体全面发展。 </w:t>
      </w:r>
    </w:p>
    <w:p w14:paraId="567E2EFE">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6、抓好教师队伍建设，使每个教师都热心于教育事业。</w:t>
      </w:r>
    </w:p>
    <w:p w14:paraId="134BF7C5">
      <w:pPr>
        <w:widowControl/>
        <w:numPr>
          <w:ilvl w:val="0"/>
          <w:numId w:val="0"/>
        </w:numPr>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7、做好安全防范，保证师生的生命财产安全。</w:t>
      </w:r>
    </w:p>
    <w:p w14:paraId="1C7A74A5">
      <w:pPr>
        <w:pStyle w:val="2"/>
        <w:rPr>
          <w:rFonts w:hint="eastAsia"/>
          <w:lang w:val="en-US" w:eastAsia="zh-CN"/>
        </w:rPr>
      </w:pPr>
    </w:p>
    <w:p w14:paraId="0DD84454">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14:paraId="576E6B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1.预算配置科学：预算编制科学，基本支出足额保障，确保重点支出安排，严控公用经费支出；</w:t>
      </w:r>
    </w:p>
    <w:p w14:paraId="0E1D12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2.预算执行有效：严格预算执行，严控结转结余，项目组织良好，公用经费节支增效；</w:t>
      </w:r>
    </w:p>
    <w:p w14:paraId="6B20B7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3.预算管理规范：管理制度健全，信息公开及时完整;</w:t>
      </w:r>
    </w:p>
    <w:p w14:paraId="7365E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4.资产管理：管理制度健全，国有资产得到有效使用;</w:t>
      </w:r>
    </w:p>
    <w:p w14:paraId="5A56E1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5.严格按照财务规章制度做好各项支出。</w:t>
      </w:r>
    </w:p>
    <w:p w14:paraId="56BA360D">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14:paraId="3BBFBC90">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14:paraId="4ED57292">
      <w:pPr>
        <w:widowControl/>
        <w:spacing w:line="600" w:lineRule="exact"/>
        <w:ind w:firstLine="645"/>
        <w:jc w:val="left"/>
        <w:rPr>
          <w:rFonts w:hint="default"/>
          <w:lang w:val="en-US" w:eastAsia="zh-CN"/>
        </w:rPr>
      </w:pPr>
      <w:r>
        <w:rPr>
          <w:rFonts w:hint="eastAsia" w:eastAsia="仿宋_GB2312"/>
          <w:sz w:val="32"/>
          <w:szCs w:val="32"/>
          <w:lang w:val="en-US" w:eastAsia="zh-CN"/>
        </w:rPr>
        <w:t>2023年年初预算数1182.4万元，全年预算数1182.4万元，全年决算数1958.9万元。</w:t>
      </w:r>
    </w:p>
    <w:p w14:paraId="4438C504">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14:paraId="70EFD03E">
      <w:pPr>
        <w:widowControl/>
        <w:spacing w:line="600" w:lineRule="exact"/>
        <w:ind w:firstLine="645"/>
        <w:jc w:val="left"/>
        <w:rPr>
          <w:rFonts w:hint="eastAsia" w:eastAsia="仿宋_GB2312"/>
          <w:sz w:val="32"/>
          <w:szCs w:val="32"/>
        </w:rPr>
      </w:pPr>
      <w:r>
        <w:rPr>
          <w:rFonts w:hint="eastAsia" w:eastAsia="仿宋_GB2312"/>
          <w:sz w:val="32"/>
          <w:szCs w:val="32"/>
        </w:rPr>
        <w:t>1.基本支出情况</w:t>
      </w:r>
    </w:p>
    <w:p w14:paraId="2722BAB1">
      <w:pPr>
        <w:widowControl/>
        <w:spacing w:line="600" w:lineRule="exact"/>
        <w:ind w:firstLine="645"/>
        <w:jc w:val="left"/>
        <w:rPr>
          <w:rFonts w:hint="eastAsia" w:eastAsia="仿宋_GB2312"/>
          <w:sz w:val="32"/>
          <w:szCs w:val="32"/>
        </w:rPr>
      </w:pPr>
      <w:r>
        <w:rPr>
          <w:rFonts w:hint="eastAsia" w:eastAsia="仿宋_GB2312"/>
          <w:sz w:val="32"/>
          <w:szCs w:val="32"/>
          <w:lang w:eastAsia="zh-CN"/>
        </w:rPr>
        <w:t>我</w:t>
      </w:r>
      <w:r>
        <w:rPr>
          <w:rFonts w:hint="eastAsia" w:eastAsia="仿宋_GB2312"/>
          <w:sz w:val="32"/>
          <w:szCs w:val="32"/>
          <w:lang w:val="en-US" w:eastAsia="zh-CN"/>
        </w:rPr>
        <w:t>校基本支出均用来支付人员工资、津补贴以及日常公用经费开支。其中人员经费支出：1146万元；日常公用经费支出：812.9万元。</w:t>
      </w:r>
    </w:p>
    <w:p w14:paraId="510DB066">
      <w:pPr>
        <w:widowControl/>
        <w:spacing w:line="600" w:lineRule="exact"/>
        <w:ind w:firstLine="645"/>
        <w:jc w:val="left"/>
        <w:rPr>
          <w:rFonts w:hint="eastAsia" w:eastAsia="仿宋_GB2312"/>
          <w:sz w:val="32"/>
          <w:szCs w:val="32"/>
        </w:rPr>
      </w:pPr>
      <w:r>
        <w:rPr>
          <w:rFonts w:hint="eastAsia" w:eastAsia="仿宋_GB2312"/>
          <w:sz w:val="32"/>
          <w:szCs w:val="32"/>
        </w:rPr>
        <w:t>2.项目支出情况</w:t>
      </w:r>
    </w:p>
    <w:p w14:paraId="6E85AB31">
      <w:pPr>
        <w:widowControl/>
        <w:spacing w:line="600" w:lineRule="exact"/>
        <w:ind w:firstLine="645"/>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我校</w:t>
      </w: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年度</w:t>
      </w:r>
      <w:r>
        <w:rPr>
          <w:rFonts w:hint="eastAsia" w:eastAsia="仿宋_GB2312"/>
          <w:sz w:val="32"/>
          <w:szCs w:val="32"/>
          <w:lang w:val="en-US" w:eastAsia="zh-CN"/>
        </w:rPr>
        <w:t>无</w:t>
      </w:r>
      <w:r>
        <w:rPr>
          <w:rFonts w:hint="eastAsia" w:eastAsia="仿宋_GB2312"/>
          <w:sz w:val="32"/>
          <w:szCs w:val="32"/>
        </w:rPr>
        <w:t>专项资金。</w:t>
      </w:r>
    </w:p>
    <w:p w14:paraId="2578BC01">
      <w:pPr>
        <w:widowControl/>
        <w:spacing w:line="600" w:lineRule="exact"/>
        <w:ind w:firstLine="645"/>
        <w:jc w:val="left"/>
        <w:rPr>
          <w:rFonts w:hint="eastAsia" w:eastAsia="仿宋_GB2312"/>
          <w:sz w:val="32"/>
          <w:szCs w:val="32"/>
        </w:rPr>
      </w:pPr>
      <w:r>
        <w:rPr>
          <w:rFonts w:hint="eastAsia" w:eastAsia="仿宋_GB2312"/>
          <w:sz w:val="32"/>
          <w:szCs w:val="32"/>
        </w:rPr>
        <w:t>（2）2023年本部门</w:t>
      </w:r>
      <w:r>
        <w:rPr>
          <w:rFonts w:hint="eastAsia" w:eastAsia="仿宋_GB2312"/>
          <w:sz w:val="32"/>
          <w:szCs w:val="32"/>
          <w:lang w:val="en-US" w:eastAsia="zh-CN"/>
        </w:rPr>
        <w:t>无</w:t>
      </w:r>
      <w:r>
        <w:rPr>
          <w:rFonts w:hint="eastAsia" w:eastAsia="仿宋_GB2312"/>
          <w:sz w:val="32"/>
          <w:szCs w:val="32"/>
        </w:rPr>
        <w:t>项目支出。</w:t>
      </w:r>
    </w:p>
    <w:p w14:paraId="4D0E5389">
      <w:pPr>
        <w:widowControl/>
        <w:numPr>
          <w:ilvl w:val="0"/>
          <w:numId w:val="0"/>
        </w:numPr>
        <w:spacing w:line="600" w:lineRule="exact"/>
        <w:ind w:left="645" w:leftChars="0"/>
        <w:jc w:val="left"/>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三公"经费使用和管理情况</w:t>
      </w:r>
    </w:p>
    <w:p w14:paraId="7DA64CEE">
      <w:pPr>
        <w:widowControl/>
        <w:spacing w:line="600" w:lineRule="exact"/>
        <w:ind w:firstLine="645"/>
        <w:jc w:val="left"/>
        <w:rPr>
          <w:rFonts w:hint="eastAsia" w:eastAsia="仿宋_GB2312"/>
          <w:sz w:val="32"/>
          <w:szCs w:val="32"/>
        </w:rPr>
      </w:pPr>
      <w:r>
        <w:rPr>
          <w:rFonts w:hint="eastAsia" w:eastAsia="仿宋_GB2312"/>
          <w:sz w:val="32"/>
          <w:szCs w:val="32"/>
        </w:rPr>
        <w:t>2023年本部门</w:t>
      </w:r>
      <w:r>
        <w:rPr>
          <w:rFonts w:hint="eastAsia" w:eastAsia="仿宋_GB2312"/>
          <w:sz w:val="32"/>
          <w:szCs w:val="32"/>
          <w:lang w:val="en-US" w:eastAsia="zh-CN"/>
        </w:rPr>
        <w:t>无</w:t>
      </w:r>
      <w:r>
        <w:rPr>
          <w:rFonts w:hint="eastAsia" w:eastAsia="仿宋_GB2312"/>
          <w:sz w:val="32"/>
          <w:szCs w:val="32"/>
        </w:rPr>
        <w:t>“三公”经费</w:t>
      </w:r>
      <w:r>
        <w:rPr>
          <w:rFonts w:hint="eastAsia" w:eastAsia="仿宋_GB2312"/>
          <w:sz w:val="32"/>
          <w:szCs w:val="32"/>
          <w:lang w:val="en-US" w:eastAsia="zh-CN"/>
        </w:rPr>
        <w:t>支出。</w:t>
      </w:r>
    </w:p>
    <w:p w14:paraId="0EC19476">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14:paraId="3E7ECED9">
      <w:pPr>
        <w:widowControl/>
        <w:spacing w:line="600" w:lineRule="exact"/>
        <w:ind w:firstLine="645"/>
        <w:jc w:val="left"/>
        <w:rPr>
          <w:rFonts w:hint="default" w:eastAsia="仿宋_GB2312"/>
          <w:sz w:val="32"/>
          <w:szCs w:val="32"/>
          <w:lang w:val="en-US" w:eastAsia="zh-CN"/>
        </w:rPr>
      </w:pPr>
      <w:r>
        <w:rPr>
          <w:rFonts w:hint="eastAsia" w:eastAsia="仿宋_GB2312"/>
          <w:sz w:val="32"/>
          <w:szCs w:val="32"/>
          <w:lang w:val="en-US" w:eastAsia="zh-CN"/>
        </w:rPr>
        <w:t>本校年初无结转资金、本年无结余资金。</w:t>
      </w:r>
    </w:p>
    <w:p w14:paraId="33F21C7E">
      <w:pPr>
        <w:widowControl/>
        <w:numPr>
          <w:ilvl w:val="0"/>
          <w:numId w:val="1"/>
        </w:numPr>
        <w:spacing w:line="600" w:lineRule="exact"/>
        <w:ind w:left="0" w:leftChars="0" w:firstLine="645" w:firstLineChars="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rPr>
        <w:t>部门整体支出管理与制度建设情况</w:t>
      </w:r>
    </w:p>
    <w:p w14:paraId="1EF32302">
      <w:pPr>
        <w:widowControl/>
        <w:spacing w:line="600" w:lineRule="exact"/>
        <w:ind w:firstLine="645"/>
        <w:jc w:val="left"/>
        <w:rPr>
          <w:rFonts w:hint="default" w:eastAsia="仿宋_GB2312"/>
          <w:sz w:val="32"/>
          <w:szCs w:val="32"/>
          <w:lang w:val="en-US" w:eastAsia="zh-CN"/>
        </w:rPr>
      </w:pPr>
      <w:r>
        <w:rPr>
          <w:rFonts w:hint="eastAsia" w:eastAsia="仿宋_GB2312"/>
          <w:sz w:val="32"/>
          <w:szCs w:val="32"/>
          <w:lang w:val="en-US" w:eastAsia="zh-CN"/>
        </w:rPr>
        <w:t>2023年总收入1958.9万元，其中人员支出1146万元，占总收入的58.5%；日常公用经费支出812.9万元，占总收入的41.5%；</w:t>
      </w:r>
    </w:p>
    <w:p w14:paraId="588C8544">
      <w:pPr>
        <w:widowControl/>
        <w:spacing w:line="600" w:lineRule="exact"/>
        <w:ind w:firstLine="645"/>
        <w:jc w:val="left"/>
        <w:rPr>
          <w:rFonts w:hint="eastAsia" w:eastAsia="仿宋_GB2312"/>
          <w:sz w:val="32"/>
          <w:szCs w:val="32"/>
          <w:lang w:val="en-US" w:eastAsia="zh-CN"/>
        </w:rPr>
      </w:pPr>
      <w:r>
        <w:rPr>
          <w:rFonts w:hint="eastAsia" w:eastAsia="仿宋_GB2312"/>
          <w:sz w:val="32"/>
          <w:szCs w:val="32"/>
          <w:lang w:val="en-US" w:eastAsia="zh-CN"/>
        </w:rPr>
        <w:t>2023年总支出1958.9万元，其中工资福利费支出746万元，占全年支出的38%；商品和服务支出850万元，占全年支出的43%；对个人和家庭的补助支出35.6万元，占全年支出的1.8%；</w:t>
      </w:r>
    </w:p>
    <w:p w14:paraId="66329846">
      <w:pPr>
        <w:widowControl/>
        <w:spacing w:line="600" w:lineRule="exact"/>
        <w:ind w:firstLine="645"/>
        <w:jc w:val="left"/>
        <w:rPr>
          <w:rFonts w:hint="default" w:eastAsia="仿宋_GB2312"/>
          <w:sz w:val="32"/>
          <w:szCs w:val="32"/>
          <w:lang w:val="en-US" w:eastAsia="zh-CN"/>
        </w:rPr>
      </w:pPr>
      <w:r>
        <w:rPr>
          <w:rFonts w:hint="eastAsia" w:eastAsia="仿宋_GB2312"/>
          <w:sz w:val="32"/>
          <w:szCs w:val="32"/>
          <w:lang w:val="en-US" w:eastAsia="zh-CN"/>
        </w:rPr>
        <w:t>基本支出1958.9万元，占总支出的100%</w:t>
      </w:r>
    </w:p>
    <w:p w14:paraId="20620D41">
      <w:pPr>
        <w:pStyle w:val="7"/>
        <w:numPr>
          <w:ilvl w:val="0"/>
          <w:numId w:val="0"/>
        </w:numPr>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2023年，我</w:t>
      </w:r>
      <w:r>
        <w:rPr>
          <w:rFonts w:hint="eastAsia" w:ascii="Calibri" w:cs="Times New Roman"/>
          <w:kern w:val="2"/>
          <w:sz w:val="32"/>
          <w:szCs w:val="32"/>
          <w:lang w:val="en-US" w:eastAsia="zh-CN" w:bidi="ar-SA"/>
        </w:rPr>
        <w:t>校</w:t>
      </w:r>
      <w:r>
        <w:rPr>
          <w:rFonts w:hint="eastAsia" w:ascii="Calibri" w:hAnsi="Calibri" w:eastAsia="仿宋_GB2312" w:cs="Times New Roman"/>
          <w:kern w:val="2"/>
          <w:sz w:val="32"/>
          <w:szCs w:val="32"/>
          <w:lang w:val="en-US" w:eastAsia="zh-CN" w:bidi="ar-SA"/>
        </w:rPr>
        <w:t>以绩效目标实现为导向，进一步加强制度建设，提升自评质量，预算绩效管理取得新成效。一是抓好绩效目标编制，及时报送绩效目标。二是探索绩效跟踪监控，要求加强过程监控。三是健全绩效管理工作机制，明确职责分工，努力提高了绩效管理工作水平。</w:t>
      </w:r>
    </w:p>
    <w:p w14:paraId="1AF1392E">
      <w:pPr>
        <w:widowControl/>
        <w:numPr>
          <w:ilvl w:val="0"/>
          <w:numId w:val="2"/>
        </w:numPr>
        <w:spacing w:line="600" w:lineRule="exact"/>
        <w:ind w:firstLine="645"/>
        <w:jc w:val="left"/>
        <w:rPr>
          <w:rFonts w:hint="eastAsia" w:eastAsia="黑体"/>
          <w:sz w:val="32"/>
          <w:szCs w:val="32"/>
        </w:rPr>
      </w:pPr>
      <w:r>
        <w:rPr>
          <w:rFonts w:hint="eastAsia" w:eastAsia="黑体"/>
          <w:sz w:val="32"/>
          <w:szCs w:val="32"/>
        </w:rPr>
        <w:t>政府性基金预算支出情况</w:t>
      </w:r>
    </w:p>
    <w:p w14:paraId="7BF4D478">
      <w:pPr>
        <w:widowControl/>
        <w:spacing w:line="600" w:lineRule="exact"/>
        <w:ind w:firstLine="645"/>
        <w:jc w:val="left"/>
        <w:rPr>
          <w:rFonts w:hint="eastAsia" w:eastAsia="仿宋_GB2312"/>
          <w:sz w:val="32"/>
          <w:szCs w:val="32"/>
          <w:lang w:val="en-US" w:eastAsia="zh-CN"/>
        </w:rPr>
      </w:pPr>
      <w:r>
        <w:rPr>
          <w:rFonts w:hint="eastAsia" w:eastAsia="仿宋_GB2312"/>
          <w:sz w:val="32"/>
          <w:szCs w:val="32"/>
          <w:lang w:val="en-US" w:eastAsia="zh-CN"/>
        </w:rPr>
        <w:t>2023年度无政府性基金预算支出</w:t>
      </w:r>
    </w:p>
    <w:p w14:paraId="393163EA">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国有资本经营预算支出情况</w:t>
      </w:r>
    </w:p>
    <w:p w14:paraId="3ED3656B">
      <w:pPr>
        <w:widowControl/>
        <w:numPr>
          <w:ilvl w:val="0"/>
          <w:numId w:val="0"/>
        </w:numPr>
        <w:spacing w:line="600" w:lineRule="exact"/>
        <w:ind w:left="645" w:leftChars="0"/>
        <w:jc w:val="left"/>
        <w:rPr>
          <w:rFonts w:hint="eastAsia" w:eastAsia="黑体"/>
          <w:sz w:val="32"/>
          <w:szCs w:val="32"/>
        </w:rPr>
      </w:pPr>
      <w:r>
        <w:rPr>
          <w:rFonts w:hint="eastAsia" w:ascii="仿宋" w:hAnsi="仿宋" w:eastAsia="仿宋" w:cs="仿宋"/>
          <w:spacing w:val="13"/>
          <w:sz w:val="31"/>
          <w:szCs w:val="31"/>
          <w:lang w:val="en-US" w:eastAsia="zh-CN"/>
        </w:rPr>
        <w:t>2023年度无国有资本经营预算支出。</w:t>
      </w:r>
    </w:p>
    <w:p w14:paraId="0DD5A50E">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14:paraId="4AC12C39">
      <w:pPr>
        <w:keepNext w:val="0"/>
        <w:keepLines w:val="0"/>
        <w:pageBreakBefore w:val="0"/>
        <w:widowControl/>
        <w:kinsoku w:val="0"/>
        <w:wordWrap/>
        <w:overflowPunct/>
        <w:topLinePunct w:val="0"/>
        <w:autoSpaceDE w:val="0"/>
        <w:autoSpaceDN w:val="0"/>
        <w:bidi w:val="0"/>
        <w:adjustRightInd w:val="0"/>
        <w:snapToGrid w:val="0"/>
        <w:spacing w:line="600" w:lineRule="exact"/>
        <w:ind w:right="97" w:firstLine="644"/>
        <w:textAlignment w:val="baseline"/>
        <w:rPr>
          <w:rFonts w:hint="eastAsia" w:eastAsia="黑体"/>
          <w:sz w:val="32"/>
          <w:szCs w:val="32"/>
        </w:rPr>
      </w:pPr>
      <w:r>
        <w:rPr>
          <w:rFonts w:hint="eastAsia" w:ascii="仿宋" w:hAnsi="仿宋" w:eastAsia="仿宋" w:cs="仿宋"/>
          <w:spacing w:val="13"/>
          <w:sz w:val="31"/>
          <w:szCs w:val="31"/>
          <w:lang w:val="en-US" w:eastAsia="zh-CN"/>
        </w:rPr>
        <w:t>2023年度无社会保险基金预算支出。</w:t>
      </w:r>
    </w:p>
    <w:p w14:paraId="5E8E98FE">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14:paraId="2D7F5B5C">
      <w:pPr>
        <w:widowControl/>
        <w:spacing w:line="600" w:lineRule="exact"/>
        <w:ind w:firstLine="645"/>
        <w:jc w:val="left"/>
        <w:rPr>
          <w:rFonts w:hint="eastAsia" w:eastAsia="仿宋_GB2312"/>
          <w:sz w:val="32"/>
          <w:szCs w:val="32"/>
        </w:rPr>
      </w:pPr>
      <w:r>
        <w:rPr>
          <w:rFonts w:hint="eastAsia" w:ascii="楷体" w:hAnsi="楷体" w:eastAsia="楷体" w:cs="楷体"/>
          <w:b/>
          <w:bCs/>
          <w:sz w:val="32"/>
          <w:szCs w:val="32"/>
        </w:rPr>
        <w:t>（一）综合评价结论。</w:t>
      </w:r>
    </w:p>
    <w:p w14:paraId="2148213C">
      <w:pPr>
        <w:keepNext w:val="0"/>
        <w:keepLines w:val="0"/>
        <w:pageBreakBefore w:val="0"/>
        <w:widowControl/>
        <w:kinsoku w:val="0"/>
        <w:wordWrap/>
        <w:overflowPunct/>
        <w:topLinePunct w:val="0"/>
        <w:autoSpaceDE w:val="0"/>
        <w:autoSpaceDN w:val="0"/>
        <w:bidi w:val="0"/>
        <w:adjustRightInd w:val="0"/>
        <w:snapToGrid w:val="0"/>
        <w:spacing w:line="600" w:lineRule="exact"/>
        <w:ind w:right="97" w:firstLine="644"/>
        <w:textAlignment w:val="baseline"/>
        <w:rPr>
          <w:rFonts w:hint="eastAsia"/>
          <w:lang w:val="en-US" w:eastAsia="zh-CN"/>
        </w:rPr>
      </w:pPr>
      <w:r>
        <w:rPr>
          <w:rFonts w:hint="eastAsia" w:ascii="仿宋" w:hAnsi="仿宋" w:eastAsia="仿宋" w:cs="仿宋"/>
          <w:spacing w:val="13"/>
          <w:sz w:val="31"/>
          <w:szCs w:val="31"/>
          <w:lang w:val="en-US" w:eastAsia="zh-CN"/>
        </w:rPr>
        <w:t>结合部门职责职能，设定工作目标，根据工作目标预算部门经费，年初预算</w:t>
      </w:r>
      <w:r>
        <w:rPr>
          <w:rFonts w:hint="eastAsia" w:eastAsia="仿宋_GB2312"/>
          <w:sz w:val="32"/>
          <w:szCs w:val="32"/>
          <w:lang w:val="en-US" w:eastAsia="zh-CN"/>
        </w:rPr>
        <w:t>1182.4</w:t>
      </w:r>
      <w:r>
        <w:rPr>
          <w:rFonts w:hint="eastAsia" w:ascii="仿宋" w:hAnsi="仿宋" w:eastAsia="仿宋" w:cs="仿宋"/>
          <w:spacing w:val="13"/>
          <w:sz w:val="31"/>
          <w:szCs w:val="31"/>
          <w:lang w:val="en-US" w:eastAsia="zh-CN"/>
        </w:rPr>
        <w:t>万元，调整预算数为</w:t>
      </w:r>
      <w:r>
        <w:rPr>
          <w:rFonts w:hint="eastAsia" w:eastAsia="仿宋_GB2312"/>
          <w:sz w:val="32"/>
          <w:szCs w:val="32"/>
          <w:lang w:val="en-US" w:eastAsia="zh-CN"/>
        </w:rPr>
        <w:t>1958.9</w:t>
      </w:r>
      <w:r>
        <w:rPr>
          <w:rFonts w:hint="eastAsia" w:ascii="仿宋" w:hAnsi="仿宋" w:eastAsia="仿宋" w:cs="仿宋"/>
          <w:spacing w:val="13"/>
          <w:sz w:val="31"/>
          <w:szCs w:val="31"/>
          <w:lang w:val="en-US" w:eastAsia="zh-CN"/>
        </w:rPr>
        <w:t>万元，全年执行数</w:t>
      </w:r>
      <w:r>
        <w:rPr>
          <w:rFonts w:hint="eastAsia" w:eastAsia="仿宋_GB2312"/>
          <w:sz w:val="32"/>
          <w:szCs w:val="32"/>
          <w:lang w:val="en-US" w:eastAsia="zh-CN"/>
        </w:rPr>
        <w:t>1958.9</w:t>
      </w:r>
      <w:r>
        <w:rPr>
          <w:rFonts w:hint="eastAsia" w:ascii="仿宋" w:hAnsi="仿宋" w:eastAsia="仿宋" w:cs="仿宋"/>
          <w:spacing w:val="13"/>
          <w:sz w:val="31"/>
          <w:szCs w:val="31"/>
          <w:lang w:val="en-US" w:eastAsia="zh-CN"/>
        </w:rPr>
        <w:t>万元，整体绩效自评优秀。保障了教育教学工作水平、安全卫生保健教育等重大工作顺利完成。同时，坚持厉行节约原则，严格控制各项费用支出。</w:t>
      </w:r>
    </w:p>
    <w:p w14:paraId="4FE8DB1E">
      <w:pPr>
        <w:widowControl/>
        <w:numPr>
          <w:ilvl w:val="0"/>
          <w:numId w:val="3"/>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综合评价情况。</w:t>
      </w:r>
    </w:p>
    <w:p w14:paraId="677E8C9C">
      <w:pPr>
        <w:keepNext w:val="0"/>
        <w:keepLines w:val="0"/>
        <w:pageBreakBefore w:val="0"/>
        <w:widowControl/>
        <w:kinsoku w:val="0"/>
        <w:wordWrap/>
        <w:overflowPunct/>
        <w:topLinePunct w:val="0"/>
        <w:autoSpaceDE w:val="0"/>
        <w:autoSpaceDN w:val="0"/>
        <w:bidi w:val="0"/>
        <w:adjustRightInd w:val="0"/>
        <w:snapToGrid w:val="0"/>
        <w:spacing w:line="600" w:lineRule="exact"/>
        <w:ind w:right="97" w:firstLine="644"/>
        <w:textAlignment w:val="baseline"/>
        <w:rPr>
          <w:rFonts w:hint="eastAsia" w:ascii="仿宋" w:hAnsi="仿宋" w:eastAsia="仿宋" w:cs="仿宋"/>
          <w:spacing w:val="13"/>
          <w:sz w:val="31"/>
          <w:szCs w:val="31"/>
          <w:lang w:val="en-US" w:eastAsia="zh-CN"/>
        </w:rPr>
      </w:pPr>
      <w:r>
        <w:rPr>
          <w:rFonts w:hint="eastAsia" w:ascii="仿宋" w:hAnsi="仿宋" w:eastAsia="仿宋" w:cs="仿宋"/>
          <w:spacing w:val="13"/>
          <w:sz w:val="31"/>
          <w:szCs w:val="31"/>
          <w:lang w:val="en-US" w:eastAsia="zh-CN"/>
        </w:rPr>
        <w:t>1、主要产出指标完成情况。教育政策宣传及落实落地工作、教育培训活动、教育教学活动管理、校园安全及周边环境治理等重点工作任务已按预期目标完成。</w:t>
      </w:r>
    </w:p>
    <w:p w14:paraId="28228599">
      <w:pPr>
        <w:keepNext w:val="0"/>
        <w:keepLines w:val="0"/>
        <w:pageBreakBefore w:val="0"/>
        <w:widowControl/>
        <w:kinsoku w:val="0"/>
        <w:wordWrap/>
        <w:overflowPunct/>
        <w:topLinePunct w:val="0"/>
        <w:autoSpaceDE w:val="0"/>
        <w:autoSpaceDN w:val="0"/>
        <w:bidi w:val="0"/>
        <w:adjustRightInd w:val="0"/>
        <w:snapToGrid w:val="0"/>
        <w:spacing w:line="600" w:lineRule="exact"/>
        <w:ind w:right="97" w:firstLine="644"/>
        <w:textAlignment w:val="baseline"/>
        <w:rPr>
          <w:rFonts w:hint="eastAsia" w:eastAsia="黑体"/>
          <w:sz w:val="32"/>
          <w:szCs w:val="32"/>
        </w:rPr>
      </w:pPr>
      <w:r>
        <w:rPr>
          <w:rFonts w:hint="eastAsia" w:ascii="仿宋" w:hAnsi="仿宋" w:eastAsia="仿宋" w:cs="仿宋"/>
          <w:spacing w:val="13"/>
          <w:sz w:val="31"/>
          <w:szCs w:val="31"/>
          <w:lang w:val="en-US" w:eastAsia="zh-CN"/>
        </w:rPr>
        <w:t>2、部门整体及核心业务实施效果。改善学校教育教学设施，完善学校硬件设备，整合教育信息资源，提高了教育网络信息化水平，保障了学校高水平、高质量发展。按规划构建全校教师全员培训、骨干教师培训、农村教师培训，提高了教师专业化水平和整体素质。对校园周边环境进行治理，建立长效管控机制，营造了校园安全环境。</w:t>
      </w:r>
    </w:p>
    <w:p w14:paraId="09FBDD0C">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14:paraId="2F4E16DB">
      <w:pPr>
        <w:widowControl/>
        <w:spacing w:line="600" w:lineRule="exact"/>
        <w:ind w:firstLine="645"/>
        <w:jc w:val="left"/>
        <w:rPr>
          <w:rFonts w:hint="default" w:eastAsia="仿宋_GB2312"/>
          <w:sz w:val="32"/>
          <w:szCs w:val="32"/>
          <w:lang w:val="en-US"/>
        </w:rPr>
      </w:pPr>
      <w:r>
        <w:rPr>
          <w:rFonts w:hint="eastAsia" w:ascii="仿宋" w:hAnsi="仿宋" w:eastAsia="仿宋" w:cs="仿宋"/>
          <w:spacing w:val="4"/>
          <w:sz w:val="31"/>
          <w:szCs w:val="31"/>
          <w:lang w:val="en-US" w:eastAsia="zh-CN"/>
        </w:rPr>
        <w:t>2023年度我校预算支出偏离绩效目标，主要是教学质量向湖南省示范标准看齐，高标准要求教师教学质量。</w:t>
      </w:r>
    </w:p>
    <w:p w14:paraId="3E9E63EC">
      <w:pPr>
        <w:widowControl/>
        <w:numPr>
          <w:ilvl w:val="0"/>
          <w:numId w:val="4"/>
        </w:numPr>
        <w:spacing w:line="600" w:lineRule="exact"/>
        <w:ind w:firstLine="645"/>
        <w:jc w:val="left"/>
        <w:rPr>
          <w:rFonts w:hint="eastAsia" w:eastAsia="黑体"/>
          <w:sz w:val="32"/>
          <w:szCs w:val="32"/>
        </w:rPr>
      </w:pPr>
      <w:r>
        <w:rPr>
          <w:rFonts w:hint="eastAsia" w:eastAsia="黑体"/>
          <w:sz w:val="32"/>
          <w:szCs w:val="32"/>
        </w:rPr>
        <w:t>下一步改进措施</w:t>
      </w:r>
    </w:p>
    <w:p w14:paraId="0EFCA0D4">
      <w:pPr>
        <w:widowControl/>
        <w:spacing w:line="600" w:lineRule="exact"/>
        <w:ind w:firstLine="645"/>
        <w:jc w:val="left"/>
        <w:rPr>
          <w:rFonts w:hint="eastAsia" w:eastAsia="仿宋_GB2312"/>
          <w:sz w:val="32"/>
          <w:szCs w:val="32"/>
        </w:rPr>
      </w:pPr>
      <w:r>
        <w:rPr>
          <w:rFonts w:hint="eastAsia" w:ascii="仿宋" w:hAnsi="仿宋" w:eastAsia="仿宋" w:cs="仿宋"/>
          <w:spacing w:val="4"/>
          <w:sz w:val="31"/>
          <w:szCs w:val="31"/>
          <w:lang w:val="en-US" w:eastAsia="zh-CN"/>
        </w:rPr>
        <w:t>加强预算绩效目标管理和绩效考核工作。预算绩效目标设置应规范，目标要具体，与职能职责相关联，绩效指标要细化、量化</w:t>
      </w:r>
      <w:r>
        <w:rPr>
          <w:rFonts w:hint="eastAsia" w:eastAsia="仿宋_GB2312"/>
          <w:sz w:val="32"/>
          <w:szCs w:val="32"/>
          <w:lang w:val="en-US" w:eastAsia="zh-CN"/>
        </w:rPr>
        <w:t>、可衡量；严格按照相关政策要求，对重要项目、重要资金的安排使用做到事前计划、事中监管、事后评估，充分发挥财政资金的最大效益。</w:t>
      </w:r>
    </w:p>
    <w:p w14:paraId="72B37CDE">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其他需要说明的情况</w:t>
      </w:r>
    </w:p>
    <w:p w14:paraId="711ADEC3">
      <w:pPr>
        <w:widowControl/>
        <w:spacing w:line="600" w:lineRule="exact"/>
        <w:ind w:firstLine="645"/>
        <w:jc w:val="left"/>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无。</w:t>
      </w:r>
    </w:p>
    <w:p w14:paraId="47F7211B"/>
    <w:p w14:paraId="7498793A"/>
    <w:p w14:paraId="25059E75"/>
    <w:p w14:paraId="3862F2AC"/>
    <w:p w14:paraId="53F6AC4E"/>
    <w:p w14:paraId="5FE655DF"/>
    <w:p w14:paraId="18D44AC8"/>
    <w:p w14:paraId="59B15217"/>
    <w:p w14:paraId="0BE61DBF"/>
    <w:p w14:paraId="793C4089">
      <w:pPr>
        <w:sectPr>
          <w:pgSz w:w="11906" w:h="16838"/>
          <w:pgMar w:top="1440" w:right="1803" w:bottom="1440" w:left="1803" w:header="851" w:footer="992" w:gutter="0"/>
          <w:cols w:space="0" w:num="1"/>
          <w:rtlGutter w:val="0"/>
          <w:docGrid w:type="lines" w:linePitch="319" w:charSpace="0"/>
        </w:sectPr>
      </w:pPr>
    </w:p>
    <w:p w14:paraId="08BE7D9D"/>
    <w:p w14:paraId="5962AB62">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18B10B92">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8"/>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585D8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72BB3AEA">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35DBF1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428F748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4E9C60E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381D2CF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7648269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066730E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23DEFAC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7990E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2689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投入</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14</w:t>
            </w:r>
            <w:r>
              <w:rPr>
                <w:rStyle w:val="10"/>
                <w:lang w:val="en-US" w:eastAsia="zh-CN" w:bidi="ar"/>
              </w:rPr>
              <w:t>分）</w:t>
            </w:r>
          </w:p>
        </w:tc>
        <w:tc>
          <w:tcPr>
            <w:tcW w:w="870" w:type="dxa"/>
            <w:vMerge w:val="restart"/>
            <w:tcBorders>
              <w:tl2br w:val="nil"/>
              <w:tr2bl w:val="nil"/>
            </w:tcBorders>
            <w:noWrap w:val="0"/>
            <w:vAlign w:val="center"/>
          </w:tcPr>
          <w:p w14:paraId="06625F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目标</w:t>
            </w:r>
            <w:r>
              <w:rPr>
                <w:rStyle w:val="11"/>
                <w:rFonts w:eastAsia="宋体"/>
                <w:lang w:val="en-US" w:eastAsia="zh-CN" w:bidi="ar"/>
              </w:rPr>
              <w:br w:type="textWrapping"/>
            </w:r>
            <w:r>
              <w:rPr>
                <w:rStyle w:val="10"/>
                <w:lang w:val="en-US" w:eastAsia="zh-CN" w:bidi="ar"/>
              </w:rPr>
              <w:t>设定</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7</w:t>
            </w:r>
            <w:r>
              <w:rPr>
                <w:rStyle w:val="10"/>
                <w:lang w:val="en-US" w:eastAsia="zh-CN" w:bidi="ar"/>
              </w:rPr>
              <w:t>分）</w:t>
            </w:r>
          </w:p>
        </w:tc>
        <w:tc>
          <w:tcPr>
            <w:tcW w:w="1050" w:type="dxa"/>
            <w:tcBorders>
              <w:tl2br w:val="nil"/>
              <w:tr2bl w:val="nil"/>
            </w:tcBorders>
            <w:noWrap w:val="0"/>
            <w:vAlign w:val="center"/>
          </w:tcPr>
          <w:p w14:paraId="408F5A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绩效目标</w:t>
            </w:r>
            <w:r>
              <w:rPr>
                <w:rStyle w:val="11"/>
                <w:rFonts w:eastAsia="宋体"/>
                <w:lang w:val="en-US" w:eastAsia="zh-CN" w:bidi="ar"/>
              </w:rPr>
              <w:br w:type="textWrapping"/>
            </w:r>
            <w:r>
              <w:rPr>
                <w:rStyle w:val="10"/>
                <w:lang w:val="en-US" w:eastAsia="zh-CN" w:bidi="ar"/>
              </w:rPr>
              <w:t>合理性</w:t>
            </w:r>
          </w:p>
        </w:tc>
        <w:tc>
          <w:tcPr>
            <w:tcW w:w="495" w:type="dxa"/>
            <w:tcBorders>
              <w:tl2br w:val="nil"/>
              <w:tr2bl w:val="nil"/>
            </w:tcBorders>
            <w:noWrap w:val="0"/>
            <w:vAlign w:val="center"/>
          </w:tcPr>
          <w:p w14:paraId="399414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4960BD8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635AD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①是否符合国家法律法规、国民经济和社会发展总体规划；</w:t>
            </w:r>
            <w:r>
              <w:rPr>
                <w:rStyle w:val="11"/>
                <w:rFonts w:eastAsia="宋体"/>
                <w:lang w:val="en-US" w:eastAsia="zh-CN" w:bidi="ar"/>
              </w:rPr>
              <w:br w:type="textWrapping"/>
            </w:r>
            <w:r>
              <w:rPr>
                <w:rStyle w:val="10"/>
                <w:lang w:val="en-US" w:eastAsia="zh-CN" w:bidi="ar"/>
              </w:rPr>
              <w:t>②是否符合部门</w:t>
            </w:r>
            <w:r>
              <w:rPr>
                <w:rStyle w:val="11"/>
                <w:rFonts w:eastAsia="宋体"/>
                <w:lang w:val="en-US" w:eastAsia="zh-CN" w:bidi="ar"/>
              </w:rPr>
              <w:t>“</w:t>
            </w:r>
            <w:r>
              <w:rPr>
                <w:rStyle w:val="10"/>
                <w:lang w:val="en-US" w:eastAsia="zh-CN" w:bidi="ar"/>
              </w:rPr>
              <w:t>三定</w:t>
            </w:r>
            <w:r>
              <w:rPr>
                <w:rStyle w:val="11"/>
                <w:rFonts w:eastAsia="宋体"/>
                <w:lang w:val="en-US" w:eastAsia="zh-CN" w:bidi="ar"/>
              </w:rPr>
              <w:t>”</w:t>
            </w:r>
            <w:r>
              <w:rPr>
                <w:rStyle w:val="10"/>
                <w:lang w:val="en-US" w:eastAsia="zh-CN" w:bidi="ar"/>
              </w:rPr>
              <w:t>方案确定的职责；</w:t>
            </w:r>
            <w:r>
              <w:rPr>
                <w:rStyle w:val="11"/>
                <w:rFonts w:eastAsia="宋体"/>
                <w:lang w:val="en-US" w:eastAsia="zh-CN" w:bidi="ar"/>
              </w:rPr>
              <w:br w:type="textWrapping"/>
            </w:r>
            <w:r>
              <w:rPr>
                <w:rStyle w:val="10"/>
                <w:lang w:val="en-US" w:eastAsia="zh-CN" w:bidi="ar"/>
              </w:rPr>
              <w:t>③是否符合部门制定的中长期实施规划。</w:t>
            </w:r>
            <w:r>
              <w:rPr>
                <w:rStyle w:val="11"/>
                <w:rFonts w:eastAsia="宋体"/>
                <w:lang w:val="en-US" w:eastAsia="zh-CN" w:bidi="ar"/>
              </w:rPr>
              <w:br w:type="textWrapping"/>
            </w:r>
            <w:r>
              <w:rPr>
                <w:rStyle w:val="10"/>
                <w:lang w:val="en-US" w:eastAsia="zh-CN" w:bidi="ar"/>
              </w:rPr>
              <w:t>以上各项每发现一起不符合要求扣</w:t>
            </w:r>
            <w:r>
              <w:rPr>
                <w:rStyle w:val="11"/>
                <w:rFonts w:eastAsia="宋体"/>
                <w:lang w:val="en-US" w:eastAsia="zh-CN" w:bidi="ar"/>
              </w:rPr>
              <w:t>1</w:t>
            </w:r>
            <w:r>
              <w:rPr>
                <w:rStyle w:val="10"/>
                <w:lang w:val="en-US" w:eastAsia="zh-CN" w:bidi="ar"/>
              </w:rPr>
              <w:t>分，扣完为止。</w:t>
            </w:r>
          </w:p>
        </w:tc>
        <w:tc>
          <w:tcPr>
            <w:tcW w:w="2115" w:type="dxa"/>
            <w:tcBorders>
              <w:tl2br w:val="nil"/>
              <w:tr2bl w:val="nil"/>
            </w:tcBorders>
            <w:noWrap w:val="0"/>
            <w:vAlign w:val="center"/>
          </w:tcPr>
          <w:p w14:paraId="04ADC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1"/>
                <w:rFonts w:eastAsia="宋体"/>
                <w:lang w:val="en-US" w:eastAsia="zh-CN" w:bidi="ar"/>
              </w:rPr>
              <w:t>“</w:t>
            </w:r>
            <w:r>
              <w:rPr>
                <w:rStyle w:val="10"/>
                <w:lang w:val="en-US" w:eastAsia="zh-CN" w:bidi="ar"/>
              </w:rPr>
              <w:t>三定</w:t>
            </w:r>
            <w:r>
              <w:rPr>
                <w:rStyle w:val="11"/>
                <w:rFonts w:eastAsia="宋体"/>
                <w:lang w:val="en-US" w:eastAsia="zh-CN" w:bidi="ar"/>
              </w:rPr>
              <w:t>”</w:t>
            </w:r>
            <w:r>
              <w:rPr>
                <w:rStyle w:val="10"/>
                <w:lang w:val="en-US" w:eastAsia="zh-CN" w:bidi="ar"/>
              </w:rPr>
              <w:t>方案；部门职责；部门制定的中长期实施规划等。</w:t>
            </w:r>
          </w:p>
        </w:tc>
        <w:tc>
          <w:tcPr>
            <w:tcW w:w="586" w:type="dxa"/>
            <w:tcBorders>
              <w:tl2br w:val="nil"/>
              <w:tr2bl w:val="nil"/>
            </w:tcBorders>
            <w:noWrap w:val="0"/>
            <w:vAlign w:val="center"/>
          </w:tcPr>
          <w:p w14:paraId="088C061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5BE3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73AC65C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E96BB9F">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7DC2F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绩效指标</w:t>
            </w:r>
            <w:r>
              <w:rPr>
                <w:rStyle w:val="11"/>
                <w:rFonts w:eastAsia="宋体"/>
                <w:lang w:val="en-US" w:eastAsia="zh-CN" w:bidi="ar"/>
              </w:rPr>
              <w:br w:type="textWrapping"/>
            </w:r>
            <w:r>
              <w:rPr>
                <w:rStyle w:val="10"/>
                <w:lang w:val="en-US" w:eastAsia="zh-CN" w:bidi="ar"/>
              </w:rPr>
              <w:t>明确性</w:t>
            </w:r>
          </w:p>
        </w:tc>
        <w:tc>
          <w:tcPr>
            <w:tcW w:w="495" w:type="dxa"/>
            <w:tcBorders>
              <w:tl2br w:val="nil"/>
              <w:tr2bl w:val="nil"/>
            </w:tcBorders>
            <w:noWrap w:val="0"/>
            <w:vAlign w:val="center"/>
          </w:tcPr>
          <w:p w14:paraId="788F47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31DB3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0176FF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①有目标，计</w:t>
            </w:r>
            <w:r>
              <w:rPr>
                <w:rStyle w:val="11"/>
                <w:rFonts w:eastAsia="宋体"/>
                <w:lang w:val="en-US" w:eastAsia="zh-CN" w:bidi="ar"/>
              </w:rPr>
              <w:t>1</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②目标明确，细化量化良好，个性指标中量化指标超过</w:t>
            </w:r>
            <w:r>
              <w:rPr>
                <w:rStyle w:val="11"/>
                <w:rFonts w:eastAsia="宋体"/>
                <w:lang w:val="en-US" w:eastAsia="zh-CN" w:bidi="ar"/>
              </w:rPr>
              <w:t>3</w:t>
            </w:r>
            <w:r>
              <w:rPr>
                <w:rStyle w:val="10"/>
                <w:lang w:val="en-US" w:eastAsia="zh-CN" w:bidi="ar"/>
              </w:rPr>
              <w:t>个，计</w:t>
            </w:r>
            <w:r>
              <w:rPr>
                <w:rStyle w:val="11"/>
                <w:rFonts w:eastAsia="宋体"/>
                <w:lang w:val="en-US" w:eastAsia="zh-CN" w:bidi="ar"/>
              </w:rPr>
              <w:t>1</w:t>
            </w:r>
            <w:r>
              <w:rPr>
                <w:rStyle w:val="10"/>
                <w:lang w:val="en-US" w:eastAsia="zh-CN" w:bidi="ar"/>
              </w:rPr>
              <w:t>分，量化指标为</w:t>
            </w:r>
            <w:r>
              <w:rPr>
                <w:rStyle w:val="11"/>
                <w:rFonts w:eastAsia="宋体"/>
                <w:lang w:val="en-US" w:eastAsia="zh-CN" w:bidi="ar"/>
              </w:rPr>
              <w:t>2</w:t>
            </w:r>
            <w:r>
              <w:rPr>
                <w:rStyle w:val="10"/>
                <w:lang w:val="en-US" w:eastAsia="zh-CN" w:bidi="ar"/>
              </w:rPr>
              <w:t>个，计</w:t>
            </w:r>
            <w:r>
              <w:rPr>
                <w:rStyle w:val="11"/>
                <w:rFonts w:eastAsia="宋体"/>
                <w:lang w:val="en-US" w:eastAsia="zh-CN" w:bidi="ar"/>
              </w:rPr>
              <w:t>0.5</w:t>
            </w:r>
            <w:r>
              <w:rPr>
                <w:rStyle w:val="10"/>
                <w:lang w:val="en-US" w:eastAsia="zh-CN" w:bidi="ar"/>
              </w:rPr>
              <w:t>分，</w:t>
            </w:r>
            <w:r>
              <w:rPr>
                <w:rStyle w:val="11"/>
                <w:rFonts w:eastAsia="宋体"/>
                <w:lang w:val="en-US" w:eastAsia="zh-CN" w:bidi="ar"/>
              </w:rPr>
              <w:t>2</w:t>
            </w:r>
            <w:r>
              <w:rPr>
                <w:rStyle w:val="10"/>
                <w:lang w:val="en-US" w:eastAsia="zh-CN" w:bidi="ar"/>
              </w:rPr>
              <w:t>个以下不得分；</w:t>
            </w:r>
            <w:r>
              <w:rPr>
                <w:rStyle w:val="11"/>
                <w:rFonts w:eastAsia="宋体"/>
                <w:lang w:val="en-US" w:eastAsia="zh-CN" w:bidi="ar"/>
              </w:rPr>
              <w:br w:type="textWrapping"/>
            </w:r>
            <w:r>
              <w:rPr>
                <w:rStyle w:val="10"/>
                <w:lang w:val="en-US" w:eastAsia="zh-CN" w:bidi="ar"/>
              </w:rPr>
              <w:t>③与年度任务数或计划数相对应，计</w:t>
            </w:r>
            <w:r>
              <w:rPr>
                <w:rStyle w:val="11"/>
                <w:rFonts w:eastAsia="宋体"/>
                <w:lang w:val="en-US" w:eastAsia="zh-CN" w:bidi="ar"/>
              </w:rPr>
              <w:t>1</w:t>
            </w:r>
            <w:r>
              <w:rPr>
                <w:rStyle w:val="10"/>
                <w:lang w:val="en-US" w:eastAsia="zh-CN" w:bidi="ar"/>
              </w:rPr>
              <w:t>分，大于</w:t>
            </w:r>
            <w:r>
              <w:rPr>
                <w:rStyle w:val="11"/>
                <w:rFonts w:eastAsia="宋体"/>
                <w:lang w:val="en-US" w:eastAsia="zh-CN" w:bidi="ar"/>
              </w:rPr>
              <w:t>50%</w:t>
            </w:r>
            <w:r>
              <w:rPr>
                <w:rStyle w:val="10"/>
                <w:lang w:val="en-US" w:eastAsia="zh-CN" w:bidi="ar"/>
              </w:rPr>
              <w:t>计</w:t>
            </w:r>
            <w:r>
              <w:rPr>
                <w:rStyle w:val="11"/>
                <w:rFonts w:eastAsia="宋体"/>
                <w:lang w:val="en-US" w:eastAsia="zh-CN" w:bidi="ar"/>
              </w:rPr>
              <w:t>0.5</w:t>
            </w:r>
            <w:r>
              <w:rPr>
                <w:rStyle w:val="10"/>
                <w:lang w:val="en-US" w:eastAsia="zh-CN" w:bidi="ar"/>
              </w:rPr>
              <w:t>分，对应低于</w:t>
            </w:r>
            <w:r>
              <w:rPr>
                <w:rStyle w:val="11"/>
                <w:rFonts w:eastAsia="宋体"/>
                <w:lang w:val="en-US" w:eastAsia="zh-CN" w:bidi="ar"/>
              </w:rPr>
              <w:t>50%</w:t>
            </w:r>
            <w:r>
              <w:rPr>
                <w:rStyle w:val="10"/>
                <w:lang w:val="en-US" w:eastAsia="zh-CN" w:bidi="ar"/>
              </w:rPr>
              <w:t>不计分；</w:t>
            </w:r>
            <w:r>
              <w:rPr>
                <w:rStyle w:val="11"/>
                <w:rFonts w:eastAsia="宋体"/>
                <w:lang w:val="en-US" w:eastAsia="zh-CN" w:bidi="ar"/>
              </w:rPr>
              <w:br w:type="textWrapping"/>
            </w:r>
            <w:r>
              <w:rPr>
                <w:rStyle w:val="10"/>
                <w:lang w:val="en-US" w:eastAsia="zh-CN" w:bidi="ar"/>
              </w:rPr>
              <w:t>④目标与资金匹配良好，逻辑关系明确，计</w:t>
            </w:r>
            <w:r>
              <w:rPr>
                <w:rStyle w:val="11"/>
                <w:rFonts w:eastAsia="宋体"/>
                <w:lang w:val="en-US" w:eastAsia="zh-CN" w:bidi="ar"/>
              </w:rPr>
              <w:t>1</w:t>
            </w:r>
            <w:r>
              <w:rPr>
                <w:rStyle w:val="10"/>
                <w:lang w:val="en-US" w:eastAsia="zh-CN" w:bidi="ar"/>
              </w:rPr>
              <w:t>分，否则不得分。</w:t>
            </w:r>
          </w:p>
        </w:tc>
        <w:tc>
          <w:tcPr>
            <w:tcW w:w="2115" w:type="dxa"/>
            <w:tcBorders>
              <w:tl2br w:val="nil"/>
              <w:tr2bl w:val="nil"/>
            </w:tcBorders>
            <w:noWrap w:val="0"/>
            <w:vAlign w:val="center"/>
          </w:tcPr>
          <w:p w14:paraId="6612D69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绩效目标申报表；年度任务数或计划数；预算批复等。</w:t>
            </w:r>
          </w:p>
        </w:tc>
        <w:tc>
          <w:tcPr>
            <w:tcW w:w="586" w:type="dxa"/>
            <w:tcBorders>
              <w:tl2br w:val="nil"/>
              <w:tr2bl w:val="nil"/>
            </w:tcBorders>
            <w:noWrap w:val="0"/>
            <w:vAlign w:val="center"/>
          </w:tcPr>
          <w:p w14:paraId="65EFA3C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ECFE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57A04157">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3441D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配置</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7</w:t>
            </w:r>
            <w:r>
              <w:rPr>
                <w:rStyle w:val="10"/>
                <w:lang w:val="en-US" w:eastAsia="zh-CN" w:bidi="ar"/>
              </w:rPr>
              <w:t>分）</w:t>
            </w:r>
          </w:p>
        </w:tc>
        <w:tc>
          <w:tcPr>
            <w:tcW w:w="1050" w:type="dxa"/>
            <w:tcBorders>
              <w:tl2br w:val="nil"/>
              <w:tr2bl w:val="nil"/>
            </w:tcBorders>
            <w:noWrap w:val="0"/>
            <w:vAlign w:val="center"/>
          </w:tcPr>
          <w:p w14:paraId="762AB4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人员</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14:paraId="645F61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67C078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7B8C81B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在职人员控制率</w:t>
            </w:r>
            <w:r>
              <w:rPr>
                <w:rStyle w:val="11"/>
                <w:rFonts w:eastAsia="宋体"/>
                <w:lang w:val="en-US" w:eastAsia="zh-CN" w:bidi="ar"/>
              </w:rPr>
              <w:t>=</w:t>
            </w:r>
            <w:r>
              <w:rPr>
                <w:rStyle w:val="10"/>
                <w:lang w:val="en-US" w:eastAsia="zh-CN" w:bidi="ar"/>
              </w:rPr>
              <w:t>（在职人员数</w:t>
            </w:r>
            <w:r>
              <w:rPr>
                <w:rStyle w:val="11"/>
                <w:rFonts w:eastAsia="宋体"/>
                <w:lang w:val="en-US" w:eastAsia="zh-CN" w:bidi="ar"/>
              </w:rPr>
              <w:t>/</w:t>
            </w:r>
            <w:r>
              <w:rPr>
                <w:rStyle w:val="10"/>
                <w:lang w:val="en-US" w:eastAsia="zh-CN" w:bidi="ar"/>
              </w:rPr>
              <w:t>编制数）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在职人员数：部门（单位）实际在职人数</w:t>
            </w:r>
            <w:r>
              <w:rPr>
                <w:rStyle w:val="11"/>
                <w:rFonts w:eastAsia="宋体"/>
                <w:lang w:val="en-US" w:eastAsia="zh-CN" w:bidi="ar"/>
              </w:rPr>
              <w:t>,</w:t>
            </w:r>
            <w:r>
              <w:rPr>
                <w:rStyle w:val="10"/>
                <w:lang w:val="en-US" w:eastAsia="zh-CN" w:bidi="ar"/>
              </w:rPr>
              <w:t>以财政部门确定的部门决算编制口径为准。</w:t>
            </w:r>
            <w:r>
              <w:rPr>
                <w:rStyle w:val="11"/>
                <w:rFonts w:eastAsia="宋体"/>
                <w:lang w:val="en-US" w:eastAsia="zh-CN" w:bidi="ar"/>
              </w:rPr>
              <w:br w:type="textWrapping"/>
            </w:r>
            <w:r>
              <w:rPr>
                <w:rStyle w:val="10"/>
                <w:lang w:val="en-US" w:eastAsia="zh-CN" w:bidi="ar"/>
              </w:rPr>
              <w:t>编制数：机构编制部门核定批复的部门（单位）人员编制数。</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在职人员控制率≦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分，每超出</w:t>
            </w:r>
            <w:r>
              <w:rPr>
                <w:rStyle w:val="11"/>
                <w:rFonts w:eastAsia="宋体"/>
                <w:lang w:val="en-US" w:eastAsia="zh-CN" w:bidi="ar"/>
              </w:rPr>
              <w:t>1%</w:t>
            </w:r>
            <w:r>
              <w:rPr>
                <w:rStyle w:val="10"/>
                <w:lang w:val="en-US" w:eastAsia="zh-CN" w:bidi="ar"/>
              </w:rPr>
              <w:t>扣</w:t>
            </w:r>
            <w:r>
              <w:rPr>
                <w:rStyle w:val="11"/>
                <w:rFonts w:eastAsia="宋体"/>
                <w:lang w:val="en-US" w:eastAsia="zh-CN" w:bidi="ar"/>
              </w:rPr>
              <w:t>0.2</w:t>
            </w:r>
            <w:r>
              <w:rPr>
                <w:rStyle w:val="10"/>
                <w:lang w:val="en-US" w:eastAsia="zh-CN" w:bidi="ar"/>
              </w:rPr>
              <w:t>分，扣完为止。</w:t>
            </w:r>
          </w:p>
        </w:tc>
        <w:tc>
          <w:tcPr>
            <w:tcW w:w="2115" w:type="dxa"/>
            <w:tcBorders>
              <w:tl2br w:val="nil"/>
              <w:tr2bl w:val="nil"/>
            </w:tcBorders>
            <w:noWrap w:val="0"/>
            <w:vAlign w:val="center"/>
          </w:tcPr>
          <w:p w14:paraId="7198B4D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部门（单位）决算报表；机构编制部门核定批复的部门（单位）的人员编制数。</w:t>
            </w:r>
          </w:p>
        </w:tc>
        <w:tc>
          <w:tcPr>
            <w:tcW w:w="586" w:type="dxa"/>
            <w:tcBorders>
              <w:tl2br w:val="nil"/>
              <w:tr2bl w:val="nil"/>
            </w:tcBorders>
            <w:noWrap w:val="0"/>
            <w:vAlign w:val="center"/>
          </w:tcPr>
          <w:p w14:paraId="061931F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4F8C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72F954B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6383A5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8DBAD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1"/>
                <w:rFonts w:eastAsia="宋体"/>
                <w:lang w:val="en-US" w:eastAsia="zh-CN" w:bidi="ar"/>
              </w:rPr>
              <w:br w:type="textWrapping"/>
            </w:r>
            <w:r>
              <w:rPr>
                <w:rStyle w:val="10"/>
                <w:lang w:val="en-US" w:eastAsia="zh-CN" w:bidi="ar"/>
              </w:rPr>
              <w:t>变动率</w:t>
            </w:r>
          </w:p>
        </w:tc>
        <w:tc>
          <w:tcPr>
            <w:tcW w:w="495" w:type="dxa"/>
            <w:tcBorders>
              <w:tl2br w:val="nil"/>
              <w:tr2bl w:val="nil"/>
            </w:tcBorders>
            <w:noWrap w:val="0"/>
            <w:vAlign w:val="center"/>
          </w:tcPr>
          <w:p w14:paraId="7B7E1A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A40CD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预算数与上年度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23DE06F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变动率</w:t>
            </w:r>
            <w:r>
              <w:rPr>
                <w:rStyle w:val="11"/>
                <w:rFonts w:eastAsia="宋体"/>
                <w:lang w:val="en-US" w:eastAsia="zh-CN" w:bidi="ar"/>
              </w:rPr>
              <w:t>=[</w:t>
            </w:r>
            <w:r>
              <w:rPr>
                <w:rStyle w:val="10"/>
                <w:lang w:val="en-US" w:eastAsia="zh-CN" w:bidi="ar"/>
              </w:rPr>
              <w:t>（本年度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w:t>
            </w:r>
            <w:r>
              <w:rPr>
                <w:rStyle w:val="10"/>
                <w:lang w:val="en-US" w:eastAsia="zh-CN" w:bidi="ar"/>
              </w:rPr>
              <w:t>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w:t>
            </w:r>
            <w:r>
              <w:rPr>
                <w:rStyle w:val="10"/>
                <w:lang w:val="en-US" w:eastAsia="zh-CN" w:bidi="ar"/>
              </w:rPr>
              <w:t>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]×100%</w:t>
            </w:r>
            <w:r>
              <w:rPr>
                <w:rStyle w:val="10"/>
                <w:lang w:val="en-US" w:eastAsia="zh-CN" w:bidi="ar"/>
              </w:rPr>
              <w:t>。</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：年度预算安排的因公出国（境）费、公务车辆购置及运行费和公务招待费。</w:t>
            </w:r>
            <w:r>
              <w:rPr>
                <w:rStyle w:val="11"/>
                <w:rFonts w:eastAsia="宋体"/>
                <w:lang w:val="en-US" w:eastAsia="zh-CN" w:bidi="ar"/>
              </w:rPr>
              <w:br w:type="textWrapping"/>
            </w:r>
            <w:r>
              <w:rPr>
                <w:rStyle w:val="10"/>
                <w:lang w:val="en-US" w:eastAsia="zh-CN" w:bidi="ar"/>
              </w:rPr>
              <w:t>该项得分，变动率为负数，计</w:t>
            </w:r>
            <w:r>
              <w:rPr>
                <w:rStyle w:val="11"/>
                <w:rFonts w:eastAsia="宋体"/>
                <w:lang w:val="en-US" w:eastAsia="zh-CN" w:bidi="ar"/>
              </w:rPr>
              <w:t>2</w:t>
            </w:r>
            <w:r>
              <w:rPr>
                <w:rStyle w:val="10"/>
                <w:lang w:val="en-US" w:eastAsia="zh-CN" w:bidi="ar"/>
              </w:rPr>
              <w:t>分，变动率为正数，计</w:t>
            </w:r>
            <w:r>
              <w:rPr>
                <w:rStyle w:val="11"/>
                <w:rFonts w:eastAsia="宋体"/>
                <w:lang w:val="en-US" w:eastAsia="zh-CN" w:bidi="ar"/>
              </w:rPr>
              <w:t>0</w:t>
            </w:r>
            <w:r>
              <w:rPr>
                <w:rStyle w:val="10"/>
                <w:lang w:val="en-US" w:eastAsia="zh-CN" w:bidi="ar"/>
              </w:rPr>
              <w:t>分。年度内</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完成数超过预算数，则该项计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53B671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本年度和上年度部门（单位）预算</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报表；</w:t>
            </w:r>
          </w:p>
        </w:tc>
        <w:tc>
          <w:tcPr>
            <w:tcW w:w="586" w:type="dxa"/>
            <w:tcBorders>
              <w:tl2br w:val="nil"/>
              <w:tr2bl w:val="nil"/>
            </w:tcBorders>
            <w:noWrap w:val="0"/>
            <w:vAlign w:val="center"/>
          </w:tcPr>
          <w:p w14:paraId="3E456A2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095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restart"/>
            <w:tcBorders>
              <w:tl2br w:val="nil"/>
              <w:tr2bl w:val="nil"/>
            </w:tcBorders>
            <w:noWrap w:val="0"/>
            <w:vAlign w:val="center"/>
          </w:tcPr>
          <w:p w14:paraId="61A8CA6F">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7EE1C67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0A9A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重点</w:t>
            </w:r>
            <w:r>
              <w:rPr>
                <w:rStyle w:val="11"/>
                <w:rFonts w:eastAsia="宋体"/>
                <w:lang w:val="en-US" w:eastAsia="zh-CN" w:bidi="ar"/>
              </w:rPr>
              <w:br w:type="textWrapping"/>
            </w:r>
            <w:r>
              <w:rPr>
                <w:rStyle w:val="10"/>
                <w:lang w:val="en-US" w:eastAsia="zh-CN" w:bidi="ar"/>
              </w:rPr>
              <w:t>支出</w:t>
            </w:r>
            <w:r>
              <w:rPr>
                <w:rStyle w:val="11"/>
                <w:rFonts w:eastAsia="宋体"/>
                <w:lang w:val="en-US" w:eastAsia="zh-CN" w:bidi="ar"/>
              </w:rPr>
              <w:br w:type="textWrapping"/>
            </w:r>
            <w:r>
              <w:rPr>
                <w:rStyle w:val="10"/>
                <w:lang w:val="en-US" w:eastAsia="zh-CN" w:bidi="ar"/>
              </w:rPr>
              <w:t>安排率</w:t>
            </w:r>
          </w:p>
        </w:tc>
        <w:tc>
          <w:tcPr>
            <w:tcW w:w="495" w:type="dxa"/>
            <w:tcBorders>
              <w:tl2br w:val="nil"/>
              <w:tr2bl w:val="nil"/>
            </w:tcBorders>
            <w:noWrap w:val="0"/>
            <w:vAlign w:val="center"/>
          </w:tcPr>
          <w:p w14:paraId="74B23F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22B5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7FA99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重点支出安排率</w:t>
            </w:r>
            <w:r>
              <w:rPr>
                <w:rStyle w:val="11"/>
                <w:rFonts w:eastAsia="宋体"/>
                <w:lang w:val="en-US" w:eastAsia="zh-CN" w:bidi="ar"/>
              </w:rPr>
              <w:t>=</w:t>
            </w:r>
            <w:r>
              <w:rPr>
                <w:rStyle w:val="10"/>
                <w:lang w:val="en-US" w:eastAsia="zh-CN" w:bidi="ar"/>
              </w:rPr>
              <w:t>（重点实际支出</w:t>
            </w:r>
            <w:r>
              <w:rPr>
                <w:rStyle w:val="11"/>
                <w:rFonts w:eastAsia="宋体"/>
                <w:lang w:val="en-US" w:eastAsia="zh-CN" w:bidi="ar"/>
              </w:rPr>
              <w:t>/</w:t>
            </w:r>
            <w:r>
              <w:rPr>
                <w:rStyle w:val="10"/>
                <w:lang w:val="en-US" w:eastAsia="zh-CN" w:bidi="ar"/>
              </w:rPr>
              <w:t>重点预算支出）</w:t>
            </w:r>
            <w:r>
              <w:rPr>
                <w:rStyle w:val="11"/>
                <w:rFonts w:eastAsia="宋体"/>
                <w:lang w:val="en-US" w:eastAsia="zh-CN" w:bidi="ar"/>
              </w:rPr>
              <w:t>×100%</w:t>
            </w:r>
            <w:r>
              <w:rPr>
                <w:rStyle w:val="10"/>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1"/>
                <w:rFonts w:eastAsia="宋体"/>
                <w:lang w:val="en-US" w:eastAsia="zh-CN" w:bidi="ar"/>
              </w:rPr>
              <w:br w:type="textWrapping"/>
            </w:r>
            <w:r>
              <w:rPr>
                <w:rStyle w:val="10"/>
                <w:lang w:val="en-US" w:eastAsia="zh-CN" w:bidi="ar"/>
              </w:rPr>
              <w:t>该项得分</w:t>
            </w:r>
            <w:r>
              <w:rPr>
                <w:rStyle w:val="11"/>
                <w:rFonts w:eastAsia="宋体"/>
                <w:lang w:val="en-US" w:eastAsia="zh-CN" w:bidi="ar"/>
              </w:rPr>
              <w:t>=</w:t>
            </w:r>
            <w:r>
              <w:rPr>
                <w:rStyle w:val="10"/>
                <w:lang w:val="en-US" w:eastAsia="zh-CN" w:bidi="ar"/>
              </w:rPr>
              <w:t>安排率</w:t>
            </w:r>
            <w:r>
              <w:rPr>
                <w:rStyle w:val="11"/>
                <w:rFonts w:eastAsia="宋体"/>
                <w:lang w:val="en-US" w:eastAsia="zh-CN" w:bidi="ar"/>
              </w:rPr>
              <w:t>×2</w:t>
            </w:r>
            <w:r>
              <w:rPr>
                <w:rStyle w:val="10"/>
                <w:lang w:val="en-US" w:eastAsia="zh-CN" w:bidi="ar"/>
              </w:rPr>
              <w:t>分。每超出</w:t>
            </w:r>
            <w:r>
              <w:rPr>
                <w:rStyle w:val="11"/>
                <w:rFonts w:eastAsia="宋体"/>
                <w:lang w:val="en-US" w:eastAsia="zh-CN" w:bidi="ar"/>
              </w:rPr>
              <w:t>5</w:t>
            </w:r>
            <w:r>
              <w:rPr>
                <w:rStyle w:val="10"/>
                <w:lang w:val="en-US" w:eastAsia="zh-CN" w:bidi="ar"/>
              </w:rPr>
              <w:t>%扣</w:t>
            </w:r>
            <w:r>
              <w:rPr>
                <w:rStyle w:val="11"/>
                <w:rFonts w:eastAsia="宋体"/>
                <w:lang w:val="en-US" w:eastAsia="zh-CN" w:bidi="ar"/>
              </w:rPr>
              <w:t>0.5</w:t>
            </w:r>
            <w:r>
              <w:rPr>
                <w:rStyle w:val="10"/>
                <w:lang w:val="en-US" w:eastAsia="zh-CN" w:bidi="ar"/>
              </w:rPr>
              <w:t>分，扣完为止。</w:t>
            </w:r>
          </w:p>
        </w:tc>
        <w:tc>
          <w:tcPr>
            <w:tcW w:w="2115" w:type="dxa"/>
            <w:tcBorders>
              <w:tl2br w:val="nil"/>
              <w:tr2bl w:val="nil"/>
            </w:tcBorders>
            <w:noWrap w:val="0"/>
            <w:vAlign w:val="center"/>
          </w:tcPr>
          <w:p w14:paraId="4E1EE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7676EC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B23F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7963D8C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2D715A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0708F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非税</w:t>
            </w:r>
            <w:r>
              <w:rPr>
                <w:rStyle w:val="11"/>
                <w:rFonts w:eastAsia="宋体"/>
                <w:lang w:val="en-US" w:eastAsia="zh-CN" w:bidi="ar"/>
              </w:rPr>
              <w:br w:type="textWrapping"/>
            </w:r>
            <w:r>
              <w:rPr>
                <w:rStyle w:val="10"/>
                <w:lang w:val="en-US" w:eastAsia="zh-CN" w:bidi="ar"/>
              </w:rPr>
              <w:t>收入</w:t>
            </w:r>
            <w:r>
              <w:rPr>
                <w:rStyle w:val="11"/>
                <w:rFonts w:eastAsia="宋体"/>
                <w:lang w:val="en-US" w:eastAsia="zh-CN" w:bidi="ar"/>
              </w:rPr>
              <w:br w:type="textWrapping"/>
            </w:r>
            <w:r>
              <w:rPr>
                <w:rStyle w:val="10"/>
                <w:lang w:val="en-US" w:eastAsia="zh-CN" w:bidi="ar"/>
              </w:rPr>
              <w:t>安排率</w:t>
            </w:r>
          </w:p>
        </w:tc>
        <w:tc>
          <w:tcPr>
            <w:tcW w:w="495" w:type="dxa"/>
            <w:tcBorders>
              <w:tl2br w:val="nil"/>
              <w:tr2bl w:val="nil"/>
            </w:tcBorders>
            <w:noWrap w:val="0"/>
            <w:vAlign w:val="center"/>
          </w:tcPr>
          <w:p w14:paraId="2FB695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76F481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反映部门本年度非税收入完成情况。</w:t>
            </w:r>
          </w:p>
        </w:tc>
        <w:tc>
          <w:tcPr>
            <w:tcW w:w="5112" w:type="dxa"/>
            <w:tcBorders>
              <w:tl2br w:val="nil"/>
              <w:tr2bl w:val="nil"/>
            </w:tcBorders>
            <w:noWrap w:val="0"/>
            <w:vAlign w:val="center"/>
          </w:tcPr>
          <w:p w14:paraId="6731CF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非税收入完成率</w:t>
            </w:r>
            <w:r>
              <w:rPr>
                <w:rStyle w:val="11"/>
                <w:rFonts w:eastAsia="宋体"/>
                <w:lang w:val="en-US" w:eastAsia="zh-CN" w:bidi="ar"/>
              </w:rPr>
              <w:t>=</w:t>
            </w:r>
            <w:r>
              <w:rPr>
                <w:rStyle w:val="10"/>
                <w:lang w:val="en-US" w:eastAsia="zh-CN" w:bidi="ar"/>
              </w:rPr>
              <w:t>（非税实际收入完成数</w:t>
            </w:r>
            <w:r>
              <w:rPr>
                <w:rStyle w:val="11"/>
                <w:rFonts w:eastAsia="宋体"/>
                <w:lang w:val="en-US" w:eastAsia="zh-CN" w:bidi="ar"/>
              </w:rPr>
              <w:t>/</w:t>
            </w:r>
            <w:r>
              <w:rPr>
                <w:rStyle w:val="10"/>
                <w:lang w:val="en-US" w:eastAsia="zh-CN" w:bidi="ar"/>
              </w:rPr>
              <w:t>非税收入预算数）</w:t>
            </w:r>
            <w:r>
              <w:rPr>
                <w:rStyle w:val="11"/>
                <w:rFonts w:eastAsia="宋体"/>
                <w:lang w:val="en-US" w:eastAsia="zh-CN" w:bidi="ar"/>
              </w:rPr>
              <w:t>×100%</w:t>
            </w:r>
            <w:r>
              <w:rPr>
                <w:rStyle w:val="10"/>
                <w:lang w:val="en-US" w:eastAsia="zh-CN" w:bidi="ar"/>
              </w:rPr>
              <w:t>，有减免因素的，以财政事务中心确定的为准。</w:t>
            </w:r>
            <w:r>
              <w:rPr>
                <w:rStyle w:val="11"/>
                <w:rFonts w:eastAsia="宋体"/>
                <w:lang w:val="en-US" w:eastAsia="zh-CN" w:bidi="ar"/>
              </w:rPr>
              <w:br w:type="textWrapping"/>
            </w:r>
            <w:r>
              <w:rPr>
                <w:rStyle w:val="10"/>
                <w:lang w:val="en-US" w:eastAsia="zh-CN" w:bidi="ar"/>
              </w:rPr>
              <w:t>该项得分</w:t>
            </w:r>
            <w:r>
              <w:rPr>
                <w:rStyle w:val="11"/>
                <w:rFonts w:eastAsia="宋体"/>
                <w:lang w:val="en-US" w:eastAsia="zh-CN" w:bidi="ar"/>
              </w:rPr>
              <w:t>=</w:t>
            </w:r>
            <w:r>
              <w:rPr>
                <w:rStyle w:val="10"/>
                <w:lang w:val="en-US" w:eastAsia="zh-CN" w:bidi="ar"/>
              </w:rPr>
              <w:t>完成率</w:t>
            </w:r>
            <w:r>
              <w:rPr>
                <w:rStyle w:val="11"/>
                <w:rFonts w:eastAsia="宋体"/>
                <w:lang w:val="en-US" w:eastAsia="zh-CN" w:bidi="ar"/>
              </w:rPr>
              <w:t>×1</w:t>
            </w:r>
            <w:r>
              <w:rPr>
                <w:rStyle w:val="10"/>
                <w:lang w:val="en-US" w:eastAsia="zh-CN" w:bidi="ar"/>
              </w:rPr>
              <w:t>分。</w:t>
            </w:r>
          </w:p>
        </w:tc>
        <w:tc>
          <w:tcPr>
            <w:tcW w:w="2115" w:type="dxa"/>
            <w:tcBorders>
              <w:tl2br w:val="nil"/>
              <w:tr2bl w:val="nil"/>
            </w:tcBorders>
            <w:noWrap w:val="0"/>
            <w:vAlign w:val="center"/>
          </w:tcPr>
          <w:p w14:paraId="08FE9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731590D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0C1E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66356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过程</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47</w:t>
            </w:r>
            <w:r>
              <w:rPr>
                <w:rStyle w:val="10"/>
                <w:lang w:val="en-US" w:eastAsia="zh-CN" w:bidi="ar"/>
              </w:rPr>
              <w:t>分）</w:t>
            </w:r>
          </w:p>
        </w:tc>
        <w:tc>
          <w:tcPr>
            <w:tcW w:w="870" w:type="dxa"/>
            <w:vMerge w:val="restart"/>
            <w:tcBorders>
              <w:tl2br w:val="nil"/>
              <w:tr2bl w:val="nil"/>
            </w:tcBorders>
            <w:noWrap w:val="0"/>
            <w:vAlign w:val="center"/>
          </w:tcPr>
          <w:p w14:paraId="730D1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执行</w:t>
            </w:r>
            <w:r>
              <w:rPr>
                <w:rStyle w:val="11"/>
                <w:rFonts w:eastAsia="宋体"/>
                <w:lang w:val="en-US" w:eastAsia="zh-CN" w:bidi="ar"/>
              </w:rPr>
              <w:br w:type="textWrapping"/>
            </w:r>
            <w:r>
              <w:rPr>
                <w:rStyle w:val="11"/>
                <w:rFonts w:eastAsia="宋体"/>
                <w:lang w:val="en-US" w:eastAsia="zh-CN" w:bidi="ar"/>
              </w:rPr>
              <w:t>(13</w:t>
            </w:r>
            <w:r>
              <w:rPr>
                <w:rStyle w:val="10"/>
                <w:lang w:val="en-US" w:eastAsia="zh-CN" w:bidi="ar"/>
              </w:rPr>
              <w:t>分）</w:t>
            </w:r>
          </w:p>
        </w:tc>
        <w:tc>
          <w:tcPr>
            <w:tcW w:w="1050" w:type="dxa"/>
            <w:tcBorders>
              <w:tl2br w:val="nil"/>
              <w:tr2bl w:val="nil"/>
            </w:tcBorders>
            <w:noWrap w:val="0"/>
            <w:vAlign w:val="center"/>
          </w:tcPr>
          <w:p w14:paraId="7EEBCE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执行率</w:t>
            </w:r>
          </w:p>
        </w:tc>
        <w:tc>
          <w:tcPr>
            <w:tcW w:w="495" w:type="dxa"/>
            <w:tcBorders>
              <w:tl2br w:val="nil"/>
              <w:tr2bl w:val="nil"/>
            </w:tcBorders>
            <w:noWrap w:val="0"/>
            <w:vAlign w:val="center"/>
          </w:tcPr>
          <w:p w14:paraId="50E8C4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60C9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58EEBE8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①预算执行率</w:t>
            </w:r>
            <w:r>
              <w:rPr>
                <w:rStyle w:val="11"/>
                <w:rFonts w:eastAsia="宋体"/>
                <w:lang w:val="en-US" w:eastAsia="zh-CN" w:bidi="ar"/>
              </w:rPr>
              <w:t>=</w:t>
            </w:r>
            <w:r>
              <w:rPr>
                <w:rStyle w:val="10"/>
                <w:lang w:val="en-US" w:eastAsia="zh-CN" w:bidi="ar"/>
              </w:rPr>
              <w:t>（预算完成数</w:t>
            </w:r>
            <w:r>
              <w:rPr>
                <w:rStyle w:val="11"/>
                <w:rFonts w:eastAsia="宋体"/>
                <w:lang w:val="en-US" w:eastAsia="zh-CN" w:bidi="ar"/>
              </w:rPr>
              <w:t>/</w:t>
            </w:r>
            <w:r>
              <w:rPr>
                <w:rStyle w:val="10"/>
                <w:lang w:val="en-US" w:eastAsia="zh-CN" w:bidi="ar"/>
              </w:rPr>
              <w:t>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预算执行数：部门（单位）本年度实际完成的预算数。</w:t>
            </w:r>
            <w:r>
              <w:rPr>
                <w:rStyle w:val="11"/>
                <w:rFonts w:eastAsia="宋体"/>
                <w:lang w:val="en-US" w:eastAsia="zh-CN" w:bidi="ar"/>
              </w:rPr>
              <w:br w:type="textWrapping"/>
            </w:r>
            <w:r>
              <w:rPr>
                <w:rStyle w:val="10"/>
                <w:lang w:val="en-US" w:eastAsia="zh-CN" w:bidi="ar"/>
              </w:rPr>
              <w:t>预算数：财政部门批复的本年度部门（单位）预算数及追加的预算数。</w:t>
            </w:r>
            <w:r>
              <w:rPr>
                <w:rStyle w:val="11"/>
                <w:rFonts w:eastAsia="宋体"/>
                <w:lang w:val="en-US" w:eastAsia="zh-CN" w:bidi="ar"/>
              </w:rPr>
              <w:br w:type="textWrapping"/>
            </w:r>
            <w:r>
              <w:rPr>
                <w:rStyle w:val="10"/>
                <w:lang w:val="en-US" w:eastAsia="zh-CN" w:bidi="ar"/>
              </w:rPr>
              <w:t>该项得分，全年预算执行率</w:t>
            </w:r>
            <w:r>
              <w:rPr>
                <w:rStyle w:val="11"/>
                <w:rFonts w:eastAsia="宋体"/>
                <w:lang w:val="en-US" w:eastAsia="zh-CN" w:bidi="ar"/>
              </w:rPr>
              <w:t>95%</w:t>
            </w:r>
            <w:r>
              <w:rPr>
                <w:rStyle w:val="10"/>
                <w:lang w:val="en-US" w:eastAsia="zh-CN" w:bidi="ar"/>
              </w:rPr>
              <w:t>以上计</w:t>
            </w:r>
            <w:r>
              <w:rPr>
                <w:rStyle w:val="11"/>
                <w:rFonts w:eastAsia="宋体"/>
                <w:lang w:val="en-US" w:eastAsia="zh-CN" w:bidi="ar"/>
              </w:rPr>
              <w:t>2</w:t>
            </w:r>
            <w:r>
              <w:rPr>
                <w:rStyle w:val="10"/>
                <w:lang w:val="en-US" w:eastAsia="zh-CN" w:bidi="ar"/>
              </w:rPr>
              <w:t>分，</w:t>
            </w:r>
            <w:r>
              <w:rPr>
                <w:rStyle w:val="11"/>
                <w:rFonts w:eastAsia="宋体"/>
                <w:lang w:val="en-US" w:eastAsia="zh-CN" w:bidi="ar"/>
              </w:rPr>
              <w:t>95-90%</w:t>
            </w:r>
            <w:r>
              <w:rPr>
                <w:rStyle w:val="10"/>
                <w:lang w:val="en-US" w:eastAsia="zh-CN" w:bidi="ar"/>
              </w:rPr>
              <w:t>（含），计</w:t>
            </w:r>
            <w:r>
              <w:rPr>
                <w:rStyle w:val="11"/>
                <w:rFonts w:eastAsia="宋体"/>
                <w:lang w:val="en-US" w:eastAsia="zh-CN" w:bidi="ar"/>
              </w:rPr>
              <w:t>1</w:t>
            </w:r>
            <w:r>
              <w:rPr>
                <w:rStyle w:val="10"/>
                <w:lang w:val="en-US" w:eastAsia="zh-CN" w:bidi="ar"/>
              </w:rPr>
              <w:t>分，</w:t>
            </w:r>
            <w:r>
              <w:rPr>
                <w:rStyle w:val="11"/>
                <w:rFonts w:eastAsia="宋体"/>
                <w:lang w:val="en-US" w:eastAsia="zh-CN" w:bidi="ar"/>
              </w:rPr>
              <w:t>90-80%</w:t>
            </w:r>
            <w:r>
              <w:rPr>
                <w:rStyle w:val="10"/>
                <w:lang w:val="en-US" w:eastAsia="zh-CN" w:bidi="ar"/>
              </w:rPr>
              <w:t>（含），计</w:t>
            </w:r>
            <w:r>
              <w:rPr>
                <w:rStyle w:val="11"/>
                <w:rFonts w:eastAsia="宋体"/>
                <w:lang w:val="en-US" w:eastAsia="zh-CN" w:bidi="ar"/>
              </w:rPr>
              <w:t>0.5</w:t>
            </w:r>
            <w:r>
              <w:rPr>
                <w:rStyle w:val="10"/>
                <w:lang w:val="en-US" w:eastAsia="zh-CN" w:bidi="ar"/>
              </w:rPr>
              <w:t>分，小于</w:t>
            </w:r>
            <w:r>
              <w:rPr>
                <w:rStyle w:val="11"/>
                <w:rFonts w:eastAsia="宋体"/>
                <w:lang w:val="en-US" w:eastAsia="zh-CN" w:bidi="ar"/>
              </w:rPr>
              <w:t>80%</w:t>
            </w:r>
            <w:r>
              <w:rPr>
                <w:rStyle w:val="10"/>
                <w:lang w:val="en-US" w:eastAsia="zh-CN" w:bidi="ar"/>
              </w:rPr>
              <w:t>不得分；</w:t>
            </w:r>
            <w:r>
              <w:rPr>
                <w:rStyle w:val="11"/>
                <w:rFonts w:eastAsia="宋体"/>
                <w:lang w:val="en-US" w:eastAsia="zh-CN" w:bidi="ar"/>
              </w:rPr>
              <w:br w:type="textWrapping"/>
            </w:r>
            <w:r>
              <w:rPr>
                <w:rStyle w:val="10"/>
                <w:lang w:val="en-US" w:eastAsia="zh-CN" w:bidi="ar"/>
              </w:rPr>
              <w:t>②绩效目标执行监控是否按要求完成。</w:t>
            </w:r>
            <w:r>
              <w:rPr>
                <w:rStyle w:val="11"/>
                <w:rFonts w:eastAsia="宋体"/>
                <w:lang w:val="en-US" w:eastAsia="zh-CN" w:bidi="ar"/>
              </w:rPr>
              <w:br w:type="textWrapping"/>
            </w:r>
            <w:r>
              <w:rPr>
                <w:rStyle w:val="10"/>
                <w:lang w:val="en-US" w:eastAsia="zh-CN" w:bidi="ar"/>
              </w:rPr>
              <w:t>该项得分，实施项目资金运行监控的得</w:t>
            </w:r>
            <w:r>
              <w:rPr>
                <w:rStyle w:val="11"/>
                <w:rFonts w:eastAsia="宋体"/>
                <w:lang w:val="en-US" w:eastAsia="zh-CN" w:bidi="ar"/>
              </w:rPr>
              <w:t>2</w:t>
            </w:r>
            <w:r>
              <w:rPr>
                <w:rStyle w:val="10"/>
                <w:lang w:val="en-US" w:eastAsia="zh-CN" w:bidi="ar"/>
              </w:rPr>
              <w:t>分，未实施的不得分。</w:t>
            </w:r>
          </w:p>
        </w:tc>
        <w:tc>
          <w:tcPr>
            <w:tcW w:w="2115" w:type="dxa"/>
            <w:tcBorders>
              <w:tl2br w:val="nil"/>
              <w:tr2bl w:val="nil"/>
            </w:tcBorders>
            <w:noWrap w:val="0"/>
            <w:vAlign w:val="center"/>
          </w:tcPr>
          <w:p w14:paraId="09B41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228CEF8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43BE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4BF6A70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A744B7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CF967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调整率</w:t>
            </w:r>
          </w:p>
        </w:tc>
        <w:tc>
          <w:tcPr>
            <w:tcW w:w="495" w:type="dxa"/>
            <w:tcBorders>
              <w:tl2br w:val="nil"/>
              <w:tr2bl w:val="nil"/>
            </w:tcBorders>
            <w:noWrap w:val="0"/>
            <w:vAlign w:val="center"/>
          </w:tcPr>
          <w:p w14:paraId="0EC1B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01769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7056E79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预算调整率</w:t>
            </w:r>
            <w:r>
              <w:rPr>
                <w:rStyle w:val="11"/>
                <w:rFonts w:eastAsia="宋体"/>
                <w:lang w:val="en-US" w:eastAsia="zh-CN" w:bidi="ar"/>
              </w:rPr>
              <w:t>=</w:t>
            </w:r>
            <w:r>
              <w:rPr>
                <w:rStyle w:val="10"/>
                <w:lang w:val="en-US" w:eastAsia="zh-CN" w:bidi="ar"/>
              </w:rPr>
              <w:t>（预算调整数</w:t>
            </w:r>
            <w:r>
              <w:rPr>
                <w:rStyle w:val="11"/>
                <w:rFonts w:eastAsia="宋体"/>
                <w:lang w:val="en-US" w:eastAsia="zh-CN" w:bidi="ar"/>
              </w:rPr>
              <w:t>/</w:t>
            </w:r>
            <w:r>
              <w:rPr>
                <w:rStyle w:val="10"/>
                <w:lang w:val="en-US" w:eastAsia="zh-CN" w:bidi="ar"/>
              </w:rPr>
              <w:t>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1"/>
                <w:rFonts w:eastAsia="宋体"/>
                <w:lang w:val="en-US" w:eastAsia="zh-CN" w:bidi="ar"/>
              </w:rPr>
              <w:br w:type="textWrapping"/>
            </w:r>
            <w:r>
              <w:rPr>
                <w:rStyle w:val="10"/>
                <w:lang w:val="en-US" w:eastAsia="zh-CN" w:bidi="ar"/>
              </w:rPr>
              <w:t>该项得分，预算调整率</w:t>
            </w:r>
            <w:r>
              <w:rPr>
                <w:rStyle w:val="11"/>
                <w:rFonts w:eastAsia="宋体"/>
                <w:lang w:val="en-US" w:eastAsia="zh-CN" w:bidi="ar"/>
              </w:rPr>
              <w:t>&lt;5%</w:t>
            </w:r>
            <w:r>
              <w:rPr>
                <w:rStyle w:val="10"/>
                <w:lang w:val="en-US" w:eastAsia="zh-CN" w:bidi="ar"/>
              </w:rPr>
              <w:t>，计</w:t>
            </w:r>
            <w:r>
              <w:rPr>
                <w:rStyle w:val="11"/>
                <w:rFonts w:eastAsia="宋体"/>
                <w:lang w:val="en-US" w:eastAsia="zh-CN" w:bidi="ar"/>
              </w:rPr>
              <w:t>2</w:t>
            </w:r>
            <w:r>
              <w:rPr>
                <w:rStyle w:val="10"/>
                <w:lang w:val="en-US" w:eastAsia="zh-CN" w:bidi="ar"/>
              </w:rPr>
              <w:t>分；</w:t>
            </w:r>
            <w:r>
              <w:rPr>
                <w:rStyle w:val="11"/>
                <w:rFonts w:eastAsia="宋体"/>
                <w:lang w:val="en-US" w:eastAsia="zh-CN" w:bidi="ar"/>
              </w:rPr>
              <w:t>5-10%</w:t>
            </w:r>
            <w:r>
              <w:rPr>
                <w:rStyle w:val="10"/>
                <w:lang w:val="en-US" w:eastAsia="zh-CN" w:bidi="ar"/>
              </w:rPr>
              <w:t>（含），计</w:t>
            </w:r>
            <w:r>
              <w:rPr>
                <w:rStyle w:val="11"/>
                <w:rFonts w:eastAsia="宋体"/>
                <w:lang w:val="en-US" w:eastAsia="zh-CN" w:bidi="ar"/>
              </w:rPr>
              <w:t>1</w:t>
            </w:r>
            <w:r>
              <w:rPr>
                <w:rStyle w:val="10"/>
                <w:lang w:val="en-US" w:eastAsia="zh-CN" w:bidi="ar"/>
              </w:rPr>
              <w:t>分；大于</w:t>
            </w:r>
            <w:r>
              <w:rPr>
                <w:rStyle w:val="11"/>
                <w:rFonts w:eastAsia="宋体"/>
                <w:lang w:val="en-US" w:eastAsia="zh-CN" w:bidi="ar"/>
              </w:rPr>
              <w:t>10%</w:t>
            </w:r>
            <w:r>
              <w:rPr>
                <w:rStyle w:val="10"/>
                <w:lang w:val="en-US" w:eastAsia="zh-CN" w:bidi="ar"/>
              </w:rPr>
              <w:t>不得分。</w:t>
            </w:r>
          </w:p>
        </w:tc>
        <w:tc>
          <w:tcPr>
            <w:tcW w:w="2115" w:type="dxa"/>
            <w:tcBorders>
              <w:tl2br w:val="nil"/>
              <w:tr2bl w:val="nil"/>
            </w:tcBorders>
            <w:noWrap w:val="0"/>
            <w:vAlign w:val="center"/>
          </w:tcPr>
          <w:p w14:paraId="079F8C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6E516E5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14:paraId="725F0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6F0108A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8B2423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0FDE1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结转</w:t>
            </w:r>
            <w:r>
              <w:rPr>
                <w:rStyle w:val="11"/>
                <w:rFonts w:eastAsia="宋体"/>
                <w:lang w:val="en-US" w:eastAsia="zh-CN" w:bidi="ar"/>
              </w:rPr>
              <w:br w:type="textWrapping"/>
            </w:r>
            <w:r>
              <w:rPr>
                <w:rStyle w:val="10"/>
                <w:lang w:val="en-US" w:eastAsia="zh-CN" w:bidi="ar"/>
              </w:rPr>
              <w:t>结余</w:t>
            </w:r>
          </w:p>
        </w:tc>
        <w:tc>
          <w:tcPr>
            <w:tcW w:w="495" w:type="dxa"/>
            <w:tcBorders>
              <w:tl2br w:val="nil"/>
              <w:tr2bl w:val="nil"/>
            </w:tcBorders>
            <w:noWrap w:val="0"/>
            <w:vAlign w:val="center"/>
          </w:tcPr>
          <w:p w14:paraId="550BE3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3C1683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3FF7E7A0">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结转结余率</w:t>
            </w:r>
            <w:r>
              <w:rPr>
                <w:rStyle w:val="11"/>
                <w:rFonts w:eastAsia="宋体"/>
                <w:lang w:val="en-US" w:eastAsia="zh-CN" w:bidi="ar"/>
              </w:rPr>
              <w:t>=</w:t>
            </w:r>
            <w:r>
              <w:rPr>
                <w:rStyle w:val="10"/>
                <w:lang w:val="en-US" w:eastAsia="zh-CN" w:bidi="ar"/>
              </w:rPr>
              <w:t>结转结余总额</w:t>
            </w:r>
            <w:r>
              <w:rPr>
                <w:rStyle w:val="11"/>
                <w:rFonts w:eastAsia="宋体"/>
                <w:lang w:val="en-US" w:eastAsia="zh-CN" w:bidi="ar"/>
              </w:rPr>
              <w:t>/</w:t>
            </w:r>
            <w:r>
              <w:rPr>
                <w:rStyle w:val="10"/>
                <w:lang w:val="en-US" w:eastAsia="zh-CN" w:bidi="ar"/>
              </w:rPr>
              <w:t>支出预算数</w:t>
            </w:r>
            <w:r>
              <w:rPr>
                <w:rStyle w:val="11"/>
                <w:rFonts w:eastAsia="宋体"/>
                <w:lang w:val="en-US" w:eastAsia="zh-CN" w:bidi="ar"/>
              </w:rPr>
              <w:t>×100%</w:t>
            </w:r>
            <w:r>
              <w:rPr>
                <w:rStyle w:val="10"/>
                <w:lang w:val="en-US" w:eastAsia="zh-CN" w:bidi="ar"/>
              </w:rPr>
              <w:t>。结转结余总额：部门本年度的结转资金与结余资金之和（以决算数为准）。</w:t>
            </w:r>
            <w:r>
              <w:rPr>
                <w:rStyle w:val="11"/>
                <w:rFonts w:eastAsia="宋体"/>
                <w:lang w:val="en-US" w:eastAsia="zh-CN" w:bidi="ar"/>
              </w:rPr>
              <w:br w:type="textWrapping"/>
            </w:r>
            <w:r>
              <w:rPr>
                <w:rStyle w:val="10"/>
                <w:lang w:val="en-US" w:eastAsia="zh-CN" w:bidi="ar"/>
              </w:rPr>
              <w:t>该项得分，结余率</w:t>
            </w:r>
            <w:r>
              <w:rPr>
                <w:rStyle w:val="11"/>
                <w:rFonts w:eastAsia="宋体"/>
                <w:lang w:val="en-US" w:eastAsia="zh-CN" w:bidi="ar"/>
              </w:rPr>
              <w:t>≤10%</w:t>
            </w:r>
            <w:r>
              <w:rPr>
                <w:rStyle w:val="10"/>
                <w:lang w:val="en-US" w:eastAsia="zh-CN" w:bidi="ar"/>
              </w:rPr>
              <w:t>的，计</w:t>
            </w:r>
            <w:r>
              <w:rPr>
                <w:rStyle w:val="11"/>
                <w:rFonts w:eastAsia="宋体"/>
                <w:lang w:val="en-US" w:eastAsia="zh-CN" w:bidi="ar"/>
              </w:rPr>
              <w:t>1</w:t>
            </w:r>
            <w:r>
              <w:rPr>
                <w:rStyle w:val="10"/>
                <w:lang w:val="en-US" w:eastAsia="zh-CN" w:bidi="ar"/>
              </w:rPr>
              <w:t>分；结余率</w:t>
            </w:r>
            <w:r>
              <w:rPr>
                <w:rStyle w:val="11"/>
                <w:rFonts w:eastAsia="宋体"/>
                <w:lang w:val="en-US" w:eastAsia="zh-CN" w:bidi="ar"/>
              </w:rPr>
              <w:t>&gt;10%</w:t>
            </w:r>
            <w:r>
              <w:rPr>
                <w:rStyle w:val="10"/>
                <w:lang w:val="en-US" w:eastAsia="zh-CN" w:bidi="ar"/>
              </w:rPr>
              <w:t>（不含），</w:t>
            </w:r>
            <w:r>
              <w:rPr>
                <w:rStyle w:val="11"/>
                <w:rFonts w:eastAsia="宋体"/>
                <w:lang w:val="en-US" w:eastAsia="zh-CN" w:bidi="ar"/>
              </w:rPr>
              <w:t>0.5</w:t>
            </w:r>
            <w:r>
              <w:rPr>
                <w:rStyle w:val="10"/>
                <w:lang w:val="en-US" w:eastAsia="zh-CN" w:bidi="ar"/>
              </w:rPr>
              <w:t>分；本年超支的，计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13010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4172C69">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05ECB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61CA1EB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F465EE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4BA5C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公用经费</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14:paraId="365E02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31675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45BCF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公用经费控制率</w:t>
            </w:r>
            <w:r>
              <w:rPr>
                <w:rStyle w:val="11"/>
                <w:rFonts w:eastAsia="宋体"/>
                <w:lang w:val="en-US" w:eastAsia="zh-CN" w:bidi="ar"/>
              </w:rPr>
              <w:t>=</w:t>
            </w:r>
            <w:r>
              <w:rPr>
                <w:rStyle w:val="10"/>
                <w:lang w:val="en-US" w:eastAsia="zh-CN" w:bidi="ar"/>
              </w:rPr>
              <w:t>（实际支出公用经费总额</w:t>
            </w:r>
            <w:r>
              <w:rPr>
                <w:rStyle w:val="11"/>
                <w:rFonts w:eastAsia="宋体"/>
                <w:lang w:val="en-US" w:eastAsia="zh-CN" w:bidi="ar"/>
              </w:rPr>
              <w:t>/</w:t>
            </w:r>
            <w:r>
              <w:rPr>
                <w:rStyle w:val="10"/>
                <w:lang w:val="en-US" w:eastAsia="zh-CN" w:bidi="ar"/>
              </w:rPr>
              <w:t>预算安排公用经费总额）</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该项得分，控制率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分，控制率</w:t>
            </w:r>
            <w:r>
              <w:rPr>
                <w:rStyle w:val="11"/>
                <w:rFonts w:eastAsia="宋体"/>
                <w:lang w:val="en-US" w:eastAsia="zh-CN" w:bidi="ar"/>
              </w:rPr>
              <w:t>&gt;100%</w:t>
            </w:r>
            <w:r>
              <w:rPr>
                <w:rStyle w:val="10"/>
                <w:lang w:val="en-US" w:eastAsia="zh-CN" w:bidi="ar"/>
              </w:rPr>
              <w:t>，计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739B2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0479E34C">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65C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67CB581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F8C9763">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D893C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14:paraId="116B4C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3B1F00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实际支出数与预算安排数的比率，用以反映和考核部门（单位）对</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的实际控制程度。</w:t>
            </w:r>
          </w:p>
        </w:tc>
        <w:tc>
          <w:tcPr>
            <w:tcW w:w="5112" w:type="dxa"/>
            <w:tcBorders>
              <w:tl2br w:val="nil"/>
              <w:tr2bl w:val="nil"/>
            </w:tcBorders>
            <w:noWrap w:val="0"/>
            <w:vAlign w:val="center"/>
          </w:tcPr>
          <w:p w14:paraId="5423AB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控制率</w:t>
            </w:r>
            <w:r>
              <w:rPr>
                <w:rStyle w:val="11"/>
                <w:rFonts w:eastAsia="宋体"/>
                <w:lang w:val="en-US" w:eastAsia="zh-CN" w:bidi="ar"/>
              </w:rPr>
              <w:t>=</w:t>
            </w:r>
            <w:r>
              <w:rPr>
                <w:rStyle w:val="10"/>
                <w:lang w:val="en-US" w:eastAsia="zh-CN" w:bidi="ar"/>
              </w:rPr>
              <w:t>（</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实际支出数</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预算安排数）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该项得分，控制率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分，控制率</w:t>
            </w:r>
            <w:r>
              <w:rPr>
                <w:rStyle w:val="11"/>
                <w:rFonts w:eastAsia="宋体"/>
                <w:lang w:val="en-US" w:eastAsia="zh-CN" w:bidi="ar"/>
              </w:rPr>
              <w:t>&gt;100%</w:t>
            </w:r>
            <w:r>
              <w:rPr>
                <w:rStyle w:val="10"/>
                <w:lang w:val="en-US" w:eastAsia="zh-CN" w:bidi="ar"/>
              </w:rPr>
              <w:t>，计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6A2E5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5179E7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6CF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63866A9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55CA535">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8C65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政府采购</w:t>
            </w:r>
            <w:r>
              <w:rPr>
                <w:rStyle w:val="11"/>
                <w:rFonts w:eastAsia="宋体"/>
                <w:lang w:val="en-US" w:eastAsia="zh-CN" w:bidi="ar"/>
              </w:rPr>
              <w:br w:type="textWrapping"/>
            </w:r>
            <w:r>
              <w:rPr>
                <w:rStyle w:val="10"/>
                <w:lang w:val="en-US" w:eastAsia="zh-CN" w:bidi="ar"/>
              </w:rPr>
              <w:t>执行率和</w:t>
            </w:r>
            <w:r>
              <w:rPr>
                <w:rStyle w:val="11"/>
                <w:rFonts w:eastAsia="宋体"/>
                <w:lang w:val="en-US" w:eastAsia="zh-CN" w:bidi="ar"/>
              </w:rPr>
              <w:br w:type="textWrapping"/>
            </w:r>
            <w:r>
              <w:rPr>
                <w:rStyle w:val="10"/>
                <w:lang w:val="en-US" w:eastAsia="zh-CN" w:bidi="ar"/>
              </w:rPr>
              <w:t>规范性</w:t>
            </w:r>
          </w:p>
        </w:tc>
        <w:tc>
          <w:tcPr>
            <w:tcW w:w="495" w:type="dxa"/>
            <w:tcBorders>
              <w:tl2br w:val="nil"/>
              <w:tr2bl w:val="nil"/>
            </w:tcBorders>
            <w:noWrap w:val="0"/>
            <w:vAlign w:val="center"/>
          </w:tcPr>
          <w:p w14:paraId="77D5B2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FEAFD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776E2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①政府采购预算执行率</w:t>
            </w:r>
            <w:r>
              <w:rPr>
                <w:rStyle w:val="11"/>
                <w:rFonts w:eastAsia="宋体"/>
                <w:lang w:val="en-US" w:eastAsia="zh-CN" w:bidi="ar"/>
              </w:rPr>
              <w:t>=</w:t>
            </w:r>
            <w:r>
              <w:rPr>
                <w:rStyle w:val="10"/>
                <w:lang w:val="en-US" w:eastAsia="zh-CN" w:bidi="ar"/>
              </w:rPr>
              <w:t>（实际政府采购金额</w:t>
            </w:r>
            <w:r>
              <w:rPr>
                <w:rStyle w:val="11"/>
                <w:rFonts w:eastAsia="宋体"/>
                <w:lang w:val="en-US" w:eastAsia="zh-CN" w:bidi="ar"/>
              </w:rPr>
              <w:t>/</w:t>
            </w:r>
            <w:r>
              <w:rPr>
                <w:rStyle w:val="10"/>
                <w:lang w:val="en-US" w:eastAsia="zh-CN" w:bidi="ar"/>
              </w:rPr>
              <w:t>政府采购预算数）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政府采购预算：采购机关根据事业发展计划和行政任务编制的、并经过规定程序批准的年度政府采购计划。</w:t>
            </w:r>
            <w:r>
              <w:rPr>
                <w:rStyle w:val="11"/>
                <w:rFonts w:eastAsia="宋体"/>
                <w:lang w:val="en-US" w:eastAsia="zh-CN" w:bidi="ar"/>
              </w:rPr>
              <w:br w:type="textWrapping"/>
            </w:r>
            <w:r>
              <w:rPr>
                <w:rStyle w:val="10"/>
                <w:lang w:val="en-US" w:eastAsia="zh-CN" w:bidi="ar"/>
              </w:rPr>
              <w:t>该项得分，完成本年度采购计划的，政府采购执行率≤</w:t>
            </w:r>
            <w:r>
              <w:rPr>
                <w:rStyle w:val="11"/>
                <w:rFonts w:eastAsia="宋体"/>
                <w:lang w:val="en-US" w:eastAsia="zh-CN" w:bidi="ar"/>
              </w:rPr>
              <w:t>100%</w:t>
            </w:r>
            <w:r>
              <w:rPr>
                <w:rStyle w:val="10"/>
                <w:lang w:val="en-US" w:eastAsia="zh-CN" w:bidi="ar"/>
              </w:rPr>
              <w:t>，计</w:t>
            </w:r>
            <w:r>
              <w:rPr>
                <w:rStyle w:val="11"/>
                <w:rFonts w:eastAsia="宋体"/>
                <w:lang w:val="en-US" w:eastAsia="zh-CN" w:bidi="ar"/>
              </w:rPr>
              <w:t>1</w:t>
            </w:r>
            <w:r>
              <w:rPr>
                <w:rStyle w:val="10"/>
                <w:lang w:val="en-US" w:eastAsia="zh-CN" w:bidi="ar"/>
              </w:rPr>
              <w:t>分，每超过</w:t>
            </w:r>
            <w:r>
              <w:rPr>
                <w:rStyle w:val="11"/>
                <w:rFonts w:eastAsia="宋体"/>
                <w:lang w:val="en-US" w:eastAsia="zh-CN" w:bidi="ar"/>
              </w:rPr>
              <w:t>1%</w:t>
            </w:r>
            <w:r>
              <w:rPr>
                <w:rStyle w:val="10"/>
                <w:lang w:val="en-US" w:eastAsia="zh-CN" w:bidi="ar"/>
              </w:rPr>
              <w:t>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②所有项目依法采购，无规避政府采购或化整为零进行政府采购的行为，并履行验收手续，计0.5分，否则不得分；</w:t>
            </w:r>
            <w:r>
              <w:rPr>
                <w:rStyle w:val="11"/>
                <w:rFonts w:eastAsia="宋体"/>
                <w:lang w:val="en-US" w:eastAsia="zh-CN" w:bidi="ar"/>
              </w:rPr>
              <w:br w:type="textWrapping"/>
            </w:r>
            <w:r>
              <w:rPr>
                <w:rStyle w:val="10"/>
                <w:lang w:val="en-US" w:eastAsia="zh-CN" w:bidi="ar"/>
              </w:rPr>
              <w:t>③预算单位建立了政府采购内控制度，计0.5分，否则不得分。</w:t>
            </w:r>
          </w:p>
        </w:tc>
        <w:tc>
          <w:tcPr>
            <w:tcW w:w="2115" w:type="dxa"/>
            <w:tcBorders>
              <w:tl2br w:val="nil"/>
              <w:tr2bl w:val="nil"/>
            </w:tcBorders>
            <w:noWrap w:val="0"/>
            <w:vAlign w:val="center"/>
          </w:tcPr>
          <w:p w14:paraId="59CFD0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1E3E4EC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0779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11C08911">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4A278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管理</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29</w:t>
            </w:r>
            <w:r>
              <w:rPr>
                <w:rStyle w:val="10"/>
                <w:lang w:val="en-US" w:eastAsia="zh-CN" w:bidi="ar"/>
              </w:rPr>
              <w:t>分）</w:t>
            </w:r>
          </w:p>
        </w:tc>
        <w:tc>
          <w:tcPr>
            <w:tcW w:w="1050" w:type="dxa"/>
            <w:tcBorders>
              <w:tl2br w:val="nil"/>
              <w:tr2bl w:val="nil"/>
            </w:tcBorders>
            <w:noWrap w:val="0"/>
            <w:vAlign w:val="center"/>
          </w:tcPr>
          <w:p w14:paraId="7A7FDA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管理制度</w:t>
            </w:r>
            <w:r>
              <w:rPr>
                <w:rStyle w:val="11"/>
                <w:rFonts w:eastAsia="宋体"/>
                <w:lang w:val="en-US" w:eastAsia="zh-CN" w:bidi="ar"/>
              </w:rPr>
              <w:br w:type="textWrapping"/>
            </w:r>
            <w:r>
              <w:rPr>
                <w:rStyle w:val="10"/>
                <w:lang w:val="en-US" w:eastAsia="zh-CN" w:bidi="ar"/>
              </w:rPr>
              <w:t>健全性</w:t>
            </w:r>
          </w:p>
        </w:tc>
        <w:tc>
          <w:tcPr>
            <w:tcW w:w="495" w:type="dxa"/>
            <w:tcBorders>
              <w:tl2br w:val="nil"/>
              <w:tr2bl w:val="nil"/>
            </w:tcBorders>
            <w:noWrap w:val="0"/>
            <w:vAlign w:val="center"/>
          </w:tcPr>
          <w:p w14:paraId="683CAA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147316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789F5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①是否已制定或具有预算资金管理办法、内部财务管理制度、会计核算制度等管理制度；</w:t>
            </w:r>
            <w:r>
              <w:rPr>
                <w:rStyle w:val="11"/>
                <w:rFonts w:eastAsia="宋体"/>
                <w:lang w:val="en-US" w:eastAsia="zh-CN" w:bidi="ar"/>
              </w:rPr>
              <w:br w:type="textWrapping"/>
            </w:r>
            <w:r>
              <w:rPr>
                <w:rStyle w:val="10"/>
                <w:lang w:val="en-US" w:eastAsia="zh-CN" w:bidi="ar"/>
              </w:rPr>
              <w:t>②相关管理制度是否合法、合规、完整；</w:t>
            </w:r>
            <w:r>
              <w:rPr>
                <w:rStyle w:val="11"/>
                <w:rFonts w:eastAsia="宋体"/>
                <w:lang w:val="en-US" w:eastAsia="zh-CN" w:bidi="ar"/>
              </w:rPr>
              <w:br w:type="textWrapping"/>
            </w:r>
            <w:r>
              <w:rPr>
                <w:rStyle w:val="10"/>
                <w:lang w:val="en-US" w:eastAsia="zh-CN" w:bidi="ar"/>
              </w:rPr>
              <w:t>③相关管理制度是否得到有效执行。</w:t>
            </w:r>
            <w:r>
              <w:rPr>
                <w:rStyle w:val="11"/>
                <w:rFonts w:eastAsia="宋体"/>
                <w:lang w:val="en-US" w:eastAsia="zh-CN" w:bidi="ar"/>
              </w:rPr>
              <w:br w:type="textWrapping"/>
            </w:r>
            <w:r>
              <w:rPr>
                <w:rStyle w:val="10"/>
                <w:lang w:val="en-US" w:eastAsia="zh-CN" w:bidi="ar"/>
              </w:rPr>
              <w:t>④会计人员、机构是否按规定设置；</w:t>
            </w:r>
            <w:r>
              <w:rPr>
                <w:rStyle w:val="11"/>
                <w:rFonts w:eastAsia="宋体"/>
                <w:lang w:val="en-US" w:eastAsia="zh-CN" w:bidi="ar"/>
              </w:rPr>
              <w:br w:type="textWrapping"/>
            </w:r>
            <w:r>
              <w:rPr>
                <w:rStyle w:val="10"/>
                <w:lang w:val="en-US" w:eastAsia="zh-CN" w:bidi="ar"/>
              </w:rPr>
              <w:t>⑤会计基础工作是否健全；</w:t>
            </w:r>
            <w:r>
              <w:rPr>
                <w:rStyle w:val="11"/>
                <w:rFonts w:eastAsia="宋体"/>
                <w:lang w:val="en-US" w:eastAsia="zh-CN" w:bidi="ar"/>
              </w:rPr>
              <w:br w:type="textWrapping"/>
            </w:r>
            <w:r>
              <w:rPr>
                <w:rStyle w:val="10"/>
                <w:lang w:val="en-US" w:eastAsia="zh-CN" w:bidi="ar"/>
              </w:rPr>
              <w:t>⑥会计档案是否符合规定要求；</w:t>
            </w:r>
            <w:r>
              <w:rPr>
                <w:rStyle w:val="11"/>
                <w:rFonts w:eastAsia="宋体"/>
                <w:lang w:val="en-US" w:eastAsia="zh-CN" w:bidi="ar"/>
              </w:rPr>
              <w:br w:type="textWrapping"/>
            </w:r>
            <w:r>
              <w:rPr>
                <w:rStyle w:val="10"/>
                <w:lang w:val="en-US" w:eastAsia="zh-CN" w:bidi="ar"/>
              </w:rPr>
              <w:t>⑦项目管理是否规范（包括项目立项、申报、招投标、合同或协议要素、制度建立、按时完工等）。</w:t>
            </w:r>
            <w:r>
              <w:rPr>
                <w:rStyle w:val="11"/>
                <w:rFonts w:eastAsia="宋体"/>
                <w:lang w:val="en-US" w:eastAsia="zh-CN" w:bidi="ar"/>
              </w:rPr>
              <w:br w:type="textWrapping"/>
            </w:r>
            <w:r>
              <w:rPr>
                <w:rStyle w:val="10"/>
                <w:lang w:val="en-US" w:eastAsia="zh-CN" w:bidi="ar"/>
              </w:rPr>
              <w:t>以上情况每发现一例不符合要求的扣</w:t>
            </w:r>
            <w:r>
              <w:rPr>
                <w:rStyle w:val="11"/>
                <w:rFonts w:eastAsia="宋体"/>
                <w:lang w:val="en-US" w:eastAsia="zh-CN" w:bidi="ar"/>
              </w:rPr>
              <w:t>1</w:t>
            </w:r>
            <w:r>
              <w:rPr>
                <w:rStyle w:val="10"/>
                <w:lang w:val="en-US" w:eastAsia="zh-CN" w:bidi="ar"/>
              </w:rPr>
              <w:t>分，扣完为止。</w:t>
            </w:r>
          </w:p>
        </w:tc>
        <w:tc>
          <w:tcPr>
            <w:tcW w:w="2115" w:type="dxa"/>
            <w:tcBorders>
              <w:tl2br w:val="nil"/>
              <w:tr2bl w:val="nil"/>
            </w:tcBorders>
            <w:noWrap w:val="0"/>
            <w:vAlign w:val="center"/>
          </w:tcPr>
          <w:p w14:paraId="388F75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部门（单位）管理制度。</w:t>
            </w:r>
          </w:p>
        </w:tc>
        <w:tc>
          <w:tcPr>
            <w:tcW w:w="586" w:type="dxa"/>
            <w:tcBorders>
              <w:tl2br w:val="nil"/>
              <w:tr2bl w:val="nil"/>
            </w:tcBorders>
            <w:noWrap w:val="0"/>
            <w:vAlign w:val="center"/>
          </w:tcPr>
          <w:p w14:paraId="4A8BCF1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7B98A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6E0F8BD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632B2E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ADFFE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资金使用</w:t>
            </w:r>
            <w:r>
              <w:rPr>
                <w:rStyle w:val="11"/>
                <w:rFonts w:eastAsia="宋体"/>
                <w:lang w:val="en-US" w:eastAsia="zh-CN" w:bidi="ar"/>
              </w:rPr>
              <w:br w:type="textWrapping"/>
            </w:r>
            <w:r>
              <w:rPr>
                <w:rStyle w:val="10"/>
                <w:lang w:val="en-US" w:eastAsia="zh-CN" w:bidi="ar"/>
              </w:rPr>
              <w:t>合规性</w:t>
            </w:r>
          </w:p>
        </w:tc>
        <w:tc>
          <w:tcPr>
            <w:tcW w:w="495" w:type="dxa"/>
            <w:tcBorders>
              <w:tl2br w:val="nil"/>
              <w:tr2bl w:val="nil"/>
            </w:tcBorders>
            <w:noWrap w:val="0"/>
            <w:vAlign w:val="center"/>
          </w:tcPr>
          <w:p w14:paraId="5B7A1E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348CD5A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64680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①符合国家财经法规和财务管理制度以及有关专项资金管理办法的规定，计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②资金的支付有完整的审批程序和手续，计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③重大项目开支和大额资金使用经过单位党组集体研究决策，计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④符合项目预算批复或合同规定的用途，计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⑤没有截留、挤占、挪用、虚列支出等情况，计</w:t>
            </w:r>
            <w:r>
              <w:rPr>
                <w:rStyle w:val="11"/>
                <w:rFonts w:eastAsia="宋体"/>
                <w:lang w:val="en-US" w:eastAsia="zh-CN" w:bidi="ar"/>
              </w:rPr>
              <w:t>1</w:t>
            </w:r>
            <w:r>
              <w:rPr>
                <w:rStyle w:val="10"/>
                <w:lang w:val="en-US" w:eastAsia="zh-CN" w:bidi="ar"/>
              </w:rPr>
              <w:t>分，发生</w:t>
            </w:r>
            <w:r>
              <w:rPr>
                <w:rStyle w:val="11"/>
                <w:rFonts w:eastAsia="宋体"/>
                <w:lang w:val="en-US" w:eastAsia="zh-CN" w:bidi="ar"/>
              </w:rPr>
              <w:t>1</w:t>
            </w:r>
            <w:r>
              <w:rPr>
                <w:rStyle w:val="10"/>
                <w:lang w:val="en-US" w:eastAsia="zh-CN" w:bidi="ar"/>
              </w:rPr>
              <w:t>例不符合本指标的现象</w:t>
            </w:r>
            <w:r>
              <w:rPr>
                <w:rStyle w:val="11"/>
                <w:rFonts w:eastAsia="宋体"/>
                <w:lang w:val="en-US" w:eastAsia="zh-CN" w:bidi="ar"/>
              </w:rPr>
              <w:t>7</w:t>
            </w:r>
            <w:r>
              <w:rPr>
                <w:rStyle w:val="10"/>
                <w:lang w:val="en-US" w:eastAsia="zh-CN" w:bidi="ar"/>
              </w:rPr>
              <w:t>分全扣；</w:t>
            </w:r>
            <w:r>
              <w:rPr>
                <w:rStyle w:val="11"/>
                <w:rFonts w:eastAsia="宋体"/>
                <w:lang w:val="en-US" w:eastAsia="zh-CN" w:bidi="ar"/>
              </w:rPr>
              <w:br w:type="textWrapping"/>
            </w:r>
            <w:r>
              <w:rPr>
                <w:rStyle w:val="10"/>
                <w:lang w:val="en-US" w:eastAsia="zh-CN" w:bidi="ar"/>
              </w:rPr>
              <w:t>⑥原始凭证的取得真实有效，计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⑦无超标准发放津补贴、奖金、无用公款支付应个人支付的款项，计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0"/>
                <w:lang w:val="en-US" w:eastAsia="zh-CN" w:bidi="ar"/>
              </w:rPr>
              <w:br w:type="textWrapping"/>
            </w:r>
            <w:r>
              <w:rPr>
                <w:rStyle w:val="10"/>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1B7BB8B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274C8F5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789AD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2A807FC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AAA7432">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41D2A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信息</w:t>
            </w:r>
            <w:r>
              <w:rPr>
                <w:rStyle w:val="11"/>
                <w:rFonts w:eastAsia="宋体"/>
                <w:lang w:val="en-US" w:eastAsia="zh-CN" w:bidi="ar"/>
              </w:rPr>
              <w:br w:type="textWrapping"/>
            </w:r>
            <w:r>
              <w:rPr>
                <w:rStyle w:val="10"/>
                <w:lang w:val="en-US" w:eastAsia="zh-CN" w:bidi="ar"/>
              </w:rPr>
              <w:t>公开性</w:t>
            </w:r>
          </w:p>
        </w:tc>
        <w:tc>
          <w:tcPr>
            <w:tcW w:w="495" w:type="dxa"/>
            <w:tcBorders>
              <w:tl2br w:val="nil"/>
              <w:tr2bl w:val="nil"/>
            </w:tcBorders>
            <w:noWrap w:val="0"/>
            <w:vAlign w:val="center"/>
          </w:tcPr>
          <w:p w14:paraId="695D78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F7850D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0A4FD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①无涉密情况的预算单位按规定及时、准确、完整的公开预决算和绩效管理信息，计</w:t>
            </w:r>
            <w:r>
              <w:rPr>
                <w:rStyle w:val="11"/>
                <w:rFonts w:eastAsia="宋体"/>
                <w:lang w:val="en-US" w:eastAsia="zh-CN" w:bidi="ar"/>
              </w:rPr>
              <w:t>1</w:t>
            </w:r>
            <w:r>
              <w:rPr>
                <w:rStyle w:val="10"/>
                <w:lang w:val="en-US" w:eastAsia="zh-CN" w:bidi="ar"/>
              </w:rPr>
              <w:t>分，否则，酌情扣分；</w:t>
            </w:r>
            <w:r>
              <w:rPr>
                <w:rStyle w:val="11"/>
                <w:rFonts w:eastAsia="宋体"/>
                <w:lang w:val="en-US" w:eastAsia="zh-CN" w:bidi="ar"/>
              </w:rPr>
              <w:br w:type="textWrapping"/>
            </w:r>
            <w:r>
              <w:rPr>
                <w:rStyle w:val="10"/>
                <w:lang w:val="en-US" w:eastAsia="zh-CN" w:bidi="ar"/>
              </w:rPr>
              <w:t>②基础数据信息和会计信息资料真实、准确、完整，计</w:t>
            </w:r>
            <w:r>
              <w:rPr>
                <w:rStyle w:val="11"/>
                <w:rFonts w:eastAsia="宋体"/>
                <w:lang w:val="en-US" w:eastAsia="zh-CN" w:bidi="ar"/>
              </w:rPr>
              <w:t>1</w:t>
            </w:r>
            <w:r>
              <w:rPr>
                <w:rStyle w:val="10"/>
                <w:lang w:val="en-US" w:eastAsia="zh-CN" w:bidi="ar"/>
              </w:rPr>
              <w:t>分，否则，酌情扣分。</w:t>
            </w:r>
            <w:r>
              <w:rPr>
                <w:rStyle w:val="10"/>
                <w:lang w:val="en-US" w:eastAsia="zh-CN" w:bidi="ar"/>
              </w:rPr>
              <w:br w:type="textWrapping"/>
            </w:r>
            <w:r>
              <w:rPr>
                <w:rStyle w:val="10"/>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58811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0855909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8FF0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335E2E0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B2401C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729BE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非税收入</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管理</w:t>
            </w:r>
          </w:p>
        </w:tc>
        <w:tc>
          <w:tcPr>
            <w:tcW w:w="495" w:type="dxa"/>
            <w:tcBorders>
              <w:tl2br w:val="nil"/>
              <w:tr2bl w:val="nil"/>
            </w:tcBorders>
            <w:noWrap w:val="0"/>
            <w:vAlign w:val="center"/>
          </w:tcPr>
          <w:p w14:paraId="7AF507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73FE07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反映部门非税收入的使用、管理情况。</w:t>
            </w:r>
          </w:p>
        </w:tc>
        <w:tc>
          <w:tcPr>
            <w:tcW w:w="5112" w:type="dxa"/>
            <w:tcBorders>
              <w:tl2br w:val="nil"/>
              <w:tr2bl w:val="nil"/>
            </w:tcBorders>
            <w:noWrap w:val="0"/>
            <w:vAlign w:val="center"/>
          </w:tcPr>
          <w:p w14:paraId="71105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①实行收支两条线，计</w:t>
            </w:r>
            <w:r>
              <w:rPr>
                <w:rStyle w:val="11"/>
                <w:rFonts w:eastAsia="宋体"/>
                <w:lang w:val="en-US" w:eastAsia="zh-CN" w:bidi="ar"/>
              </w:rPr>
              <w:t>0.5</w:t>
            </w:r>
            <w:r>
              <w:rPr>
                <w:rStyle w:val="10"/>
                <w:lang w:val="en-US" w:eastAsia="zh-CN" w:bidi="ar"/>
              </w:rPr>
              <w:t>分，否则，计</w:t>
            </w:r>
            <w:r>
              <w:rPr>
                <w:rStyle w:val="11"/>
                <w:rFonts w:eastAsia="宋体"/>
                <w:lang w:val="en-US" w:eastAsia="zh-CN" w:bidi="ar"/>
              </w:rPr>
              <w:t>0</w:t>
            </w:r>
            <w:r>
              <w:rPr>
                <w:rStyle w:val="10"/>
                <w:lang w:val="en-US" w:eastAsia="zh-CN" w:bidi="ar"/>
              </w:rPr>
              <w:t>分；</w:t>
            </w:r>
            <w:r>
              <w:rPr>
                <w:rStyle w:val="11"/>
                <w:rFonts w:eastAsia="宋体"/>
                <w:lang w:val="en-US" w:eastAsia="zh-CN" w:bidi="ar"/>
              </w:rPr>
              <w:br w:type="textWrapping"/>
            </w:r>
            <w:r>
              <w:rPr>
                <w:rStyle w:val="10"/>
                <w:lang w:val="en-US" w:eastAsia="zh-CN" w:bidi="ar"/>
              </w:rPr>
              <w:t>②未发生截留、坐支或转移，计</w:t>
            </w:r>
            <w:r>
              <w:rPr>
                <w:rStyle w:val="11"/>
                <w:rFonts w:eastAsia="宋体"/>
                <w:lang w:val="en-US" w:eastAsia="zh-CN" w:bidi="ar"/>
              </w:rPr>
              <w:t>0.5</w:t>
            </w:r>
            <w:r>
              <w:rPr>
                <w:rStyle w:val="10"/>
                <w:lang w:val="en-US" w:eastAsia="zh-CN" w:bidi="ar"/>
              </w:rPr>
              <w:t>分，否则，计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7B480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7E8E410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4365E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54763B5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B500D3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D624A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绩效自评</w:t>
            </w:r>
            <w:r>
              <w:rPr>
                <w:rStyle w:val="11"/>
                <w:rFonts w:eastAsia="宋体"/>
                <w:lang w:val="en-US" w:eastAsia="zh-CN" w:bidi="ar"/>
              </w:rPr>
              <w:br w:type="textWrapping"/>
            </w:r>
            <w:r>
              <w:rPr>
                <w:rStyle w:val="10"/>
                <w:lang w:val="en-US" w:eastAsia="zh-CN" w:bidi="ar"/>
              </w:rPr>
              <w:t>管理情况</w:t>
            </w:r>
          </w:p>
        </w:tc>
        <w:tc>
          <w:tcPr>
            <w:tcW w:w="495" w:type="dxa"/>
            <w:tcBorders>
              <w:tl2br w:val="nil"/>
              <w:tr2bl w:val="nil"/>
            </w:tcBorders>
            <w:noWrap w:val="0"/>
            <w:vAlign w:val="center"/>
          </w:tcPr>
          <w:p w14:paraId="696C46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21DA6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09FD29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①是否按要求开展部门（单位）整体支出绩效自评和专项资金支出自评工作。</w:t>
            </w:r>
            <w:r>
              <w:rPr>
                <w:rStyle w:val="11"/>
                <w:rFonts w:eastAsia="宋体"/>
                <w:lang w:val="en-US" w:eastAsia="zh-CN" w:bidi="ar"/>
              </w:rPr>
              <w:br w:type="textWrapping"/>
            </w:r>
            <w:r>
              <w:rPr>
                <w:rStyle w:val="10"/>
                <w:lang w:val="en-US" w:eastAsia="zh-CN" w:bidi="ar"/>
              </w:rPr>
              <w:t>②是否及时报送绩效自评报告；</w:t>
            </w:r>
            <w:r>
              <w:rPr>
                <w:rStyle w:val="11"/>
                <w:rFonts w:eastAsia="宋体"/>
                <w:lang w:val="en-US" w:eastAsia="zh-CN" w:bidi="ar"/>
              </w:rPr>
              <w:br w:type="textWrapping"/>
            </w:r>
            <w:r>
              <w:rPr>
                <w:rStyle w:val="10"/>
                <w:lang w:val="en-US" w:eastAsia="zh-CN" w:bidi="ar"/>
              </w:rPr>
              <w:t>③绩效自评报告是否完整，数据是否全面、真实、准确，绩效指标是否细化量化和科学合理；</w:t>
            </w:r>
            <w:r>
              <w:rPr>
                <w:rStyle w:val="11"/>
                <w:rFonts w:eastAsia="宋体"/>
                <w:lang w:val="en-US" w:eastAsia="zh-CN" w:bidi="ar"/>
              </w:rPr>
              <w:br w:type="textWrapping"/>
            </w:r>
            <w:r>
              <w:rPr>
                <w:rStyle w:val="10"/>
                <w:lang w:val="en-US" w:eastAsia="zh-CN" w:bidi="ar"/>
              </w:rPr>
              <w:t>④绩效自评反映的问题是否具体，意见是否可行，自评发现的问题是否整改；</w:t>
            </w:r>
            <w:r>
              <w:rPr>
                <w:rStyle w:val="11"/>
                <w:rFonts w:eastAsia="宋体"/>
                <w:lang w:val="en-US" w:eastAsia="zh-CN" w:bidi="ar"/>
              </w:rPr>
              <w:br w:type="textWrapping"/>
            </w:r>
            <w:r>
              <w:rPr>
                <w:rStyle w:val="10"/>
                <w:lang w:val="en-US" w:eastAsia="zh-CN" w:bidi="ar"/>
              </w:rPr>
              <w:t>该项得分，①、②、③、④各计</w:t>
            </w:r>
            <w:r>
              <w:rPr>
                <w:rStyle w:val="11"/>
                <w:rFonts w:eastAsia="宋体"/>
                <w:lang w:val="en-US" w:eastAsia="zh-CN" w:bidi="ar"/>
              </w:rPr>
              <w:t>1</w:t>
            </w:r>
            <w:r>
              <w:rPr>
                <w:rStyle w:val="10"/>
                <w:lang w:val="en-US" w:eastAsia="zh-CN" w:bidi="ar"/>
              </w:rPr>
              <w:t>分。</w:t>
            </w:r>
          </w:p>
        </w:tc>
        <w:tc>
          <w:tcPr>
            <w:tcW w:w="2115" w:type="dxa"/>
            <w:tcBorders>
              <w:tl2br w:val="nil"/>
              <w:tr2bl w:val="nil"/>
            </w:tcBorders>
            <w:noWrap w:val="0"/>
            <w:vAlign w:val="center"/>
          </w:tcPr>
          <w:p w14:paraId="54E3A3E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481443C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1141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7099B6C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CDA4B4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5A9BB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重点绩效</w:t>
            </w:r>
            <w:r>
              <w:rPr>
                <w:rStyle w:val="11"/>
                <w:rFonts w:eastAsia="宋体"/>
                <w:lang w:val="en-US" w:eastAsia="zh-CN" w:bidi="ar"/>
              </w:rPr>
              <w:br w:type="textWrapping"/>
            </w:r>
            <w:r>
              <w:rPr>
                <w:rStyle w:val="10"/>
                <w:lang w:val="en-US" w:eastAsia="zh-CN" w:bidi="ar"/>
              </w:rPr>
              <w:t>评价整改</w:t>
            </w:r>
            <w:r>
              <w:rPr>
                <w:rStyle w:val="11"/>
                <w:rFonts w:eastAsia="宋体"/>
                <w:lang w:val="en-US" w:eastAsia="zh-CN" w:bidi="ar"/>
              </w:rPr>
              <w:br w:type="textWrapping"/>
            </w:r>
            <w:r>
              <w:rPr>
                <w:rStyle w:val="10"/>
                <w:lang w:val="en-US" w:eastAsia="zh-CN" w:bidi="ar"/>
              </w:rPr>
              <w:t>情况</w:t>
            </w:r>
          </w:p>
        </w:tc>
        <w:tc>
          <w:tcPr>
            <w:tcW w:w="495" w:type="dxa"/>
            <w:tcBorders>
              <w:tl2br w:val="nil"/>
              <w:tr2bl w:val="nil"/>
            </w:tcBorders>
            <w:noWrap w:val="0"/>
            <w:vAlign w:val="center"/>
          </w:tcPr>
          <w:p w14:paraId="5528E5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5A628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13229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上轮重点评价问题全部整改，计3分；上轮重点评价问题部分整改，计</w:t>
            </w:r>
            <w:r>
              <w:rPr>
                <w:rStyle w:val="11"/>
                <w:rFonts w:eastAsia="宋体"/>
                <w:lang w:val="en-US" w:eastAsia="zh-CN" w:bidi="ar"/>
              </w:rPr>
              <w:t>1</w:t>
            </w:r>
            <w:r>
              <w:rPr>
                <w:rStyle w:val="10"/>
                <w:lang w:val="en-US" w:eastAsia="zh-CN" w:bidi="ar"/>
              </w:rPr>
              <w:t>分；上轮重点评价问题未整改且无整改情况说明的不计分。</w:t>
            </w:r>
          </w:p>
        </w:tc>
        <w:tc>
          <w:tcPr>
            <w:tcW w:w="2115" w:type="dxa"/>
            <w:tcBorders>
              <w:tl2br w:val="nil"/>
              <w:tr2bl w:val="nil"/>
            </w:tcBorders>
            <w:noWrap w:val="0"/>
            <w:vAlign w:val="center"/>
          </w:tcPr>
          <w:p w14:paraId="5BDD0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48338C3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25E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57A63D19">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42055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资产</w:t>
            </w:r>
            <w:r>
              <w:rPr>
                <w:rStyle w:val="11"/>
                <w:rFonts w:eastAsia="宋体"/>
                <w:lang w:val="en-US" w:eastAsia="zh-CN" w:bidi="ar"/>
              </w:rPr>
              <w:br w:type="textWrapping"/>
            </w:r>
            <w:r>
              <w:rPr>
                <w:rStyle w:val="10"/>
                <w:lang w:val="en-US" w:eastAsia="zh-CN" w:bidi="ar"/>
              </w:rPr>
              <w:t>管理</w:t>
            </w:r>
            <w:r>
              <w:rPr>
                <w:rStyle w:val="11"/>
                <w:rFonts w:eastAsia="宋体"/>
                <w:lang w:val="en-US" w:eastAsia="zh-CN" w:bidi="ar"/>
              </w:rPr>
              <w:br w:type="textWrapping"/>
            </w:r>
            <w:r>
              <w:rPr>
                <w:rStyle w:val="10"/>
                <w:lang w:val="en-US" w:eastAsia="zh-CN" w:bidi="ar"/>
              </w:rPr>
              <w:t>（5分）</w:t>
            </w:r>
          </w:p>
        </w:tc>
        <w:tc>
          <w:tcPr>
            <w:tcW w:w="1050" w:type="dxa"/>
            <w:tcBorders>
              <w:tl2br w:val="nil"/>
              <w:tr2bl w:val="nil"/>
            </w:tcBorders>
            <w:noWrap w:val="0"/>
            <w:vAlign w:val="center"/>
          </w:tcPr>
          <w:p w14:paraId="11779C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资产管理</w:t>
            </w:r>
            <w:r>
              <w:rPr>
                <w:rStyle w:val="11"/>
                <w:rFonts w:eastAsia="宋体"/>
                <w:lang w:val="en-US" w:eastAsia="zh-CN" w:bidi="ar"/>
              </w:rPr>
              <w:br w:type="textWrapping"/>
            </w:r>
            <w:r>
              <w:rPr>
                <w:rStyle w:val="10"/>
                <w:lang w:val="en-US" w:eastAsia="zh-CN" w:bidi="ar"/>
              </w:rPr>
              <w:t>制度健全性</w:t>
            </w:r>
          </w:p>
        </w:tc>
        <w:tc>
          <w:tcPr>
            <w:tcW w:w="495" w:type="dxa"/>
            <w:tcBorders>
              <w:tl2br w:val="nil"/>
              <w:tr2bl w:val="nil"/>
            </w:tcBorders>
            <w:noWrap w:val="0"/>
            <w:vAlign w:val="center"/>
          </w:tcPr>
          <w:p w14:paraId="1CA54A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59FB62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08F8E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①已制定合法、合规、完整的资产管理制度，计</w:t>
            </w:r>
            <w:r>
              <w:rPr>
                <w:rStyle w:val="11"/>
                <w:rFonts w:eastAsia="宋体"/>
                <w:lang w:val="en-US" w:eastAsia="zh-CN" w:bidi="ar"/>
              </w:rPr>
              <w:t>0.5</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②相关资产管理制度得到有效执行，计</w:t>
            </w:r>
            <w:r>
              <w:rPr>
                <w:rStyle w:val="11"/>
                <w:rFonts w:eastAsia="宋体"/>
                <w:lang w:val="en-US" w:eastAsia="zh-CN" w:bidi="ar"/>
              </w:rPr>
              <w:t>0.5</w:t>
            </w:r>
            <w:r>
              <w:rPr>
                <w:rStyle w:val="10"/>
                <w:lang w:val="en-US" w:eastAsia="zh-CN" w:bidi="ar"/>
              </w:rPr>
              <w:t>分，否则不得分；</w:t>
            </w:r>
          </w:p>
        </w:tc>
        <w:tc>
          <w:tcPr>
            <w:tcW w:w="2115" w:type="dxa"/>
            <w:tcBorders>
              <w:tl2br w:val="nil"/>
              <w:tr2bl w:val="nil"/>
            </w:tcBorders>
            <w:noWrap w:val="0"/>
            <w:vAlign w:val="center"/>
          </w:tcPr>
          <w:p w14:paraId="08B2A6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部门（单位）资产管理制度；采购资产相关资料。</w:t>
            </w:r>
          </w:p>
        </w:tc>
        <w:tc>
          <w:tcPr>
            <w:tcW w:w="586" w:type="dxa"/>
            <w:tcBorders>
              <w:tl2br w:val="nil"/>
              <w:tr2bl w:val="nil"/>
            </w:tcBorders>
            <w:noWrap w:val="0"/>
            <w:vAlign w:val="center"/>
          </w:tcPr>
          <w:p w14:paraId="3F10E33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66A2F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0CBADBF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3123B2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9F802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资产管理</w:t>
            </w:r>
            <w:r>
              <w:rPr>
                <w:rStyle w:val="11"/>
                <w:rFonts w:eastAsia="宋体"/>
                <w:lang w:val="en-US" w:eastAsia="zh-CN" w:bidi="ar"/>
              </w:rPr>
              <w:br w:type="textWrapping"/>
            </w:r>
            <w:r>
              <w:rPr>
                <w:rStyle w:val="10"/>
                <w:lang w:val="en-US" w:eastAsia="zh-CN" w:bidi="ar"/>
              </w:rPr>
              <w:t>安全性</w:t>
            </w:r>
          </w:p>
        </w:tc>
        <w:tc>
          <w:tcPr>
            <w:tcW w:w="495" w:type="dxa"/>
            <w:tcBorders>
              <w:tl2br w:val="nil"/>
              <w:tr2bl w:val="nil"/>
            </w:tcBorders>
            <w:noWrap w:val="0"/>
            <w:vAlign w:val="center"/>
          </w:tcPr>
          <w:p w14:paraId="097511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C67D95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520F1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①资产配置合理符合标准、保管完整，账务管理规范，定期盘点并有台账，账实相符的，计</w:t>
            </w:r>
            <w:r>
              <w:rPr>
                <w:rStyle w:val="11"/>
                <w:rFonts w:eastAsia="宋体"/>
                <w:lang w:val="en-US" w:eastAsia="zh-CN" w:bidi="ar"/>
              </w:rPr>
              <w:t>0.5</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②资产处置规范，计</w:t>
            </w:r>
            <w:r>
              <w:rPr>
                <w:rStyle w:val="11"/>
                <w:rFonts w:eastAsia="宋体"/>
                <w:lang w:val="en-US" w:eastAsia="zh-CN" w:bidi="ar"/>
              </w:rPr>
              <w:t>0.5</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③资产有偿使用或处置收入及时足额上缴，计</w:t>
            </w:r>
            <w:r>
              <w:rPr>
                <w:rStyle w:val="11"/>
                <w:rFonts w:eastAsia="宋体"/>
                <w:lang w:val="en-US" w:eastAsia="zh-CN" w:bidi="ar"/>
              </w:rPr>
              <w:t>0.5</w:t>
            </w:r>
            <w:r>
              <w:rPr>
                <w:rStyle w:val="10"/>
                <w:lang w:val="en-US" w:eastAsia="zh-CN" w:bidi="ar"/>
              </w:rPr>
              <w:t>分，发现未上缴，本项不得分；</w:t>
            </w:r>
            <w:r>
              <w:rPr>
                <w:rStyle w:val="11"/>
                <w:rFonts w:eastAsia="宋体"/>
                <w:lang w:val="en-US" w:eastAsia="zh-CN" w:bidi="ar"/>
              </w:rPr>
              <w:br w:type="textWrapping"/>
            </w:r>
            <w:r>
              <w:rPr>
                <w:rStyle w:val="10"/>
                <w:lang w:val="en-US" w:eastAsia="zh-CN" w:bidi="ar"/>
              </w:rPr>
              <w:t>④资产购置履行政府采购手续，计</w:t>
            </w:r>
            <w:r>
              <w:rPr>
                <w:rStyle w:val="11"/>
                <w:rFonts w:eastAsia="宋体"/>
                <w:lang w:val="en-US" w:eastAsia="zh-CN" w:bidi="ar"/>
              </w:rPr>
              <w:t>0.3</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分，扣完为止；外租资产全部走合规程序，计</w:t>
            </w:r>
            <w:r>
              <w:rPr>
                <w:rStyle w:val="11"/>
                <w:rFonts w:eastAsia="宋体"/>
                <w:lang w:val="en-US" w:eastAsia="zh-CN" w:bidi="ar"/>
              </w:rPr>
              <w:t>0.2</w:t>
            </w:r>
            <w:r>
              <w:rPr>
                <w:rStyle w:val="10"/>
                <w:lang w:val="en-US" w:eastAsia="zh-CN" w:bidi="ar"/>
              </w:rPr>
              <w:t>分，发现一例不合规，扣</w:t>
            </w:r>
            <w:r>
              <w:rPr>
                <w:rStyle w:val="11"/>
                <w:rFonts w:eastAsia="宋体"/>
                <w:lang w:val="en-US" w:eastAsia="zh-CN" w:bidi="ar"/>
              </w:rPr>
              <w:t>0.1</w:t>
            </w:r>
            <w:r>
              <w:rPr>
                <w:rStyle w:val="10"/>
                <w:lang w:val="en-US" w:eastAsia="zh-CN" w:bidi="ar"/>
              </w:rPr>
              <w:t>分，扣完为止；</w:t>
            </w:r>
          </w:p>
        </w:tc>
        <w:tc>
          <w:tcPr>
            <w:tcW w:w="2115" w:type="dxa"/>
            <w:tcBorders>
              <w:tl2br w:val="nil"/>
              <w:tr2bl w:val="nil"/>
            </w:tcBorders>
            <w:noWrap w:val="0"/>
            <w:vAlign w:val="center"/>
          </w:tcPr>
          <w:p w14:paraId="40B126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139F831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1BE3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1738DF70">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1C0CF5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AAA23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固定资产</w:t>
            </w:r>
            <w:r>
              <w:rPr>
                <w:rStyle w:val="11"/>
                <w:rFonts w:eastAsia="宋体"/>
                <w:lang w:val="en-US" w:eastAsia="zh-CN" w:bidi="ar"/>
              </w:rPr>
              <w:br w:type="textWrapping"/>
            </w:r>
            <w:r>
              <w:rPr>
                <w:rStyle w:val="10"/>
                <w:lang w:val="en-US" w:eastAsia="zh-CN" w:bidi="ar"/>
              </w:rPr>
              <w:t>保管和使用情况</w:t>
            </w:r>
          </w:p>
        </w:tc>
        <w:tc>
          <w:tcPr>
            <w:tcW w:w="495" w:type="dxa"/>
            <w:tcBorders>
              <w:tl2br w:val="nil"/>
              <w:tr2bl w:val="nil"/>
            </w:tcBorders>
            <w:noWrap w:val="0"/>
            <w:vAlign w:val="center"/>
          </w:tcPr>
          <w:p w14:paraId="14E98E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F1BDA0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掌握预算单位固定资产配置管理使用情况。</w:t>
            </w:r>
          </w:p>
        </w:tc>
        <w:tc>
          <w:tcPr>
            <w:tcW w:w="5112" w:type="dxa"/>
            <w:tcBorders>
              <w:tl2br w:val="nil"/>
              <w:tr2bl w:val="nil"/>
            </w:tcBorders>
            <w:noWrap w:val="0"/>
            <w:vAlign w:val="center"/>
          </w:tcPr>
          <w:p w14:paraId="76EB6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①建了固定资产台账实行编码管理，且编码与实物完全匹配计</w:t>
            </w:r>
            <w:r>
              <w:rPr>
                <w:rStyle w:val="11"/>
                <w:rFonts w:eastAsia="宋体"/>
                <w:lang w:val="en-US" w:eastAsia="zh-CN" w:bidi="ar"/>
              </w:rPr>
              <w:t>1</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②建立了固定资产增减变化审批程序的计0.5分，否则不得分；</w:t>
            </w:r>
            <w:r>
              <w:rPr>
                <w:rStyle w:val="11"/>
                <w:rFonts w:eastAsia="宋体"/>
                <w:lang w:val="en-US" w:eastAsia="zh-CN" w:bidi="ar"/>
              </w:rPr>
              <w:br w:type="textWrapping"/>
            </w:r>
            <w:r>
              <w:rPr>
                <w:rStyle w:val="10"/>
                <w:lang w:val="en-US" w:eastAsia="zh-CN" w:bidi="ar"/>
              </w:rPr>
              <w:t>③固定资产无闲置浪费现象计0.5分，发现一处扣</w:t>
            </w:r>
            <w:r>
              <w:rPr>
                <w:rStyle w:val="11"/>
                <w:rFonts w:eastAsia="宋体"/>
                <w:lang w:val="en-US" w:eastAsia="zh-CN" w:bidi="ar"/>
              </w:rPr>
              <w:t>0.1</w:t>
            </w:r>
            <w:r>
              <w:rPr>
                <w:rStyle w:val="10"/>
                <w:lang w:val="en-US" w:eastAsia="zh-CN" w:bidi="ar"/>
              </w:rPr>
              <w:t>分，扣完为止。</w:t>
            </w:r>
          </w:p>
        </w:tc>
        <w:tc>
          <w:tcPr>
            <w:tcW w:w="2115" w:type="dxa"/>
            <w:tcBorders>
              <w:tl2br w:val="nil"/>
              <w:tr2bl w:val="nil"/>
            </w:tcBorders>
            <w:noWrap w:val="0"/>
            <w:vAlign w:val="center"/>
          </w:tcPr>
          <w:p w14:paraId="1E08BA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部门（单位）固定资产实际使用情况；固定资产账。</w:t>
            </w:r>
          </w:p>
        </w:tc>
        <w:tc>
          <w:tcPr>
            <w:tcW w:w="586" w:type="dxa"/>
            <w:tcBorders>
              <w:tl2br w:val="nil"/>
              <w:tr2bl w:val="nil"/>
            </w:tcBorders>
            <w:noWrap w:val="0"/>
            <w:vAlign w:val="center"/>
          </w:tcPr>
          <w:p w14:paraId="36112C7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B49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2757AD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产出</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22</w:t>
            </w:r>
            <w:r>
              <w:rPr>
                <w:rStyle w:val="10"/>
                <w:lang w:val="en-US" w:eastAsia="zh-CN" w:bidi="ar"/>
              </w:rPr>
              <w:t>分）</w:t>
            </w:r>
          </w:p>
        </w:tc>
        <w:tc>
          <w:tcPr>
            <w:tcW w:w="870" w:type="dxa"/>
            <w:vMerge w:val="restart"/>
            <w:tcBorders>
              <w:tl2br w:val="nil"/>
              <w:tr2bl w:val="nil"/>
            </w:tcBorders>
            <w:noWrap w:val="0"/>
            <w:vAlign w:val="center"/>
          </w:tcPr>
          <w:p w14:paraId="0308F6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职责履行（</w:t>
            </w:r>
            <w:r>
              <w:rPr>
                <w:rStyle w:val="11"/>
                <w:rFonts w:eastAsia="宋体"/>
                <w:lang w:val="en-US" w:eastAsia="zh-CN" w:bidi="ar"/>
              </w:rPr>
              <w:t>22</w:t>
            </w:r>
            <w:r>
              <w:rPr>
                <w:rStyle w:val="10"/>
                <w:lang w:val="en-US" w:eastAsia="zh-CN" w:bidi="ar"/>
              </w:rPr>
              <w:t>分）</w:t>
            </w:r>
          </w:p>
        </w:tc>
        <w:tc>
          <w:tcPr>
            <w:tcW w:w="1050" w:type="dxa"/>
            <w:tcBorders>
              <w:tl2br w:val="nil"/>
              <w:tr2bl w:val="nil"/>
            </w:tcBorders>
            <w:noWrap w:val="0"/>
            <w:vAlign w:val="center"/>
          </w:tcPr>
          <w:p w14:paraId="569D44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部门整体</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工作质量</w:t>
            </w:r>
          </w:p>
        </w:tc>
        <w:tc>
          <w:tcPr>
            <w:tcW w:w="495" w:type="dxa"/>
            <w:tcBorders>
              <w:tl2br w:val="nil"/>
              <w:tr2bl w:val="nil"/>
            </w:tcBorders>
            <w:noWrap w:val="0"/>
            <w:vAlign w:val="center"/>
          </w:tcPr>
          <w:p w14:paraId="2D1265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2415F00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反映部门党委政府绩效考核评估等级</w:t>
            </w:r>
          </w:p>
        </w:tc>
        <w:tc>
          <w:tcPr>
            <w:tcW w:w="5112" w:type="dxa"/>
            <w:tcBorders>
              <w:tl2br w:val="nil"/>
              <w:tr2bl w:val="nil"/>
            </w:tcBorders>
            <w:noWrap w:val="0"/>
            <w:vAlign w:val="center"/>
          </w:tcPr>
          <w:p w14:paraId="0FF82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以市委、市政府绩效效考核评估结果为依据：优秀，计</w:t>
            </w:r>
            <w:r>
              <w:rPr>
                <w:rStyle w:val="11"/>
                <w:rFonts w:eastAsia="宋体"/>
                <w:lang w:val="en-US" w:eastAsia="zh-CN" w:bidi="ar"/>
              </w:rPr>
              <w:t>6</w:t>
            </w:r>
            <w:r>
              <w:rPr>
                <w:rStyle w:val="10"/>
                <w:lang w:val="en-US" w:eastAsia="zh-CN" w:bidi="ar"/>
              </w:rPr>
              <w:t>分；良好，</w:t>
            </w:r>
            <w:r>
              <w:rPr>
                <w:rStyle w:val="11"/>
                <w:rFonts w:eastAsia="宋体"/>
                <w:lang w:val="en-US" w:eastAsia="zh-CN" w:bidi="ar"/>
              </w:rPr>
              <w:t>4</w:t>
            </w:r>
            <w:r>
              <w:rPr>
                <w:rStyle w:val="10"/>
                <w:lang w:val="en-US" w:eastAsia="zh-CN" w:bidi="ar"/>
              </w:rPr>
              <w:t>分；合格，</w:t>
            </w:r>
            <w:r>
              <w:rPr>
                <w:rStyle w:val="11"/>
                <w:rFonts w:eastAsia="宋体"/>
                <w:lang w:val="en-US" w:eastAsia="zh-CN" w:bidi="ar"/>
              </w:rPr>
              <w:t>2</w:t>
            </w:r>
            <w:r>
              <w:rPr>
                <w:rStyle w:val="10"/>
                <w:lang w:val="en-US" w:eastAsia="zh-CN" w:bidi="ar"/>
              </w:rPr>
              <w:t>分；不合格，</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14:paraId="1B402869">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523F3C8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0D669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0166723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93CA75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3129B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实际</w:t>
            </w:r>
            <w:r>
              <w:rPr>
                <w:rStyle w:val="13"/>
                <w:rFonts w:eastAsia="宋体"/>
                <w:lang w:val="en-US" w:eastAsia="zh-CN" w:bidi="ar"/>
              </w:rPr>
              <w:br w:type="textWrapping"/>
            </w:r>
            <w:r>
              <w:rPr>
                <w:rStyle w:val="12"/>
                <w:lang w:val="en-US" w:eastAsia="zh-CN" w:bidi="ar"/>
              </w:rPr>
              <w:t>完成率</w:t>
            </w:r>
          </w:p>
        </w:tc>
        <w:tc>
          <w:tcPr>
            <w:tcW w:w="495" w:type="dxa"/>
            <w:tcBorders>
              <w:tl2br w:val="nil"/>
              <w:tr2bl w:val="nil"/>
            </w:tcBorders>
            <w:noWrap w:val="0"/>
            <w:vAlign w:val="center"/>
          </w:tcPr>
          <w:p w14:paraId="26FD66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290966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0ED45F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实际完成率</w:t>
            </w:r>
            <w:r>
              <w:rPr>
                <w:rStyle w:val="13"/>
                <w:rFonts w:eastAsia="宋体"/>
                <w:lang w:val="en-US" w:eastAsia="zh-CN" w:bidi="ar"/>
              </w:rPr>
              <w:t>=</w:t>
            </w:r>
            <w:r>
              <w:rPr>
                <w:rStyle w:val="12"/>
                <w:lang w:val="en-US" w:eastAsia="zh-CN" w:bidi="ar"/>
              </w:rPr>
              <w:t>（实际完成工作数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。实际完成工作数：一定时期（年度或规划期）内部门实际完成工作任务的数量。计划工作数：部门整体绩效目标确定的一定时期（年度或规划期）内预计完成工作任务的数量。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117A840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51C209F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368D2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4EE864C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1CE748B">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FE313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完成</w:t>
            </w:r>
            <w:r>
              <w:rPr>
                <w:rStyle w:val="13"/>
                <w:rFonts w:eastAsia="宋体"/>
                <w:lang w:val="en-US" w:eastAsia="zh-CN" w:bidi="ar"/>
              </w:rPr>
              <w:br w:type="textWrapping"/>
            </w:r>
            <w:r>
              <w:rPr>
                <w:rStyle w:val="12"/>
                <w:lang w:val="en-US" w:eastAsia="zh-CN" w:bidi="ar"/>
              </w:rPr>
              <w:t>及时性</w:t>
            </w:r>
          </w:p>
        </w:tc>
        <w:tc>
          <w:tcPr>
            <w:tcW w:w="495" w:type="dxa"/>
            <w:tcBorders>
              <w:tl2br w:val="nil"/>
              <w:tr2bl w:val="nil"/>
            </w:tcBorders>
            <w:noWrap w:val="0"/>
            <w:vAlign w:val="center"/>
          </w:tcPr>
          <w:p w14:paraId="4E3BE7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6576F8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26F3E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完成及时率</w:t>
            </w:r>
            <w:r>
              <w:rPr>
                <w:rStyle w:val="13"/>
                <w:rFonts w:eastAsia="宋体"/>
                <w:lang w:val="en-US" w:eastAsia="zh-CN" w:bidi="ar"/>
              </w:rPr>
              <w:t>=</w:t>
            </w:r>
            <w:r>
              <w:rPr>
                <w:rStyle w:val="12"/>
                <w:lang w:val="en-US" w:eastAsia="zh-CN" w:bidi="ar"/>
              </w:rPr>
              <w:t>（及时完成实际工作数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。及时完成实际工作数：部门按照整体绩效目标确定的时限实际完成的工作任务数量。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完成及时率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46EE50FF">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F607C1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338F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2B2BB07C">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3CED074">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4F43D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质量</w:t>
            </w:r>
            <w:r>
              <w:rPr>
                <w:rStyle w:val="13"/>
                <w:rFonts w:eastAsia="宋体"/>
                <w:lang w:val="en-US" w:eastAsia="zh-CN" w:bidi="ar"/>
              </w:rPr>
              <w:br w:type="textWrapping"/>
            </w:r>
            <w:r>
              <w:rPr>
                <w:rStyle w:val="12"/>
                <w:lang w:val="en-US" w:eastAsia="zh-CN" w:bidi="ar"/>
              </w:rPr>
              <w:t>达标率</w:t>
            </w:r>
          </w:p>
        </w:tc>
        <w:tc>
          <w:tcPr>
            <w:tcW w:w="495" w:type="dxa"/>
            <w:tcBorders>
              <w:tl2br w:val="nil"/>
              <w:tr2bl w:val="nil"/>
            </w:tcBorders>
            <w:noWrap w:val="0"/>
            <w:vAlign w:val="center"/>
          </w:tcPr>
          <w:p w14:paraId="71A99F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93581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达到质量标准（绩效标准值）的实际工作数与计划工作数的比率</w:t>
            </w:r>
            <w:r>
              <w:rPr>
                <w:rStyle w:val="13"/>
                <w:rFonts w:eastAsia="宋体"/>
                <w:lang w:val="en-US" w:eastAsia="zh-CN" w:bidi="ar"/>
              </w:rPr>
              <w:t>,</w:t>
            </w:r>
            <w:r>
              <w:rPr>
                <w:rStyle w:val="12"/>
                <w:lang w:val="en-US" w:eastAsia="zh-CN" w:bidi="ar"/>
              </w:rPr>
              <w:t>用以反映和考核部门履职质量目标的实现程度。</w:t>
            </w:r>
          </w:p>
        </w:tc>
        <w:tc>
          <w:tcPr>
            <w:tcW w:w="5112" w:type="dxa"/>
            <w:tcBorders>
              <w:tl2br w:val="nil"/>
              <w:tr2bl w:val="nil"/>
            </w:tcBorders>
            <w:noWrap w:val="0"/>
            <w:vAlign w:val="center"/>
          </w:tcPr>
          <w:p w14:paraId="766FBC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质量达标率</w:t>
            </w:r>
            <w:r>
              <w:rPr>
                <w:rStyle w:val="13"/>
                <w:rFonts w:eastAsia="宋体"/>
                <w:lang w:val="en-US" w:eastAsia="zh-CN" w:bidi="ar"/>
              </w:rPr>
              <w:t>=</w:t>
            </w:r>
            <w:r>
              <w:rPr>
                <w:rStyle w:val="12"/>
                <w:lang w:val="en-US" w:eastAsia="zh-CN" w:bidi="ar"/>
              </w:rPr>
              <w:t>（质量达标实际工作数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。质量达标实际工作数：一定时期（年度或规划期）内部门实际完成工作数中达到部门绩效目标要求（绩效标准值）的工作任务数量。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达标率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5F8D8DB6">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0D6D18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35F4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3EB5E727">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4DCE24B">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244F9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重点工作</w:t>
            </w:r>
            <w:r>
              <w:rPr>
                <w:rStyle w:val="13"/>
                <w:rFonts w:eastAsia="宋体"/>
                <w:lang w:val="en-US" w:eastAsia="zh-CN" w:bidi="ar"/>
              </w:rPr>
              <w:br w:type="textWrapping"/>
            </w:r>
            <w:r>
              <w:rPr>
                <w:rStyle w:val="12"/>
                <w:lang w:val="en-US" w:eastAsia="zh-CN" w:bidi="ar"/>
              </w:rPr>
              <w:t>办结率</w:t>
            </w:r>
          </w:p>
        </w:tc>
        <w:tc>
          <w:tcPr>
            <w:tcW w:w="495" w:type="dxa"/>
            <w:tcBorders>
              <w:tl2br w:val="nil"/>
              <w:tr2bl w:val="nil"/>
            </w:tcBorders>
            <w:noWrap w:val="0"/>
            <w:vAlign w:val="center"/>
          </w:tcPr>
          <w:p w14:paraId="2C6E3F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7789E4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563DD99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重点工作办结率</w:t>
            </w:r>
            <w:r>
              <w:rPr>
                <w:rStyle w:val="13"/>
                <w:rFonts w:eastAsia="宋体"/>
                <w:lang w:val="en-US" w:eastAsia="zh-CN" w:bidi="ar"/>
              </w:rPr>
              <w:t>=</w:t>
            </w:r>
            <w:r>
              <w:rPr>
                <w:rStyle w:val="12"/>
                <w:lang w:val="en-US" w:eastAsia="zh-CN" w:bidi="ar"/>
              </w:rPr>
              <w:t>（重点工作实际完成数</w:t>
            </w:r>
            <w:r>
              <w:rPr>
                <w:rStyle w:val="13"/>
                <w:rFonts w:eastAsia="宋体"/>
                <w:lang w:val="en-US" w:eastAsia="zh-CN" w:bidi="ar"/>
              </w:rPr>
              <w:t>/</w:t>
            </w:r>
            <w:r>
              <w:rPr>
                <w:rStyle w:val="12"/>
                <w:lang w:val="en-US" w:eastAsia="zh-CN" w:bidi="ar"/>
              </w:rPr>
              <w:t>交办或下达数）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重点工作是指党委、政府、人大、相关部门交办或下达的工作任务。</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办结率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14:paraId="3098A750">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4A2B67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1783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1E0F55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效果</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17</w:t>
            </w:r>
            <w:r>
              <w:rPr>
                <w:rStyle w:val="10"/>
                <w:lang w:val="en-US" w:eastAsia="zh-CN" w:bidi="ar"/>
              </w:rPr>
              <w:t>分）</w:t>
            </w:r>
          </w:p>
        </w:tc>
        <w:tc>
          <w:tcPr>
            <w:tcW w:w="870" w:type="dxa"/>
            <w:vMerge w:val="restart"/>
            <w:tcBorders>
              <w:tl2br w:val="nil"/>
              <w:tr2bl w:val="nil"/>
            </w:tcBorders>
            <w:noWrap w:val="0"/>
            <w:vAlign w:val="center"/>
          </w:tcPr>
          <w:p w14:paraId="50E665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履职效益（</w:t>
            </w:r>
            <w:r>
              <w:rPr>
                <w:rStyle w:val="13"/>
                <w:rFonts w:eastAsia="宋体"/>
                <w:lang w:val="en-US" w:eastAsia="zh-CN" w:bidi="ar"/>
              </w:rPr>
              <w:t>17</w:t>
            </w:r>
            <w:r>
              <w:rPr>
                <w:rStyle w:val="12"/>
                <w:lang w:val="en-US" w:eastAsia="zh-CN" w:bidi="ar"/>
              </w:rPr>
              <w:t>分）</w:t>
            </w:r>
          </w:p>
        </w:tc>
        <w:tc>
          <w:tcPr>
            <w:tcW w:w="1050" w:type="dxa"/>
            <w:tcBorders>
              <w:tl2br w:val="nil"/>
              <w:tr2bl w:val="nil"/>
            </w:tcBorders>
            <w:noWrap w:val="0"/>
            <w:vAlign w:val="center"/>
          </w:tcPr>
          <w:p w14:paraId="4A9802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经济</w:t>
            </w:r>
            <w:r>
              <w:rPr>
                <w:rStyle w:val="13"/>
                <w:rFonts w:eastAsia="宋体"/>
                <w:lang w:val="en-US" w:eastAsia="zh-CN" w:bidi="ar"/>
              </w:rPr>
              <w:br w:type="textWrapping"/>
            </w:r>
            <w:r>
              <w:rPr>
                <w:rStyle w:val="12"/>
                <w:lang w:val="en-US" w:eastAsia="zh-CN" w:bidi="ar"/>
              </w:rPr>
              <w:t>效益</w:t>
            </w:r>
          </w:p>
        </w:tc>
        <w:tc>
          <w:tcPr>
            <w:tcW w:w="495" w:type="dxa"/>
            <w:vMerge w:val="restart"/>
            <w:tcBorders>
              <w:tl2br w:val="nil"/>
              <w:tr2bl w:val="nil"/>
            </w:tcBorders>
            <w:noWrap w:val="0"/>
            <w:vAlign w:val="center"/>
          </w:tcPr>
          <w:p w14:paraId="2CA35B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2A4F5FA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7BF73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此三项指标可根据部门实际并结合部门整体支出绩效目标设立情况有选择的进行评价。</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依据评价内容相应计分。</w:t>
            </w:r>
          </w:p>
        </w:tc>
        <w:tc>
          <w:tcPr>
            <w:tcW w:w="2115" w:type="dxa"/>
            <w:tcBorders>
              <w:tl2br w:val="nil"/>
              <w:tr2bl w:val="nil"/>
            </w:tcBorders>
            <w:noWrap w:val="0"/>
            <w:vAlign w:val="center"/>
          </w:tcPr>
          <w:p w14:paraId="0326082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CEB264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15A5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04AFB2B3">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246EAB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13C6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w:t>
            </w:r>
            <w:r>
              <w:rPr>
                <w:rStyle w:val="13"/>
                <w:rFonts w:eastAsia="宋体"/>
                <w:lang w:val="en-US" w:eastAsia="zh-CN" w:bidi="ar"/>
              </w:rPr>
              <w:br w:type="textWrapping"/>
            </w:r>
            <w:r>
              <w:rPr>
                <w:rStyle w:val="12"/>
                <w:lang w:val="en-US" w:eastAsia="zh-CN" w:bidi="ar"/>
              </w:rPr>
              <w:t>效益</w:t>
            </w:r>
          </w:p>
        </w:tc>
        <w:tc>
          <w:tcPr>
            <w:tcW w:w="495" w:type="dxa"/>
            <w:vMerge w:val="continue"/>
            <w:tcBorders>
              <w:tl2br w:val="nil"/>
              <w:tr2bl w:val="nil"/>
            </w:tcBorders>
            <w:noWrap w:val="0"/>
            <w:vAlign w:val="center"/>
          </w:tcPr>
          <w:p w14:paraId="7A50D966">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7C6C02E0">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38214FBF">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428BF452">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729883F">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0B87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1650D1F3">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B918D9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125E9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生态</w:t>
            </w:r>
            <w:r>
              <w:rPr>
                <w:rStyle w:val="13"/>
                <w:rFonts w:eastAsia="宋体"/>
                <w:lang w:val="en-US" w:eastAsia="zh-CN" w:bidi="ar"/>
              </w:rPr>
              <w:br w:type="textWrapping"/>
            </w:r>
            <w:r>
              <w:rPr>
                <w:rStyle w:val="12"/>
                <w:lang w:val="en-US" w:eastAsia="zh-CN" w:bidi="ar"/>
              </w:rPr>
              <w:t>效益</w:t>
            </w:r>
          </w:p>
        </w:tc>
        <w:tc>
          <w:tcPr>
            <w:tcW w:w="495" w:type="dxa"/>
            <w:vMerge w:val="continue"/>
            <w:tcBorders>
              <w:tl2br w:val="nil"/>
              <w:tr2bl w:val="nil"/>
            </w:tcBorders>
            <w:noWrap w:val="0"/>
            <w:vAlign w:val="center"/>
          </w:tcPr>
          <w:p w14:paraId="70C1714A">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16FABD73">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343E1DE2">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443F27F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F83646D">
            <w:pPr>
              <w:jc w:val="left"/>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cs="Times New Roman"/>
                <w:i w:val="0"/>
                <w:iCs w:val="0"/>
                <w:color w:val="000000"/>
                <w:sz w:val="18"/>
                <w:szCs w:val="18"/>
                <w:u w:val="none"/>
                <w:lang w:val="en-US" w:eastAsia="zh-CN"/>
              </w:rPr>
              <w:t>2</w:t>
            </w:r>
          </w:p>
        </w:tc>
      </w:tr>
      <w:tr w14:paraId="7F13C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12242BE0">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9DBBBD5">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B62C7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社会公众或服务对象满意度</w:t>
            </w:r>
          </w:p>
        </w:tc>
        <w:tc>
          <w:tcPr>
            <w:tcW w:w="495" w:type="dxa"/>
            <w:tcBorders>
              <w:tl2br w:val="nil"/>
              <w:tr2bl w:val="nil"/>
            </w:tcBorders>
            <w:noWrap w:val="0"/>
            <w:vAlign w:val="center"/>
          </w:tcPr>
          <w:p w14:paraId="1FF9AD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051CB0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社会公众或部门的服务对象对部门履职效果的满意程度。</w:t>
            </w:r>
          </w:p>
        </w:tc>
        <w:tc>
          <w:tcPr>
            <w:tcW w:w="5112" w:type="dxa"/>
            <w:tcBorders>
              <w:tl2br w:val="nil"/>
              <w:tr2bl w:val="nil"/>
            </w:tcBorders>
            <w:noWrap w:val="0"/>
            <w:vAlign w:val="center"/>
          </w:tcPr>
          <w:p w14:paraId="7515A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社会公众或服务对象是指部门履行职责而影响到的部门、群体或个人。一般采取社会调查的方式</w:t>
            </w:r>
            <w:r>
              <w:rPr>
                <w:rStyle w:val="13"/>
                <w:rFonts w:eastAsia="宋体"/>
                <w:lang w:val="en-US" w:eastAsia="zh-CN" w:bidi="ar"/>
              </w:rPr>
              <w:t>(</w:t>
            </w:r>
            <w:r>
              <w:rPr>
                <w:rStyle w:val="12"/>
                <w:lang w:val="en-US" w:eastAsia="zh-CN" w:bidi="ar"/>
              </w:rPr>
              <w:t>不少于</w:t>
            </w:r>
            <w:r>
              <w:rPr>
                <w:rStyle w:val="13"/>
                <w:rFonts w:eastAsia="宋体"/>
                <w:lang w:val="en-US" w:eastAsia="zh-CN" w:bidi="ar"/>
              </w:rPr>
              <w:t>30</w:t>
            </w:r>
            <w:r>
              <w:rPr>
                <w:rStyle w:val="12"/>
                <w:lang w:val="en-US" w:eastAsia="zh-CN" w:bidi="ar"/>
              </w:rPr>
              <w:t>份</w:t>
            </w:r>
            <w:r>
              <w:rPr>
                <w:rStyle w:val="13"/>
                <w:rFonts w:eastAsia="宋体"/>
                <w:lang w:val="en-US" w:eastAsia="zh-CN" w:bidi="ar"/>
              </w:rPr>
              <w:t>)</w:t>
            </w:r>
            <w:r>
              <w:rPr>
                <w:rStyle w:val="12"/>
                <w:lang w:val="en-US" w:eastAsia="zh-CN" w:bidi="ar"/>
              </w:rPr>
              <w:t>。</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满意率</w:t>
            </w:r>
            <w:r>
              <w:rPr>
                <w:rStyle w:val="13"/>
                <w:rFonts w:eastAsia="宋体"/>
                <w:lang w:val="en-US" w:eastAsia="zh-CN" w:bidi="ar"/>
              </w:rPr>
              <w:t>×8</w:t>
            </w:r>
            <w:r>
              <w:rPr>
                <w:rStyle w:val="12"/>
                <w:lang w:val="en-US" w:eastAsia="zh-CN" w:bidi="ar"/>
              </w:rPr>
              <w:t>分。</w:t>
            </w:r>
          </w:p>
        </w:tc>
        <w:tc>
          <w:tcPr>
            <w:tcW w:w="2115" w:type="dxa"/>
            <w:tcBorders>
              <w:tl2br w:val="nil"/>
              <w:tr2bl w:val="nil"/>
            </w:tcBorders>
            <w:noWrap w:val="0"/>
            <w:vAlign w:val="center"/>
          </w:tcPr>
          <w:p w14:paraId="2E518649">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43BF0FC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24685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noWrap/>
            <w:vAlign w:val="center"/>
          </w:tcPr>
          <w:p w14:paraId="722287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合</w:t>
            </w:r>
            <w:r>
              <w:rPr>
                <w:rStyle w:val="15"/>
                <w:rFonts w:eastAsia="宋体"/>
                <w:lang w:val="en-US" w:eastAsia="zh-CN" w:bidi="ar"/>
              </w:rPr>
              <w:t xml:space="preserve">  </w:t>
            </w:r>
            <w:r>
              <w:rPr>
                <w:rStyle w:val="14"/>
                <w:lang w:val="en-US" w:eastAsia="zh-CN" w:bidi="ar"/>
              </w:rPr>
              <w:t>计</w:t>
            </w:r>
          </w:p>
        </w:tc>
        <w:tc>
          <w:tcPr>
            <w:tcW w:w="495" w:type="dxa"/>
            <w:tcBorders>
              <w:tl2br w:val="nil"/>
              <w:tr2bl w:val="nil"/>
            </w:tcBorders>
            <w:noWrap/>
            <w:vAlign w:val="center"/>
          </w:tcPr>
          <w:p w14:paraId="241BA8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100</w:t>
            </w:r>
          </w:p>
        </w:tc>
        <w:tc>
          <w:tcPr>
            <w:tcW w:w="2570" w:type="dxa"/>
            <w:tcBorders>
              <w:tl2br w:val="nil"/>
              <w:tr2bl w:val="nil"/>
            </w:tcBorders>
            <w:noWrap/>
            <w:vAlign w:val="center"/>
          </w:tcPr>
          <w:p w14:paraId="7C4CE9C0">
            <w:pPr>
              <w:rPr>
                <w:rFonts w:hint="default" w:ascii="Times New Roman" w:hAnsi="Times New Roman" w:eastAsia="宋体" w:cs="Times New Roman"/>
                <w:i w:val="0"/>
                <w:iCs w:val="0"/>
                <w:color w:val="000000"/>
                <w:sz w:val="18"/>
                <w:szCs w:val="18"/>
                <w:u w:val="none"/>
              </w:rPr>
            </w:pPr>
          </w:p>
        </w:tc>
        <w:tc>
          <w:tcPr>
            <w:tcW w:w="5112" w:type="dxa"/>
            <w:tcBorders>
              <w:tl2br w:val="nil"/>
              <w:tr2bl w:val="nil"/>
            </w:tcBorders>
            <w:noWrap/>
            <w:vAlign w:val="center"/>
          </w:tcPr>
          <w:p w14:paraId="1A6DEEBA">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14:paraId="79DBF786">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14:paraId="1F523A9C">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96</w:t>
            </w:r>
          </w:p>
        </w:tc>
      </w:tr>
    </w:tbl>
    <w:p w14:paraId="569918FC">
      <w:pPr>
        <w:spacing w:line="600" w:lineRule="exact"/>
        <w:jc w:val="both"/>
        <w:rPr>
          <w:rFonts w:hint="eastAsia" w:ascii="楷体" w:hAnsi="楷体" w:eastAsia="楷体" w:cs="楷体"/>
          <w:sz w:val="36"/>
        </w:rPr>
        <w:sectPr>
          <w:pgSz w:w="16838" w:h="11906" w:orient="landscape"/>
          <w:pgMar w:top="1803" w:right="1440" w:bottom="1803" w:left="1440" w:header="851" w:footer="992" w:gutter="0"/>
          <w:cols w:space="0" w:num="1"/>
          <w:rtlGutter w:val="0"/>
          <w:docGrid w:type="lines" w:linePitch="319" w:charSpace="0"/>
        </w:sectPr>
      </w:pPr>
    </w:p>
    <w:p w14:paraId="68E0740F">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3048698F">
      <w:pPr>
        <w:pStyle w:val="7"/>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8"/>
        <w:tblW w:w="9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7"/>
        <w:gridCol w:w="1400"/>
        <w:gridCol w:w="934"/>
        <w:gridCol w:w="1938"/>
        <w:gridCol w:w="1292"/>
        <w:gridCol w:w="1073"/>
        <w:gridCol w:w="1073"/>
      </w:tblGrid>
      <w:tr w14:paraId="3FE3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E78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财政供养人员情况</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ED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编制数</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56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2023年实际在职人数</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2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控制率</w:t>
            </w:r>
          </w:p>
        </w:tc>
      </w:tr>
      <w:tr w14:paraId="478D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6E0B3">
            <w:pPr>
              <w:jc w:val="center"/>
              <w:rPr>
                <w:rFonts w:hint="eastAsia" w:ascii="宋体" w:hAnsi="宋体" w:eastAsia="宋体" w:cs="宋体"/>
                <w:b/>
                <w:bCs/>
                <w:i w:val="0"/>
                <w:iCs w:val="0"/>
                <w:color w:val="000000"/>
                <w:sz w:val="22"/>
                <w:szCs w:val="22"/>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AC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165</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04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165</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D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3207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EE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经费控制情况(万元)</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0A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2022年决算数</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83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2023年预算数</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E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2023年决算数</w:t>
            </w:r>
          </w:p>
        </w:tc>
      </w:tr>
      <w:tr w14:paraId="0EB3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0B05F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27807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78659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3DE9E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5EA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5145B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1、公务用车购置和维护经费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48990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028A2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5751E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AED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30E3C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其中：公车购置</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1CB754DD">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07762DFA">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774A5979">
            <w:pPr>
              <w:jc w:val="center"/>
              <w:rPr>
                <w:rFonts w:hint="eastAsia" w:ascii="宋体" w:hAnsi="宋体" w:eastAsia="宋体" w:cs="宋体"/>
                <w:i w:val="0"/>
                <w:iCs w:val="0"/>
                <w:color w:val="000000"/>
                <w:sz w:val="22"/>
                <w:szCs w:val="22"/>
                <w:u w:val="none"/>
              </w:rPr>
            </w:pPr>
          </w:p>
        </w:tc>
      </w:tr>
      <w:tr w14:paraId="58EF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4209F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公车运行维护</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09A29B26">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2CB26F83">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513D0A58">
            <w:pPr>
              <w:jc w:val="center"/>
              <w:rPr>
                <w:rFonts w:hint="eastAsia" w:ascii="宋体" w:hAnsi="宋体" w:eastAsia="宋体" w:cs="宋体"/>
                <w:i w:val="0"/>
                <w:iCs w:val="0"/>
                <w:color w:val="000000"/>
                <w:sz w:val="22"/>
                <w:szCs w:val="22"/>
                <w:u w:val="none"/>
              </w:rPr>
            </w:pPr>
          </w:p>
        </w:tc>
      </w:tr>
      <w:tr w14:paraId="5B19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07DD1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2、出国经费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6D53AC13">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7B391ADB">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0F1ABE61">
            <w:pPr>
              <w:jc w:val="center"/>
              <w:rPr>
                <w:rFonts w:hint="eastAsia" w:ascii="宋体" w:hAnsi="宋体" w:eastAsia="宋体" w:cs="宋体"/>
                <w:i w:val="0"/>
                <w:iCs w:val="0"/>
                <w:color w:val="000000"/>
                <w:sz w:val="22"/>
                <w:szCs w:val="22"/>
                <w:u w:val="none"/>
              </w:rPr>
            </w:pPr>
          </w:p>
        </w:tc>
      </w:tr>
      <w:tr w14:paraId="1EBA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36732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3、公务接待</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4A38817A">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04BC271B">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62605ACF">
            <w:pPr>
              <w:jc w:val="center"/>
              <w:rPr>
                <w:rFonts w:hint="eastAsia" w:ascii="宋体" w:hAnsi="宋体" w:eastAsia="宋体" w:cs="宋体"/>
                <w:i w:val="0"/>
                <w:iCs w:val="0"/>
                <w:color w:val="000000"/>
                <w:sz w:val="22"/>
                <w:szCs w:val="22"/>
                <w:u w:val="none"/>
              </w:rPr>
            </w:pPr>
          </w:p>
        </w:tc>
      </w:tr>
      <w:tr w14:paraId="38D0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08238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47255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3D59A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7743F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C26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5C79D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1、业务工作经费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232D6682">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62DEB912">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2958AE99">
            <w:pPr>
              <w:jc w:val="center"/>
              <w:rPr>
                <w:rFonts w:hint="eastAsia" w:ascii="宋体" w:hAnsi="宋体" w:eastAsia="宋体" w:cs="宋体"/>
                <w:i w:val="0"/>
                <w:iCs w:val="0"/>
                <w:color w:val="000000"/>
                <w:sz w:val="22"/>
                <w:szCs w:val="22"/>
                <w:u w:val="none"/>
              </w:rPr>
            </w:pPr>
          </w:p>
        </w:tc>
      </w:tr>
      <w:tr w14:paraId="388B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333B4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2、运行维护经费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4CC511C8">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654540BA">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5975A8BE">
            <w:pPr>
              <w:jc w:val="center"/>
              <w:rPr>
                <w:rFonts w:hint="eastAsia" w:ascii="宋体" w:hAnsi="宋体" w:eastAsia="宋体" w:cs="宋体"/>
                <w:i w:val="0"/>
                <w:iCs w:val="0"/>
                <w:color w:val="000000"/>
                <w:sz w:val="22"/>
                <w:szCs w:val="22"/>
                <w:u w:val="none"/>
              </w:rPr>
            </w:pPr>
          </w:p>
        </w:tc>
      </w:tr>
      <w:tr w14:paraId="5ACC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583B0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3、本级专项资金（一个专项一行）</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2AB14C0C">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0F38A3DC">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22E85D85">
            <w:pPr>
              <w:jc w:val="center"/>
              <w:rPr>
                <w:rFonts w:hint="eastAsia" w:ascii="宋体" w:hAnsi="宋体" w:eastAsia="宋体" w:cs="宋体"/>
                <w:i w:val="0"/>
                <w:iCs w:val="0"/>
                <w:color w:val="000000"/>
                <w:sz w:val="22"/>
                <w:szCs w:val="22"/>
                <w:u w:val="none"/>
              </w:rPr>
            </w:pPr>
          </w:p>
        </w:tc>
      </w:tr>
      <w:tr w14:paraId="54CE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324AC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1C47859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125.48</w:t>
            </w: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310757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1182.4</w:t>
            </w: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3725D2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1958.9</w:t>
            </w:r>
          </w:p>
        </w:tc>
      </w:tr>
      <w:tr w14:paraId="3A39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71F18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其中：办公经费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1A394F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26.84</w:t>
            </w: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764E9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6F4B5B0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850.86</w:t>
            </w:r>
          </w:p>
        </w:tc>
      </w:tr>
      <w:tr w14:paraId="5FBD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018FA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水费、电费、差旅费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4B9AF0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3.96</w:t>
            </w: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0FA3A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023B0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B44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0DF1C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会议费、培训费</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0E40A54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1.28</w:t>
            </w: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0C710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15143A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bookmarkStart w:id="0" w:name="_GoBack"/>
            <w:bookmarkEnd w:id="0"/>
          </w:p>
        </w:tc>
      </w:tr>
      <w:tr w14:paraId="3F30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1D07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政府采购金额</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25C5C702">
            <w:pPr>
              <w:jc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3793BC40">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622216B8">
            <w:pPr>
              <w:jc w:val="center"/>
              <w:rPr>
                <w:rFonts w:hint="eastAsia" w:ascii="宋体" w:hAnsi="宋体" w:eastAsia="宋体" w:cs="宋体"/>
                <w:i w:val="0"/>
                <w:iCs w:val="0"/>
                <w:color w:val="000000"/>
                <w:sz w:val="22"/>
                <w:szCs w:val="22"/>
                <w:u w:val="none"/>
              </w:rPr>
            </w:pPr>
          </w:p>
        </w:tc>
      </w:tr>
      <w:tr w14:paraId="5A63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27" w:type="dxa"/>
            <w:tcBorders>
              <w:top w:val="single" w:color="000000" w:sz="4" w:space="0"/>
              <w:left w:val="single" w:color="000000" w:sz="4" w:space="0"/>
              <w:bottom w:val="single" w:color="000000" w:sz="4" w:space="0"/>
              <w:right w:val="nil"/>
            </w:tcBorders>
            <w:shd w:val="clear" w:color="auto" w:fill="auto"/>
            <w:vAlign w:val="center"/>
          </w:tcPr>
          <w:p w14:paraId="5DEFB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部门基本支出预算调整 </w:t>
            </w:r>
          </w:p>
        </w:tc>
        <w:tc>
          <w:tcPr>
            <w:tcW w:w="2334" w:type="dxa"/>
            <w:gridSpan w:val="2"/>
            <w:tcBorders>
              <w:top w:val="single" w:color="000000" w:sz="4" w:space="0"/>
              <w:left w:val="single" w:color="000000" w:sz="4" w:space="0"/>
              <w:bottom w:val="single" w:color="000000" w:sz="4" w:space="0"/>
              <w:right w:val="nil"/>
            </w:tcBorders>
            <w:shd w:val="clear" w:color="auto" w:fill="auto"/>
            <w:noWrap/>
            <w:vAlign w:val="center"/>
          </w:tcPr>
          <w:p w14:paraId="044CC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30" w:type="dxa"/>
            <w:gridSpan w:val="2"/>
            <w:tcBorders>
              <w:top w:val="single" w:color="000000" w:sz="4" w:space="0"/>
              <w:left w:val="single" w:color="000000" w:sz="4" w:space="0"/>
              <w:bottom w:val="single" w:color="000000" w:sz="4" w:space="0"/>
              <w:right w:val="nil"/>
            </w:tcBorders>
            <w:shd w:val="clear" w:color="auto" w:fill="auto"/>
            <w:noWrap/>
            <w:vAlign w:val="center"/>
          </w:tcPr>
          <w:p w14:paraId="647453DB">
            <w:pPr>
              <w:jc w:val="center"/>
              <w:rPr>
                <w:rFonts w:hint="eastAsia" w:ascii="宋体" w:hAnsi="宋体" w:eastAsia="宋体" w:cs="宋体"/>
                <w:i w:val="0"/>
                <w:iCs w:val="0"/>
                <w:color w:val="000000"/>
                <w:sz w:val="22"/>
                <w:szCs w:val="22"/>
                <w:u w:val="none"/>
              </w:rPr>
            </w:pPr>
          </w:p>
        </w:tc>
        <w:tc>
          <w:tcPr>
            <w:tcW w:w="2146" w:type="dxa"/>
            <w:gridSpan w:val="2"/>
            <w:tcBorders>
              <w:top w:val="single" w:color="000000" w:sz="4" w:space="0"/>
              <w:left w:val="single" w:color="000000" w:sz="4" w:space="0"/>
              <w:bottom w:val="single" w:color="000000" w:sz="4" w:space="0"/>
              <w:right w:val="nil"/>
            </w:tcBorders>
            <w:shd w:val="clear" w:color="auto" w:fill="auto"/>
            <w:noWrap/>
            <w:vAlign w:val="center"/>
          </w:tcPr>
          <w:p w14:paraId="7651FB4A">
            <w:pPr>
              <w:jc w:val="center"/>
              <w:rPr>
                <w:rFonts w:hint="eastAsia" w:ascii="宋体" w:hAnsi="宋体" w:eastAsia="宋体" w:cs="宋体"/>
                <w:i w:val="0"/>
                <w:iCs w:val="0"/>
                <w:color w:val="000000"/>
                <w:sz w:val="22"/>
                <w:szCs w:val="22"/>
                <w:u w:val="none"/>
              </w:rPr>
            </w:pPr>
          </w:p>
        </w:tc>
      </w:tr>
      <w:tr w14:paraId="475D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6C7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楼堂馆所控制情况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（2023年完工项目）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4A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批复规模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3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实际规模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4D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规模控制率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2F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预算投资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45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实际投资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D3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投资概算控制率</w:t>
            </w:r>
          </w:p>
        </w:tc>
      </w:tr>
      <w:tr w14:paraId="10AE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05D83">
            <w:pPr>
              <w:jc w:val="center"/>
              <w:rPr>
                <w:rFonts w:hint="eastAsia" w:ascii="宋体" w:hAnsi="宋体" w:eastAsia="宋体" w:cs="宋体"/>
                <w:b/>
                <w:bCs/>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F977">
            <w:pPr>
              <w:jc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4363">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0F97">
            <w:pPr>
              <w:jc w:val="center"/>
              <w:rPr>
                <w:rFonts w:hint="eastAsia" w:ascii="宋体" w:hAnsi="宋体" w:eastAsia="宋体" w:cs="宋体"/>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A5FE">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CBF4">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8B07">
            <w:pPr>
              <w:jc w:val="center"/>
              <w:rPr>
                <w:rFonts w:hint="eastAsia" w:ascii="宋体" w:hAnsi="宋体" w:eastAsia="宋体" w:cs="宋体"/>
                <w:i w:val="0"/>
                <w:iCs w:val="0"/>
                <w:color w:val="000000"/>
                <w:sz w:val="22"/>
                <w:szCs w:val="22"/>
                <w:u w:val="none"/>
              </w:rPr>
            </w:pPr>
          </w:p>
        </w:tc>
      </w:tr>
      <w:tr w14:paraId="3BA0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E0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厉行节约保障措施</w:t>
            </w:r>
          </w:p>
        </w:tc>
        <w:tc>
          <w:tcPr>
            <w:tcW w:w="77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9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严格按照预算数执行，各项费用合理支出，公用经费支出控制有力，总体效果较好</w:t>
            </w:r>
          </w:p>
        </w:tc>
      </w:tr>
    </w:tbl>
    <w:p w14:paraId="0901BDB8">
      <w:pPr>
        <w:pStyle w:val="7"/>
        <w:ind w:left="0" w:leftChars="0" w:firstLine="0" w:firstLineChars="0"/>
        <w:rPr>
          <w:rFonts w:hint="eastAsia" w:ascii="仿宋" w:hAnsi="仿宋" w:eastAsia="仿宋" w:cs="仿宋"/>
          <w:sz w:val="24"/>
          <w:szCs w:val="24"/>
          <w:lang w:val="en-US" w:eastAsia="zh-CN"/>
        </w:rPr>
      </w:pPr>
    </w:p>
    <w:p w14:paraId="5CEBC17F">
      <w:pPr>
        <w:pStyle w:val="7"/>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7F4244BE">
      <w:pPr>
        <w:pStyle w:val="7"/>
        <w:ind w:left="0" w:leftChars="0" w:firstLine="0" w:firstLineChars="0"/>
        <w:rPr>
          <w:rFonts w:hint="eastAsia" w:ascii="仿宋" w:hAnsi="仿宋" w:eastAsia="仿宋" w:cs="仿宋"/>
          <w:sz w:val="24"/>
          <w:szCs w:val="24"/>
          <w:lang w:val="en-US" w:eastAsia="zh-CN"/>
        </w:rPr>
      </w:pPr>
    </w:p>
    <w:p w14:paraId="0A877A77">
      <w:pPr>
        <w:pStyle w:val="7"/>
        <w:ind w:left="0" w:leftChars="0" w:firstLine="0" w:firstLineChars="0"/>
        <w:rPr>
          <w:rFonts w:hint="eastAsia" w:ascii="楷体" w:hAnsi="楷体" w:eastAsia="楷体" w:cs="楷体"/>
          <w:sz w:val="36"/>
        </w:rPr>
      </w:pPr>
      <w:r>
        <w:rPr>
          <w:rFonts w:hint="eastAsia" w:ascii="仿宋" w:hAnsi="仿宋" w:eastAsia="仿宋" w:cs="仿宋"/>
          <w:sz w:val="24"/>
          <w:szCs w:val="24"/>
          <w:lang w:val="en-US" w:eastAsia="zh-CN"/>
        </w:rPr>
        <w:t>填表人：         填报日期：       联系电话：        单位负责人签字：</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F97F"/>
    <w:multiLevelType w:val="singleLevel"/>
    <w:tmpl w:val="CADBF97F"/>
    <w:lvl w:ilvl="0" w:tentative="0">
      <w:start w:val="3"/>
      <w:numFmt w:val="chineseCounting"/>
      <w:suff w:val="nothing"/>
      <w:lvlText w:val="%1、"/>
      <w:lvlJc w:val="left"/>
      <w:rPr>
        <w:rFonts w:hint="eastAsia"/>
      </w:rPr>
    </w:lvl>
  </w:abstractNum>
  <w:abstractNum w:abstractNumId="1">
    <w:nsid w:val="FF42A102"/>
    <w:multiLevelType w:val="singleLevel"/>
    <w:tmpl w:val="FF42A102"/>
    <w:lvl w:ilvl="0" w:tentative="0">
      <w:start w:val="2"/>
      <w:numFmt w:val="chineseCounting"/>
      <w:suff w:val="nothing"/>
      <w:lvlText w:val="（%1）"/>
      <w:lvlJc w:val="left"/>
      <w:rPr>
        <w:rFonts w:hint="eastAsia"/>
      </w:rPr>
    </w:lvl>
  </w:abstractNum>
  <w:abstractNum w:abstractNumId="2">
    <w:nsid w:val="099CB4B6"/>
    <w:multiLevelType w:val="singleLevel"/>
    <w:tmpl w:val="099CB4B6"/>
    <w:lvl w:ilvl="0" w:tentative="0">
      <w:start w:val="2"/>
      <w:numFmt w:val="chineseCounting"/>
      <w:suff w:val="nothing"/>
      <w:lvlText w:val="（%1）"/>
      <w:lvlJc w:val="left"/>
      <w:rPr>
        <w:rFonts w:hint="eastAsia"/>
      </w:rPr>
    </w:lvl>
  </w:abstractNum>
  <w:abstractNum w:abstractNumId="3">
    <w:nsid w:val="40AAA925"/>
    <w:multiLevelType w:val="singleLevel"/>
    <w:tmpl w:val="40AAA925"/>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78F54607"/>
    <w:rsid w:val="00F15E2E"/>
    <w:rsid w:val="01A4698D"/>
    <w:rsid w:val="06F51AA6"/>
    <w:rsid w:val="07724E37"/>
    <w:rsid w:val="081F6F4E"/>
    <w:rsid w:val="0B8B0AA9"/>
    <w:rsid w:val="0CFA3905"/>
    <w:rsid w:val="0D45612B"/>
    <w:rsid w:val="10F51307"/>
    <w:rsid w:val="16AA4468"/>
    <w:rsid w:val="19A03C88"/>
    <w:rsid w:val="1ACD08AB"/>
    <w:rsid w:val="1F214310"/>
    <w:rsid w:val="272324FB"/>
    <w:rsid w:val="32A448E3"/>
    <w:rsid w:val="376B053F"/>
    <w:rsid w:val="381F6DFB"/>
    <w:rsid w:val="3CC54C78"/>
    <w:rsid w:val="3CFE6FFB"/>
    <w:rsid w:val="447E608E"/>
    <w:rsid w:val="48064139"/>
    <w:rsid w:val="48F4498A"/>
    <w:rsid w:val="50F13954"/>
    <w:rsid w:val="53DA0EA8"/>
    <w:rsid w:val="542F5728"/>
    <w:rsid w:val="54387CDA"/>
    <w:rsid w:val="54B575D6"/>
    <w:rsid w:val="55156D2D"/>
    <w:rsid w:val="57FE49CA"/>
    <w:rsid w:val="5BF77886"/>
    <w:rsid w:val="60781D13"/>
    <w:rsid w:val="608E0E75"/>
    <w:rsid w:val="6DD8456F"/>
    <w:rsid w:val="6DE2709A"/>
    <w:rsid w:val="75204D2E"/>
    <w:rsid w:val="77461862"/>
    <w:rsid w:val="78F54607"/>
    <w:rsid w:val="79983494"/>
    <w:rsid w:val="7A136ECA"/>
    <w:rsid w:val="7E5131B9"/>
    <w:rsid w:val="7EC6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uiPriority w:val="0"/>
    <w:pPr>
      <w:spacing w:line="365" w:lineRule="atLeast"/>
      <w:ind w:left="1"/>
    </w:pPr>
    <w:rPr>
      <w:rFonts w:ascii="Times New Roman" w:hAnsi="Times New Roman" w:eastAsia="宋体" w:cs="Times New Roman"/>
      <w:sz w:val="24"/>
      <w:lang w:val="en-US" w:eastAsia="zh-CN" w:bidi="ar-SA"/>
    </w:rPr>
  </w:style>
  <w:style w:type="paragraph" w:styleId="4">
    <w:name w:val="index 5"/>
    <w:basedOn w:val="1"/>
    <w:next w:val="1"/>
    <w:autoRedefine/>
    <w:qFormat/>
    <w:uiPriority w:val="0"/>
    <w:pPr>
      <w:ind w:left="1680"/>
    </w:pPr>
  </w:style>
  <w:style w:type="paragraph" w:styleId="5">
    <w:name w:val="Body Text Indent"/>
    <w:basedOn w:val="1"/>
    <w:autoRedefine/>
    <w:qFormat/>
    <w:uiPriority w:val="0"/>
    <w:pPr>
      <w:ind w:firstLine="640"/>
    </w:pPr>
    <w:rPr>
      <w:rFonts w:ascii="仿宋_GB2312" w:eastAsia="仿宋_GB2312"/>
      <w:bCs/>
      <w:sz w:val="32"/>
      <w:szCs w:val="32"/>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0"/>
    <w:pPr>
      <w:ind w:firstLine="420" w:firstLineChars="200"/>
    </w:pPr>
  </w:style>
  <w:style w:type="character" w:customStyle="1" w:styleId="10">
    <w:name w:val="font41"/>
    <w:basedOn w:val="9"/>
    <w:autoRedefine/>
    <w:qFormat/>
    <w:uiPriority w:val="0"/>
    <w:rPr>
      <w:rFonts w:hint="eastAsia" w:ascii="宋体" w:hAnsi="宋体" w:eastAsia="宋体" w:cs="宋体"/>
      <w:color w:val="000000"/>
      <w:sz w:val="18"/>
      <w:szCs w:val="18"/>
      <w:u w:val="none"/>
    </w:rPr>
  </w:style>
  <w:style w:type="character" w:customStyle="1" w:styleId="11">
    <w:name w:val="font51"/>
    <w:basedOn w:val="9"/>
    <w:autoRedefine/>
    <w:qFormat/>
    <w:uiPriority w:val="0"/>
    <w:rPr>
      <w:rFonts w:hint="default" w:ascii="Times New Roman" w:hAnsi="Times New Roman" w:cs="Times New Roman"/>
      <w:color w:val="000000"/>
      <w:sz w:val="18"/>
      <w:szCs w:val="18"/>
      <w:u w:val="none"/>
    </w:rPr>
  </w:style>
  <w:style w:type="character" w:customStyle="1" w:styleId="12">
    <w:name w:val="font71"/>
    <w:basedOn w:val="9"/>
    <w:autoRedefine/>
    <w:qFormat/>
    <w:uiPriority w:val="0"/>
    <w:rPr>
      <w:rFonts w:hint="eastAsia" w:ascii="宋体" w:hAnsi="宋体" w:eastAsia="宋体" w:cs="宋体"/>
      <w:color w:val="000000"/>
      <w:sz w:val="18"/>
      <w:szCs w:val="18"/>
      <w:u w:val="none"/>
    </w:rPr>
  </w:style>
  <w:style w:type="character" w:customStyle="1" w:styleId="13">
    <w:name w:val="font61"/>
    <w:basedOn w:val="9"/>
    <w:autoRedefine/>
    <w:qFormat/>
    <w:uiPriority w:val="0"/>
    <w:rPr>
      <w:rFonts w:hint="default" w:ascii="Times New Roman" w:hAnsi="Times New Roman" w:cs="Times New Roman"/>
      <w:color w:val="000000"/>
      <w:sz w:val="18"/>
      <w:szCs w:val="18"/>
      <w:u w:val="none"/>
    </w:rPr>
  </w:style>
  <w:style w:type="character" w:customStyle="1" w:styleId="14">
    <w:name w:val="font11"/>
    <w:basedOn w:val="9"/>
    <w:autoRedefine/>
    <w:qFormat/>
    <w:uiPriority w:val="0"/>
    <w:rPr>
      <w:rFonts w:hint="eastAsia" w:ascii="宋体" w:hAnsi="宋体" w:eastAsia="宋体" w:cs="宋体"/>
      <w:color w:val="000000"/>
      <w:sz w:val="18"/>
      <w:szCs w:val="18"/>
      <w:u w:val="none"/>
    </w:rPr>
  </w:style>
  <w:style w:type="character" w:customStyle="1" w:styleId="15">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7586</Words>
  <Characters>8016</Characters>
  <Lines>0</Lines>
  <Paragraphs>0</Paragraphs>
  <TotalTime>3</TotalTime>
  <ScaleCrop>false</ScaleCrop>
  <LinksUpToDate>false</LinksUpToDate>
  <CharactersWithSpaces>8061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2024-04-13T07:15:00Z</dcterms:created>
  <dc:creator>Growl</dc:creator>
  <cp:lastModifiedBy>╱/.莈冇侞淉oоΟ</cp:lastModifiedBy>
  <dcterms:modified xsi:type="dcterms:W3CDTF">2024-08-19T14:52:39Z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AF92F79031664DDE8BD3CD0005B92BAE_11</vt:lpwstr>
  </property>
</Properties>
</file>