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B5ED8">
      <w:pPr>
        <w:adjustRightInd w:val="0"/>
        <w:spacing w:line="600" w:lineRule="exact"/>
        <w:ind w:right="641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25AC15EE">
      <w:pPr>
        <w:rPr>
          <w:rFonts w:eastAsia="黑体"/>
          <w:sz w:val="44"/>
        </w:rPr>
      </w:pPr>
    </w:p>
    <w:p w14:paraId="76BCE3A2">
      <w:pPr>
        <w:rPr>
          <w:rFonts w:eastAsia="黑体"/>
          <w:sz w:val="44"/>
        </w:rPr>
      </w:pPr>
    </w:p>
    <w:p w14:paraId="1D814C87">
      <w:pPr>
        <w:rPr>
          <w:rFonts w:eastAsia="黑体"/>
          <w:sz w:val="44"/>
        </w:rPr>
      </w:pPr>
    </w:p>
    <w:p w14:paraId="137C8924">
      <w:pPr>
        <w:jc w:val="center"/>
        <w:rPr>
          <w:rFonts w:ascii="宋体" w:hAnsi="宋体"/>
          <w:sz w:val="44"/>
          <w:szCs w:val="44"/>
        </w:rPr>
      </w:pPr>
    </w:p>
    <w:p w14:paraId="68F5B1F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年度部门整体支出绩效自评报告   </w:t>
      </w:r>
    </w:p>
    <w:p w14:paraId="0632F33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（封面）</w:t>
      </w:r>
    </w:p>
    <w:p w14:paraId="21AB63AD">
      <w:pPr>
        <w:jc w:val="center"/>
        <w:rPr>
          <w:rFonts w:ascii="宋体" w:hAnsi="宋体"/>
          <w:sz w:val="44"/>
          <w:szCs w:val="44"/>
        </w:rPr>
      </w:pPr>
    </w:p>
    <w:p w14:paraId="33F21036">
      <w:pPr>
        <w:spacing w:line="600" w:lineRule="exact"/>
        <w:rPr>
          <w:sz w:val="36"/>
        </w:rPr>
      </w:pPr>
    </w:p>
    <w:p w14:paraId="71256F12">
      <w:pPr>
        <w:spacing w:line="600" w:lineRule="exact"/>
        <w:rPr>
          <w:sz w:val="36"/>
        </w:rPr>
      </w:pPr>
    </w:p>
    <w:p w14:paraId="53B75EC6">
      <w:pPr>
        <w:spacing w:line="600" w:lineRule="exact"/>
        <w:rPr>
          <w:sz w:val="36"/>
        </w:rPr>
      </w:pPr>
    </w:p>
    <w:p w14:paraId="74E4E92A">
      <w:pPr>
        <w:spacing w:line="600" w:lineRule="exact"/>
        <w:rPr>
          <w:sz w:val="36"/>
        </w:rPr>
      </w:pPr>
    </w:p>
    <w:p w14:paraId="1844AAAA">
      <w:pPr>
        <w:spacing w:line="600" w:lineRule="exact"/>
        <w:rPr>
          <w:sz w:val="36"/>
        </w:rPr>
      </w:pPr>
    </w:p>
    <w:p w14:paraId="12503281">
      <w:pPr>
        <w:spacing w:line="600" w:lineRule="exact"/>
        <w:rPr>
          <w:sz w:val="36"/>
        </w:rPr>
      </w:pPr>
    </w:p>
    <w:p w14:paraId="2CA58220">
      <w:pPr>
        <w:spacing w:line="1000" w:lineRule="exact"/>
        <w:rPr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邵阳县金江乡人民政府</w:t>
      </w:r>
      <w:r>
        <w:rPr>
          <w:rFonts w:hint="eastAsia"/>
          <w:bCs/>
          <w:sz w:val="32"/>
          <w:szCs w:val="32"/>
        </w:rPr>
        <w:t>（单位公章）</w:t>
      </w:r>
    </w:p>
    <w:p w14:paraId="2E9EEBAA">
      <w:pPr>
        <w:spacing w:line="600" w:lineRule="exact"/>
      </w:pPr>
    </w:p>
    <w:p w14:paraId="60D59092">
      <w:pPr>
        <w:spacing w:line="600" w:lineRule="exact"/>
      </w:pPr>
    </w:p>
    <w:p w14:paraId="150EC183">
      <w:pPr>
        <w:spacing w:line="600" w:lineRule="exact"/>
      </w:pPr>
    </w:p>
    <w:p w14:paraId="7F4EB71B">
      <w:pPr>
        <w:spacing w:line="600" w:lineRule="exact"/>
      </w:pPr>
    </w:p>
    <w:p w14:paraId="4DA460FF">
      <w:pPr>
        <w:spacing w:line="600" w:lineRule="exact"/>
      </w:pPr>
    </w:p>
    <w:p w14:paraId="0E7DBAA6">
      <w:pPr>
        <w:spacing w:line="600" w:lineRule="exact"/>
        <w:jc w:val="center"/>
        <w:rPr>
          <w:rFonts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</w:t>
      </w:r>
      <w:r>
        <w:rPr>
          <w:rFonts w:hint="eastAsia" w:ascii="楷体" w:hAnsi="楷体" w:eastAsia="楷体" w:cs="楷体"/>
          <w:sz w:val="36"/>
          <w:lang w:val="en-US" w:eastAsia="zh-CN"/>
        </w:rPr>
        <w:t>2024</w:t>
      </w:r>
      <w:r>
        <w:rPr>
          <w:rFonts w:hint="eastAsia" w:ascii="楷体" w:hAnsi="楷体" w:eastAsia="楷体" w:cs="楷体"/>
          <w:sz w:val="36"/>
        </w:rPr>
        <w:t>年</w:t>
      </w:r>
      <w:r>
        <w:rPr>
          <w:rFonts w:hint="eastAsia" w:ascii="楷体" w:hAnsi="楷体" w:eastAsia="楷体" w:cs="楷体"/>
          <w:sz w:val="36"/>
          <w:lang w:val="en-US" w:eastAsia="zh-CN"/>
        </w:rPr>
        <w:t>3</w:t>
      </w:r>
      <w:r>
        <w:rPr>
          <w:rFonts w:hint="eastAsia" w:ascii="楷体" w:hAnsi="楷体" w:eastAsia="楷体" w:cs="楷体"/>
          <w:sz w:val="36"/>
        </w:rPr>
        <w:t>月</w:t>
      </w:r>
      <w:r>
        <w:rPr>
          <w:rFonts w:hint="eastAsia" w:ascii="楷体" w:hAnsi="楷体" w:eastAsia="楷体" w:cs="楷体"/>
          <w:sz w:val="36"/>
          <w:lang w:val="en-US" w:eastAsia="zh-CN"/>
        </w:rPr>
        <w:t>14</w:t>
      </w:r>
      <w:r>
        <w:rPr>
          <w:rFonts w:hint="eastAsia" w:ascii="楷体" w:hAnsi="楷体" w:eastAsia="楷体" w:cs="楷体"/>
          <w:sz w:val="36"/>
        </w:rPr>
        <w:t>日</w:t>
      </w:r>
    </w:p>
    <w:p w14:paraId="5BB15D4D">
      <w:pPr>
        <w:spacing w:line="600" w:lineRule="exact"/>
        <w:rPr>
          <w:rFonts w:eastAsia="仿宋_GB2312"/>
          <w:sz w:val="28"/>
          <w:szCs w:val="28"/>
        </w:rPr>
      </w:pPr>
    </w:p>
    <w:p w14:paraId="45EAD50E">
      <w:pPr>
        <w:adjustRightInd w:val="0"/>
        <w:spacing w:line="600" w:lineRule="exact"/>
        <w:ind w:right="641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</w:t>
      </w:r>
    </w:p>
    <w:p w14:paraId="697446E9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eastAsia="方正小标宋_GBK"/>
          <w:sz w:val="36"/>
          <w:szCs w:val="36"/>
        </w:rPr>
        <w:t xml:space="preserve"> </w:t>
      </w:r>
      <w:r>
        <w:rPr>
          <w:rFonts w:hint="eastAsia" w:ascii="黑体" w:eastAsia="黑体"/>
          <w:sz w:val="44"/>
          <w:szCs w:val="44"/>
          <w:lang w:eastAsia="zh-CN"/>
        </w:rPr>
        <w:t>金江乡</w:t>
      </w:r>
      <w:r>
        <w:rPr>
          <w:rFonts w:hint="eastAsia" w:ascii="黑体" w:eastAsia="黑体"/>
          <w:sz w:val="44"/>
          <w:szCs w:val="44"/>
        </w:rPr>
        <w:t>人民政府</w:t>
      </w:r>
      <w:r>
        <w:rPr>
          <w:rFonts w:hint="eastAsia" w:ascii="黑体" w:eastAsia="黑体"/>
          <w:sz w:val="44"/>
          <w:szCs w:val="44"/>
          <w:lang w:eastAsia="zh-CN"/>
        </w:rPr>
        <w:t>2023</w:t>
      </w:r>
      <w:r>
        <w:rPr>
          <w:rFonts w:hint="eastAsia" w:ascii="黑体" w:eastAsia="黑体"/>
          <w:sz w:val="44"/>
          <w:szCs w:val="44"/>
        </w:rPr>
        <w:t>年整体支出</w:t>
      </w:r>
    </w:p>
    <w:p w14:paraId="28A2CAA5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绩效自评报告</w:t>
      </w:r>
    </w:p>
    <w:p w14:paraId="2D991564">
      <w:pPr>
        <w:rPr>
          <w:rFonts w:hint="eastAsia"/>
        </w:rPr>
      </w:pPr>
    </w:p>
    <w:p w14:paraId="546D0A41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为加强财政资金管理，切实提高资金使用效益，进一步提高财务科学生精细化管理水平。根据《邵阳县财政局关于做好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年度部门整体支出绩效自评工作的通知的要求，现将我单位整体支出绩效自评报告如下：</w:t>
      </w:r>
    </w:p>
    <w:p w14:paraId="74D7B443">
      <w:pPr>
        <w:numPr>
          <w:ilvl w:val="0"/>
          <w:numId w:val="1"/>
        </w:numPr>
        <w:ind w:firstLine="617" w:firstLineChars="19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部门概况</w:t>
      </w:r>
    </w:p>
    <w:p w14:paraId="50B77834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邵阳县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金江乡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人民政府内设机构包括：本部门共有编制人数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41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人，实有人数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41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人。内设股室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个，即：党政综合办公室、基层党建办公室、经济发展办公室、社会事务办公室、社会治安和应急管理办公室;设置1个执法机构，即：综合行政执法大队;设置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个直属事业单位，即：社会事务综合服务中心、农业综合服务中心、政务（便民）服务中心、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自然资源和村乡建设事物中心、生态环境事物中心、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退役军人服务站。</w:t>
      </w:r>
    </w:p>
    <w:p w14:paraId="7386A33B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部门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主要职责有：1.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宣传和贯彻执行党的路线方针政策和法律法规；制定地方经济社会发展规划和年度计划并组织实施；坚持依法行政，推进民主政治，加强基层政权建设；做好农业、农村、农民和社区工作。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落实基层管党治党工作责任制，加强党员队伍的思想建设、组织建设、作风建设、制度建设和党风廉政建设；做好党员管理、发展工作，改善党员队伍结构，提高党员素质；加强党对意识形态和统一战线工作的领导；指导工会、共青团、妇联等群团工作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规范经济管理，组织指导经济发展和经济结构调整；加强综合生产能力建设；健全社会化服务体系，完善产业支持保护体系，推进产业现代化；着力提升经济发展的质量和水平，发展壮大村级集体经济，增加村（居）民收入，不断提高人民生活水平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强社会管理和基础设施建设，创造良好环境，推进政务、村（居）务公开；抓好卫生健康工作，保障妇女儿童合法权益；加强自然资源管理、生态环境保护和修复等工作；加强人民武装、民族宗教等工作；强化安全生产和公共安全，组织抢险教灾、优抚救助，及时上报和处置重大社情、疫情、险情等，保护人民群众的生命财产安全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发展公益事业，强化公共服务。填好公共设施建设，开展社会保障服务，着力解决群众生产生活中的问题；发展科教文卫事业，促进精神文明建设；制订公共服务事项目录清单，加强公共服务体系建设。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强综合治理，维护社会稳定。调解民事纠纷、化解社会矛盾，接待上访群众，处理群体性突发事件，保证社会公正，维护社会秩序和社会稳定。指导村（居）民自治，推动基层社会建设，促进社会组织健康发展，增强社会自治功能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按照管理权限，负责机关和事业单位工作人员的教育、培养、选拔和监督工作。协助管理好派驻单位人员。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行使《中华人民共和国地方各级人民代表大会和地方各级人民政府组织法》等法律法规赋予的职权。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Times New Roman" w:eastAsia="仿宋_GB2312" w:cs="Times New Roman"/>
          <w:sz w:val="32"/>
          <w:szCs w:val="32"/>
        </w:rPr>
        <w:t>依法依规承担下放的经济社会管理权限和行政执法事项。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承办上级政府交办的其他事项。</w:t>
      </w:r>
    </w:p>
    <w:p w14:paraId="57C2261A">
      <w:pPr>
        <w:numPr>
          <w:ilvl w:val="0"/>
          <w:numId w:val="2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部门整体支出规模及使用情况.</w:t>
      </w:r>
    </w:p>
    <w:p w14:paraId="0E1D1B16">
      <w:p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（一）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2023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年预算执行情况</w:t>
      </w:r>
    </w:p>
    <w:p w14:paraId="1E87DDAD">
      <w:pPr>
        <w:pStyle w:val="2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2023年本部门收入预算</w:t>
      </w:r>
      <w:r>
        <w:rPr>
          <w:rFonts w:hint="eastAsia" w:hAnsi="Times New Roman" w:cs="Times New Roman"/>
          <w:kern w:val="2"/>
          <w:sz w:val="32"/>
          <w:szCs w:val="32"/>
          <w:lang w:val="en-US" w:eastAsia="zh-CN" w:bidi="ar-SA"/>
        </w:rPr>
        <w:t>666.86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万元，其中，一般公共预算拨款</w:t>
      </w:r>
      <w:r>
        <w:rPr>
          <w:rFonts w:hint="eastAsia" w:hAnsi="Times New Roman" w:cs="Times New Roman"/>
          <w:kern w:val="2"/>
          <w:sz w:val="32"/>
          <w:szCs w:val="32"/>
          <w:lang w:val="en-US" w:eastAsia="zh-CN" w:bidi="ar-SA"/>
        </w:rPr>
        <w:t>66686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万元，政府性基金预算拨款0万元。</w:t>
      </w:r>
    </w:p>
    <w:p w14:paraId="7AFD16CF">
      <w:pPr>
        <w:numPr>
          <w:ilvl w:val="0"/>
          <w:numId w:val="3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基本支出使用管理情况.</w:t>
      </w:r>
    </w:p>
    <w:p w14:paraId="533D4FA0">
      <w:pPr>
        <w:pStyle w:val="7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年度财政拨款基本支出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1075.68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万元，其中：</w:t>
      </w:r>
    </w:p>
    <w:p w14:paraId="1C57C2B2">
      <w:pPr>
        <w:pStyle w:val="7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人员经费641.48万元，占基本支出的55.27%，主要包括：基本工资、津贴补贴、奖金、伙食补助费、绩效工资、机关事业单位基本养老保险缴费、职业年金缴费、职工基本医疗保险缴费、其他社会保障缴费、住房公积金、其他工资福利支出、抚恤金、生活补助、救济费、医疗费补助、代缴社会保险费、其他对个人和家庭的补助。</w:t>
      </w:r>
    </w:p>
    <w:p w14:paraId="39E36A64">
      <w:pPr>
        <w:pStyle w:val="7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公用经费379.83万元，占基本支出的44.73%，主要包括：办公设备购置、办公费、印刷费、</w:t>
      </w:r>
      <w:bookmarkStart w:id="4" w:name="_GoBack"/>
      <w:bookmarkEnd w:id="4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咨询费、手续费、水费、电费、邮电费、取暖费、差旅费、维修（护）费、租赁费、培训费、公务接待费、专用材料费、劳务费、委托业务费、工会经费、福利费、其他交通费用、其他商品和服务支出。</w:t>
      </w:r>
    </w:p>
    <w:p w14:paraId="5AFBF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年度我单位三公经费总支出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6.2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公务用车运行维护费为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sz w:val="32"/>
          <w:szCs w:val="32"/>
        </w:rPr>
        <w:t>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0万元。</w:t>
      </w:r>
    </w:p>
    <w:p w14:paraId="1A265E92"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（三）专项支出</w:t>
      </w:r>
    </w:p>
    <w:p w14:paraId="25DA2B0B">
      <w:pPr>
        <w:adjustRightInd w:val="0"/>
        <w:snapToGrid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金江乡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人民政府没有专项支出。</w:t>
      </w:r>
    </w:p>
    <w:p w14:paraId="490BAB30">
      <w:p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绩效评价工作情况</w:t>
      </w:r>
    </w:p>
    <w:p w14:paraId="44AED9C9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根据《邵阳县财政局关于开展2023年度部门整体支出绩效自评和专项项目资金绩效评价工作的通知》，邵阳县金江乡人民政府成立了绩效评价工作领导小组，负责绩效评价工作的组织领导和具体实施。评价小组采取座谈等方式听取情况，检查基本支出、项目支出有关账目，收集整理支出相关资料，并根据各部门报送的绩效自评材料进行分析，形成评价结论。</w:t>
      </w:r>
    </w:p>
    <w:p w14:paraId="3805347C">
      <w:p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四、综合评价结果</w:t>
      </w:r>
    </w:p>
    <w:p w14:paraId="48FE367E">
      <w:pPr>
        <w:ind w:firstLine="64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根据《部门整体支出绩效评价指标》规定的内容，经综合评价，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年度整体支出绩效评为“良好”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5BE9A50B">
      <w:pPr>
        <w:numPr>
          <w:ilvl w:val="0"/>
          <w:numId w:val="4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部门整体支出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主要绩效</w:t>
      </w:r>
    </w:p>
    <w:tbl>
      <w:tblPr>
        <w:tblStyle w:val="8"/>
        <w:tblW w:w="10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060"/>
        <w:gridCol w:w="2860"/>
        <w:gridCol w:w="1838"/>
      </w:tblGrid>
      <w:tr w14:paraId="65BE8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 w14:paraId="25B2B23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产出指标</w:t>
            </w:r>
          </w:p>
        </w:tc>
        <w:tc>
          <w:tcPr>
            <w:tcW w:w="2060" w:type="dxa"/>
            <w:noWrap w:val="0"/>
            <w:vAlign w:val="center"/>
          </w:tcPr>
          <w:p w14:paraId="3FE5827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数量指标</w:t>
            </w:r>
          </w:p>
        </w:tc>
        <w:tc>
          <w:tcPr>
            <w:tcW w:w="2860" w:type="dxa"/>
            <w:noWrap w:val="0"/>
            <w:vAlign w:val="center"/>
          </w:tcPr>
          <w:p w14:paraId="552DE0A0"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单位实有人数</w:t>
            </w:r>
          </w:p>
        </w:tc>
        <w:tc>
          <w:tcPr>
            <w:tcW w:w="1838" w:type="dxa"/>
            <w:noWrap w:val="0"/>
            <w:vAlign w:val="center"/>
          </w:tcPr>
          <w:p w14:paraId="42D48BCD"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41人</w:t>
            </w:r>
          </w:p>
        </w:tc>
      </w:tr>
      <w:tr w14:paraId="547CF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 w14:paraId="1AB287B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03159105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质量指标</w:t>
            </w:r>
          </w:p>
        </w:tc>
        <w:tc>
          <w:tcPr>
            <w:tcW w:w="2860" w:type="dxa"/>
            <w:noWrap w:val="0"/>
            <w:vAlign w:val="center"/>
          </w:tcPr>
          <w:p w14:paraId="3FAA0F77"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工资发放率</w:t>
            </w:r>
          </w:p>
        </w:tc>
        <w:tc>
          <w:tcPr>
            <w:tcW w:w="1838" w:type="dxa"/>
            <w:noWrap w:val="0"/>
            <w:vAlign w:val="center"/>
          </w:tcPr>
          <w:p w14:paraId="12FE0F9A"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100%</w:t>
            </w:r>
          </w:p>
        </w:tc>
      </w:tr>
      <w:tr w14:paraId="69900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 w14:paraId="28BF0AA3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6E0E2707"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成本指标</w:t>
            </w:r>
          </w:p>
        </w:tc>
        <w:tc>
          <w:tcPr>
            <w:tcW w:w="2860" w:type="dxa"/>
            <w:noWrap w:val="0"/>
            <w:vAlign w:val="center"/>
          </w:tcPr>
          <w:p w14:paraId="03F8DDFC"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工资福利支出及公用经费</w:t>
            </w:r>
          </w:p>
        </w:tc>
        <w:tc>
          <w:tcPr>
            <w:tcW w:w="1838" w:type="dxa"/>
            <w:noWrap w:val="0"/>
            <w:vAlign w:val="center"/>
          </w:tcPr>
          <w:p w14:paraId="73B0798F"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641.48万元</w:t>
            </w:r>
          </w:p>
        </w:tc>
      </w:tr>
      <w:tr w14:paraId="2999D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 w14:paraId="31D3CDE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效益指标</w:t>
            </w:r>
          </w:p>
        </w:tc>
        <w:tc>
          <w:tcPr>
            <w:tcW w:w="2060" w:type="dxa"/>
            <w:noWrap w:val="0"/>
            <w:vAlign w:val="center"/>
          </w:tcPr>
          <w:p w14:paraId="4E1717D6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经济及社会效益</w:t>
            </w:r>
          </w:p>
        </w:tc>
        <w:tc>
          <w:tcPr>
            <w:tcW w:w="2860" w:type="dxa"/>
            <w:noWrap w:val="0"/>
            <w:vAlign w:val="center"/>
          </w:tcPr>
          <w:p w14:paraId="77A96BBA"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发展农村经济、改善民生、改善农村人居环境及社会和谐稳定</w:t>
            </w:r>
          </w:p>
        </w:tc>
        <w:tc>
          <w:tcPr>
            <w:tcW w:w="1838" w:type="dxa"/>
            <w:noWrap w:val="0"/>
            <w:vAlign w:val="center"/>
          </w:tcPr>
          <w:p w14:paraId="193E2B74"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促进经济发展、民生改善、环境改善</w:t>
            </w:r>
          </w:p>
        </w:tc>
      </w:tr>
      <w:tr w14:paraId="0BDCE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5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A84A11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0" w:type="dxa"/>
            <w:tcBorders>
              <w:bottom w:val="single" w:color="auto" w:sz="4" w:space="0"/>
            </w:tcBorders>
            <w:noWrap w:val="0"/>
            <w:vAlign w:val="center"/>
          </w:tcPr>
          <w:p w14:paraId="7E567F6E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社会公众或服务对象满意度</w:t>
            </w:r>
          </w:p>
        </w:tc>
        <w:tc>
          <w:tcPr>
            <w:tcW w:w="2860" w:type="dxa"/>
            <w:tcBorders>
              <w:bottom w:val="single" w:color="auto" w:sz="4" w:space="0"/>
            </w:tcBorders>
            <w:noWrap w:val="0"/>
            <w:vAlign w:val="center"/>
          </w:tcPr>
          <w:p w14:paraId="7F16572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服务对象对单位的满意程度</w:t>
            </w:r>
          </w:p>
        </w:tc>
        <w:tc>
          <w:tcPr>
            <w:tcW w:w="1838" w:type="dxa"/>
            <w:tcBorders>
              <w:bottom w:val="single" w:color="auto" w:sz="4" w:space="0"/>
            </w:tcBorders>
            <w:noWrap w:val="0"/>
            <w:vAlign w:val="center"/>
          </w:tcPr>
          <w:p w14:paraId="31C93572"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98.5%</w:t>
            </w:r>
          </w:p>
        </w:tc>
      </w:tr>
    </w:tbl>
    <w:p w14:paraId="7A298527">
      <w:pPr>
        <w:pStyle w:val="2"/>
        <w:numPr>
          <w:ilvl w:val="0"/>
          <w:numId w:val="0"/>
        </w:numPr>
        <w:rPr>
          <w:rFonts w:hint="eastAsia"/>
        </w:rPr>
      </w:pPr>
    </w:p>
    <w:p w14:paraId="342101F5">
      <w:pPr>
        <w:pStyle w:val="2"/>
        <w:rPr>
          <w:rFonts w:hint="eastAsia"/>
        </w:rPr>
      </w:pPr>
    </w:p>
    <w:p w14:paraId="4FD362D4">
      <w:p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、存在的问题</w:t>
      </w:r>
    </w:p>
    <w:p w14:paraId="6504980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472" w:firstLineChars="147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Toc390113229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固定资产管理有待加强</w:t>
      </w:r>
      <w:bookmarkEnd w:id="0"/>
    </w:p>
    <w:p w14:paraId="05803DA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因固定资产种类繁多，规格不一，虽然配备了专人管理，但还是存在已处理与新增的资产未及时登录入台账的现象，也未建立卡片进行管理，年终前未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对固定资产进行全面清点。</w:t>
      </w:r>
    </w:p>
    <w:p w14:paraId="5FB0EF01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472" w:firstLineChars="147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1" w:name="_Toc39011323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）管理制度欠完善</w:t>
      </w:r>
      <w:bookmarkEnd w:id="1"/>
    </w:p>
    <w:p w14:paraId="26C5F4D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虽然制定了《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金江乡财务管理制度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》，针对“三公”经费的管理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按照县委办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关于进一步规范和加强机关事务接待工作的通知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》，但未制定专门的会议管理制度，不便于对会议费支出规范管理。</w:t>
      </w:r>
    </w:p>
    <w:p w14:paraId="79EA2BC0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七、</w:t>
      </w:r>
      <w:r>
        <w:rPr>
          <w:rFonts w:hint="eastAsia" w:eastAsia="黑体"/>
          <w:sz w:val="32"/>
          <w:szCs w:val="32"/>
        </w:rPr>
        <w:t>改进措施和有关建议</w:t>
      </w:r>
      <w:bookmarkStart w:id="2" w:name="_Toc390113235"/>
    </w:p>
    <w:p w14:paraId="5049BC0C">
      <w:pPr>
        <w:numPr>
          <w:ilvl w:val="0"/>
          <w:numId w:val="5"/>
        </w:numPr>
        <w:adjustRightInd w:val="0"/>
        <w:snapToGrid w:val="0"/>
        <w:spacing w:line="600" w:lineRule="exact"/>
        <w:ind w:left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加强资产管理</w:t>
      </w:r>
      <w:bookmarkEnd w:id="2"/>
    </w:p>
    <w:p w14:paraId="42FCF53D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严格按照《固定资产管理办法》的规定管理固定资产，及时登记台账，并建立卡片管理，年终前对各类实物资产进行全面盘点，确保账账、账实相符。</w:t>
      </w:r>
      <w:bookmarkStart w:id="3" w:name="_Toc390113236"/>
    </w:p>
    <w:p w14:paraId="27BB606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472" w:firstLineChars="147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）完善管理制度</w:t>
      </w:r>
      <w:bookmarkEnd w:id="3"/>
    </w:p>
    <w:p w14:paraId="6AA1B61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进一步贯彻落实中央“八项规定”和湖南省委“九条规定”，建立会议费管理制度，加强会议审批和控制，规范支出标准与范围，并严格执行。</w:t>
      </w:r>
    </w:p>
    <w:p w14:paraId="187D900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eastAsia="方正小标宋_GBK"/>
          <w:sz w:val="36"/>
          <w:szCs w:val="36"/>
        </w:rPr>
        <w:t xml:space="preserve">  </w:t>
      </w:r>
    </w:p>
    <w:p w14:paraId="7DF7F824">
      <w:pPr>
        <w:rPr>
          <w:rFonts w:ascii="仿宋" w:hAnsi="仿宋" w:eastAsia="仿宋" w:cs="仿宋"/>
          <w:sz w:val="32"/>
          <w:szCs w:val="32"/>
        </w:rPr>
      </w:pPr>
    </w:p>
    <w:p w14:paraId="287E32CE">
      <w:pPr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5" w:h="16837"/>
          <w:pgMar w:top="1417" w:right="1417" w:bottom="1417" w:left="1417" w:header="0" w:footer="0" w:gutter="0"/>
          <w:pgNumType w:start="1"/>
          <w:cols w:space="0" w:num="1"/>
          <w:rtlGutter w:val="0"/>
          <w:docGrid w:linePitch="636" w:charSpace="0"/>
        </w:sectPr>
      </w:pPr>
    </w:p>
    <w:p w14:paraId="12135C50">
      <w:pPr>
        <w:rPr>
          <w:rFonts w:ascii="仿宋" w:hAnsi="仿宋" w:eastAsia="仿宋" w:cs="仿宋"/>
          <w:sz w:val="32"/>
          <w:szCs w:val="32"/>
        </w:rPr>
      </w:pPr>
    </w:p>
    <w:sectPr>
      <w:pgSz w:w="11905" w:h="16837"/>
      <w:pgMar w:top="1417" w:right="1417" w:bottom="1417" w:left="1417" w:header="0" w:footer="0" w:gutter="0"/>
      <w:pgNumType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F8B5D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051AB8B8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D37D5"/>
    <w:multiLevelType w:val="singleLevel"/>
    <w:tmpl w:val="B13D37D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C39B20"/>
    <w:multiLevelType w:val="singleLevel"/>
    <w:tmpl w:val="DEC39B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D2FD16"/>
    <w:multiLevelType w:val="singleLevel"/>
    <w:tmpl w:val="E5D2FD16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04C207ED"/>
    <w:multiLevelType w:val="singleLevel"/>
    <w:tmpl w:val="04C207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A884D4A"/>
    <w:multiLevelType w:val="singleLevel"/>
    <w:tmpl w:val="6A884D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YzY3NzcwYTg0YjBhZmY0ZmRjZWI3Mzk0NGUwOGEifQ=="/>
  </w:docVars>
  <w:rsids>
    <w:rsidRoot w:val="00000000"/>
    <w:rsid w:val="60AB62E2"/>
    <w:rsid w:val="6BA01D4B"/>
    <w:rsid w:val="7016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qFormat/>
    <w:uiPriority w:val="1"/>
  </w:style>
  <w:style w:type="table" w:default="1" w:styleId="8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/>
    </w:pPr>
    <w:rPr>
      <w:rFonts w:ascii="仿宋_GB2312" w:eastAsia="仿宋_GB2312"/>
      <w:bCs/>
      <w:sz w:val="32"/>
      <w:szCs w:val="32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/>
      <w:sz w:val="24"/>
    </w:rPr>
  </w:style>
  <w:style w:type="character" w:customStyle="1" w:styleId="13">
    <w:name w:val="页脚 Char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4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61"/>
    <w:basedOn w:val="10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2273</Words>
  <Characters>2378</Characters>
  <Paragraphs>866</Paragraphs>
  <TotalTime>14</TotalTime>
  <ScaleCrop>false</ScaleCrop>
  <LinksUpToDate>false</LinksUpToDate>
  <CharactersWithSpaces>2391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2022-12-30T00:27:00Z</dcterms:created>
  <dc:creator>何阳之</dc:creator>
  <cp:lastModifiedBy>蓝色天空</cp:lastModifiedBy>
  <cp:lastPrinted>2024-02-29T01:34:00Z</cp:lastPrinted>
  <dcterms:modified xsi:type="dcterms:W3CDTF">2024-07-24T00:43:55Z</dcterms:modified>
  <dc:title>湖南省财政厅文件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045A90D95E9B48BE8629C6AB523D0B80_13</vt:lpwstr>
  </property>
</Properties>
</file>