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黑体" w:hAnsi="黑体" w:eastAsia="黑体" w:cs="黑体"/>
          <w:sz w:val="44"/>
          <w:szCs w:val="44"/>
          <w:lang w:eastAsia="zh-CN"/>
        </w:rPr>
      </w:pPr>
      <w:r>
        <w:rPr>
          <w:rFonts w:hint="eastAsia" w:ascii="黑体" w:hAnsi="黑体" w:eastAsia="黑体" w:cs="黑体"/>
          <w:sz w:val="44"/>
          <w:szCs w:val="44"/>
          <w:lang w:eastAsia="zh-CN"/>
        </w:rPr>
        <w:t>邵阳县交通建设质量安全</w:t>
      </w:r>
      <w:r>
        <w:rPr>
          <w:rFonts w:hint="eastAsia" w:ascii="黑体" w:hAnsi="黑体" w:eastAsia="黑体" w:cs="黑体"/>
          <w:sz w:val="44"/>
          <w:szCs w:val="44"/>
          <w:lang w:val="en-US" w:eastAsia="zh-CN"/>
        </w:rPr>
        <w:t>站</w:t>
      </w:r>
    </w:p>
    <w:p>
      <w:pPr>
        <w:spacing w:line="560" w:lineRule="exact"/>
        <w:jc w:val="center"/>
        <w:rPr>
          <w:rFonts w:hint="eastAsia" w:ascii="黑体" w:hAnsi="黑体" w:eastAsia="黑体" w:cs="黑体"/>
          <w:sz w:val="44"/>
          <w:szCs w:val="44"/>
        </w:rPr>
      </w:pPr>
      <w:r>
        <w:rPr>
          <w:rFonts w:hint="eastAsia" w:ascii="黑体" w:hAnsi="黑体" w:eastAsia="黑体" w:cs="黑体"/>
          <w:sz w:val="44"/>
          <w:szCs w:val="44"/>
        </w:rPr>
        <w:t>部门整体支出绩效评价报告</w:t>
      </w:r>
    </w:p>
    <w:p>
      <w:pPr>
        <w:spacing w:line="560" w:lineRule="exact"/>
        <w:jc w:val="center"/>
        <w:rPr>
          <w:rFonts w:eastAsia="方正小标宋_GBK"/>
          <w:sz w:val="32"/>
          <w:szCs w:val="32"/>
        </w:rPr>
      </w:pP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eastAsia="黑体"/>
          <w:sz w:val="32"/>
          <w:szCs w:val="32"/>
        </w:rPr>
      </w:pPr>
      <w:r>
        <w:rPr>
          <w:rFonts w:hint="eastAsia" w:eastAsia="黑体"/>
          <w:sz w:val="32"/>
          <w:szCs w:val="32"/>
        </w:rPr>
        <w:t>一、部门、单位基本情况</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（一）部门基本情况</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邵阳县交通建设质量安全监督站为隶属县交通运输局管理的副科级公益一类全额拨款事业单位。主要职责：1、参与拟定交通建设工程质量、安全、造价监督的规定、办法和实施细则，经批准后组织实施。2、承担辖区内县（含乡镇、村）公路、水运工程建设的质量安全和造价监督。3、承担交通建设工程质量安全和造价行政辅助工作。4、参与受监交通建设工程项目交(竣)工验收。5、参与受监工程项目设计、施工企业和监理、试验检测机构、造价咨询机构及从业人员的信用评价初审的事务性工作，协助行业主管部门进行行业培训、考核的相关工作。6、受理交通建设工程质量缺陷、安全生产隐患、失信行为和造价相关问题的检举和投诉;参与交通建设工程质量与生产安全事故调查处理;参与调解和仲裁交通建设工程质量问题争端、造价争议。7、参与交通建设项目造价审核和招标文件、工程竣工决算报告审查等事务性工作；收集、发布工程造价和地方主要材料价格信息。8、承担县交通运输局交办的其他工作。</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单位编制9人，202</w:t>
      </w:r>
      <w:r>
        <w:rPr>
          <w:rFonts w:hint="eastAsia" w:ascii="仿宋" w:hAnsi="仿宋" w:eastAsia="仿宋" w:cs="仿宋"/>
          <w:sz w:val="32"/>
          <w:szCs w:val="32"/>
          <w:lang w:val="en-US" w:eastAsia="zh-CN"/>
        </w:rPr>
        <w:t>2</w:t>
      </w:r>
      <w:r>
        <w:rPr>
          <w:rFonts w:hint="eastAsia" w:ascii="仿宋" w:hAnsi="仿宋" w:eastAsia="仿宋" w:cs="仿宋"/>
          <w:sz w:val="32"/>
          <w:szCs w:val="32"/>
        </w:rPr>
        <w:t>年年底在职人员</w:t>
      </w:r>
      <w:r>
        <w:rPr>
          <w:rFonts w:hint="eastAsia" w:ascii="仿宋" w:hAnsi="仿宋" w:eastAsia="仿宋" w:cs="仿宋"/>
          <w:sz w:val="32"/>
          <w:szCs w:val="32"/>
          <w:lang w:val="en-US" w:eastAsia="zh-CN"/>
        </w:rPr>
        <w:t>9</w:t>
      </w:r>
      <w:r>
        <w:rPr>
          <w:rFonts w:hint="eastAsia" w:ascii="仿宋" w:hAnsi="仿宋" w:eastAsia="仿宋" w:cs="仿宋"/>
          <w:sz w:val="32"/>
          <w:szCs w:val="32"/>
        </w:rPr>
        <w:t>人，退休人员7人。</w:t>
      </w:r>
    </w:p>
    <w:p>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内设四个部室：综合部、质量安全监督部、监理检测部、造价监</w:t>
      </w:r>
    </w:p>
    <w:p>
      <w:pPr>
        <w:pStyle w:val="5"/>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楷体" w:hAnsi="楷体" w:eastAsia="楷体" w:cs="楷体"/>
          <w:sz w:val="32"/>
          <w:szCs w:val="32"/>
        </w:rPr>
      </w:pPr>
      <w:r>
        <w:rPr>
          <w:rFonts w:hint="eastAsia" w:ascii="仿宋" w:hAnsi="仿宋" w:eastAsia="仿宋" w:cs="仿宋"/>
          <w:sz w:val="32"/>
          <w:szCs w:val="32"/>
        </w:rPr>
        <w:t>督部。</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（二）部门整体支出规模、使用方向和主要内容、涉及范围</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年度部门整体支出分为基本支出和项目支出，基本支出用于保障单位正常运转的日常支出，项目支出用于全县农村公路、贫困村道路、危桥改造及安保工程项目的工程质量监督发生的支出等。</w:t>
      </w:r>
    </w:p>
    <w:p>
      <w:pPr>
        <w:pStyle w:val="5"/>
        <w:keepNext w:val="0"/>
        <w:keepLines w:val="0"/>
        <w:pageBreakBefore w:val="0"/>
        <w:widowControl/>
        <w:kinsoku/>
        <w:wordWrap/>
        <w:overflowPunct/>
        <w:topLinePunct w:val="0"/>
        <w:autoSpaceDE/>
        <w:autoSpaceDN/>
        <w:bidi w:val="0"/>
        <w:adjustRightInd/>
        <w:snapToGrid/>
        <w:spacing w:line="240" w:lineRule="auto"/>
        <w:ind w:left="640" w:firstLine="0" w:firstLineChars="0"/>
        <w:textAlignment w:val="auto"/>
        <w:rPr>
          <w:rFonts w:eastAsia="黑体"/>
          <w:sz w:val="32"/>
          <w:szCs w:val="32"/>
        </w:rPr>
      </w:pPr>
      <w:r>
        <w:rPr>
          <w:rFonts w:hint="eastAsia" w:eastAsia="黑体"/>
          <w:sz w:val="32"/>
          <w:szCs w:val="32"/>
        </w:rPr>
        <w:t>二、一般公共预算支出情况</w:t>
      </w:r>
    </w:p>
    <w:p>
      <w:pPr>
        <w:pStyle w:val="5"/>
        <w:keepNext w:val="0"/>
        <w:keepLines w:val="0"/>
        <w:pageBreakBefore w:val="0"/>
        <w:widowControl/>
        <w:kinsoku/>
        <w:wordWrap/>
        <w:overflowPunct/>
        <w:topLinePunct w:val="0"/>
        <w:autoSpaceDE/>
        <w:autoSpaceDN/>
        <w:bidi w:val="0"/>
        <w:adjustRightInd/>
        <w:snapToGrid/>
        <w:spacing w:line="240" w:lineRule="auto"/>
        <w:ind w:left="640" w:firstLine="0" w:firstLineChars="0"/>
        <w:textAlignment w:val="auto"/>
        <w:rPr>
          <w:rFonts w:hint="eastAsia" w:eastAsia="黑体"/>
          <w:sz w:val="32"/>
          <w:szCs w:val="32"/>
        </w:rPr>
      </w:pPr>
      <w:r>
        <w:rPr>
          <w:rFonts w:hint="eastAsia" w:eastAsia="黑体"/>
          <w:sz w:val="32"/>
          <w:szCs w:val="32"/>
        </w:rPr>
        <w:t>（一）基本支出情况</w:t>
      </w:r>
    </w:p>
    <w:p>
      <w:pPr>
        <w:pStyle w:val="5"/>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一般公共预算</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122.38</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111.78</w:t>
      </w:r>
      <w:r>
        <w:rPr>
          <w:rFonts w:hint="eastAsia" w:ascii="仿宋" w:hAnsi="仿宋" w:eastAsia="仿宋" w:cs="仿宋"/>
          <w:sz w:val="32"/>
          <w:szCs w:val="32"/>
        </w:rPr>
        <w:t>万元；商品和服务支出为</w:t>
      </w:r>
      <w:r>
        <w:rPr>
          <w:rFonts w:hint="eastAsia" w:ascii="仿宋" w:hAnsi="仿宋" w:eastAsia="仿宋" w:cs="仿宋"/>
          <w:sz w:val="32"/>
          <w:szCs w:val="32"/>
          <w:lang w:val="en-US" w:eastAsia="zh-CN"/>
        </w:rPr>
        <w:t>8.16</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1.70</w:t>
      </w:r>
      <w:r>
        <w:rPr>
          <w:rFonts w:hint="eastAsia" w:ascii="仿宋" w:hAnsi="仿宋" w:eastAsia="仿宋" w:cs="仿宋"/>
          <w:sz w:val="32"/>
          <w:szCs w:val="32"/>
        </w:rPr>
        <w:t>元（退休人员工资由社保发放不计支出）；资本性支出</w:t>
      </w:r>
      <w:r>
        <w:rPr>
          <w:rFonts w:hint="eastAsia" w:ascii="仿宋" w:hAnsi="仿宋" w:eastAsia="仿宋" w:cs="仿宋"/>
          <w:sz w:val="32"/>
          <w:szCs w:val="32"/>
          <w:lang w:val="en-US" w:eastAsia="zh-CN"/>
        </w:rPr>
        <w:t>0.74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基本支出的主要用于支付人员工资，社会保障费、办公行政支出，购买电脑等固定资产等。</w:t>
      </w:r>
    </w:p>
    <w:p>
      <w:pPr>
        <w:pStyle w:val="5"/>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年“三公”经费支出合计2.1</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万元，其中公务用车运行维护费1.94万元，公务接待费0.1</w:t>
      </w:r>
      <w:r>
        <w:rPr>
          <w:rFonts w:hint="eastAsia" w:ascii="仿宋" w:hAnsi="仿宋" w:eastAsia="仿宋" w:cs="仿宋"/>
          <w:sz w:val="32"/>
          <w:szCs w:val="32"/>
          <w:lang w:val="en-US" w:eastAsia="zh-CN"/>
        </w:rPr>
        <w:t>6</w:t>
      </w:r>
      <w:r>
        <w:rPr>
          <w:rFonts w:hint="eastAsia" w:ascii="仿宋" w:hAnsi="仿宋" w:eastAsia="仿宋" w:cs="仿宋"/>
          <w:sz w:val="32"/>
          <w:szCs w:val="32"/>
        </w:rPr>
        <w:t>万元，无因公出国出境费用。202</w:t>
      </w:r>
      <w:r>
        <w:rPr>
          <w:rFonts w:hint="eastAsia" w:ascii="仿宋" w:hAnsi="仿宋" w:eastAsia="仿宋" w:cs="仿宋"/>
          <w:sz w:val="32"/>
          <w:szCs w:val="32"/>
          <w:lang w:val="en-US" w:eastAsia="zh-CN"/>
        </w:rPr>
        <w:t>2</w:t>
      </w:r>
      <w:r>
        <w:rPr>
          <w:rFonts w:hint="eastAsia" w:ascii="仿宋" w:hAnsi="仿宋" w:eastAsia="仿宋" w:cs="仿宋"/>
          <w:sz w:val="32"/>
          <w:szCs w:val="32"/>
        </w:rPr>
        <w:t>年“三公经费”与上年2.</w:t>
      </w:r>
      <w:r>
        <w:rPr>
          <w:rFonts w:hint="eastAsia" w:ascii="仿宋" w:hAnsi="仿宋" w:eastAsia="仿宋" w:cs="仿宋"/>
          <w:sz w:val="32"/>
          <w:szCs w:val="32"/>
          <w:lang w:val="en-US" w:eastAsia="zh-CN"/>
        </w:rPr>
        <w:t>12</w:t>
      </w:r>
      <w:r>
        <w:rPr>
          <w:rFonts w:hint="eastAsia" w:ascii="仿宋" w:hAnsi="仿宋" w:eastAsia="仿宋" w:cs="仿宋"/>
          <w:sz w:val="32"/>
          <w:szCs w:val="32"/>
        </w:rPr>
        <w:t>万元降低</w:t>
      </w:r>
      <w:r>
        <w:rPr>
          <w:rFonts w:hint="eastAsia" w:ascii="仿宋" w:hAnsi="仿宋" w:eastAsia="仿宋" w:cs="仿宋"/>
          <w:sz w:val="32"/>
          <w:szCs w:val="32"/>
          <w:lang w:val="en-US" w:eastAsia="zh-CN"/>
        </w:rPr>
        <w:t>0.02万元</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（二）项目支出情况</w:t>
      </w:r>
    </w:p>
    <w:p>
      <w:pPr>
        <w:pStyle w:val="5"/>
        <w:keepNext w:val="0"/>
        <w:keepLines w:val="0"/>
        <w:pageBreakBefore w:val="0"/>
        <w:widowControl/>
        <w:kinsoku/>
        <w:wordWrap/>
        <w:overflowPunct/>
        <w:topLinePunct w:val="0"/>
        <w:autoSpaceDE/>
        <w:autoSpaceDN/>
        <w:bidi w:val="0"/>
        <w:adjustRightInd/>
        <w:snapToGrid/>
        <w:spacing w:line="240" w:lineRule="auto"/>
        <w:ind w:left="0" w:leftChars="0" w:firstLine="640" w:firstLineChars="20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w:t>
      </w:r>
      <w:r>
        <w:rPr>
          <w:rFonts w:hint="eastAsia" w:eastAsia="仿宋_GB2312"/>
          <w:sz w:val="32"/>
          <w:szCs w:val="32"/>
          <w:lang w:val="en-US" w:eastAsia="zh-CN"/>
        </w:rPr>
        <w:t>农村公路监管</w:t>
      </w:r>
      <w:r>
        <w:rPr>
          <w:rFonts w:hint="eastAsia" w:eastAsia="仿宋_GB2312"/>
          <w:sz w:val="32"/>
          <w:szCs w:val="32"/>
        </w:rPr>
        <w:t>专项经费</w:t>
      </w:r>
      <w:r>
        <w:rPr>
          <w:rFonts w:hint="eastAsia" w:eastAsia="仿宋_GB2312"/>
          <w:sz w:val="32"/>
          <w:szCs w:val="32"/>
          <w:lang w:val="en-US" w:eastAsia="zh-CN"/>
        </w:rPr>
        <w:t>10.38</w:t>
      </w:r>
      <w:r>
        <w:rPr>
          <w:rFonts w:hint="eastAsia" w:eastAsia="仿宋_GB2312"/>
          <w:sz w:val="32"/>
          <w:szCs w:val="32"/>
        </w:rPr>
        <w:t>万元，上年专项经费结转0万元，本年支出</w:t>
      </w:r>
      <w:r>
        <w:rPr>
          <w:rFonts w:hint="eastAsia" w:eastAsia="仿宋_GB2312"/>
          <w:sz w:val="32"/>
          <w:szCs w:val="32"/>
          <w:lang w:val="en-US" w:eastAsia="zh-CN"/>
        </w:rPr>
        <w:t>10.38</w:t>
      </w:r>
      <w:r>
        <w:rPr>
          <w:rFonts w:hint="eastAsia" w:eastAsia="仿宋_GB2312"/>
          <w:sz w:val="32"/>
          <w:szCs w:val="32"/>
        </w:rPr>
        <w:t>万，年底结转</w:t>
      </w:r>
      <w:r>
        <w:rPr>
          <w:rFonts w:hint="eastAsia" w:eastAsia="仿宋_GB2312"/>
          <w:sz w:val="32"/>
          <w:szCs w:val="32"/>
          <w:lang w:val="en-US" w:eastAsia="zh-CN"/>
        </w:rPr>
        <w:t>0</w:t>
      </w:r>
      <w:r>
        <w:rPr>
          <w:rFonts w:hint="eastAsia" w:eastAsia="仿宋_GB2312"/>
          <w:sz w:val="32"/>
          <w:szCs w:val="32"/>
        </w:rPr>
        <w:t>万元，项目支出主要用于农村公路工程、贫困村道路建设、危桥改造、安保工程项目的质量安全监督工作经费。</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eastAsia="黑体"/>
          <w:sz w:val="32"/>
          <w:szCs w:val="32"/>
        </w:rPr>
      </w:pPr>
      <w:r>
        <w:rPr>
          <w:rFonts w:hint="eastAsia" w:eastAsia="黑体"/>
          <w:sz w:val="32"/>
          <w:szCs w:val="32"/>
        </w:rPr>
        <w:t>政府性基金预算支出情况</w:t>
      </w:r>
    </w:p>
    <w:p>
      <w:pPr>
        <w:pStyle w:val="5"/>
        <w:keepNext w:val="0"/>
        <w:keepLines w:val="0"/>
        <w:pageBreakBefore w:val="0"/>
        <w:widowControl/>
        <w:numPr>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32"/>
          <w:szCs w:val="32"/>
          <w:lang w:val="en-US" w:eastAsia="zh-CN"/>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今年无政府性基金预算支出。</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eastAsia="黑体"/>
          <w:sz w:val="32"/>
          <w:szCs w:val="32"/>
        </w:rPr>
      </w:pPr>
      <w:r>
        <w:rPr>
          <w:rFonts w:hint="eastAsia" w:eastAsia="黑体"/>
          <w:sz w:val="32"/>
          <w:szCs w:val="32"/>
        </w:rPr>
        <w:t>国有资本经营预算支出情况</w:t>
      </w:r>
    </w:p>
    <w:p>
      <w:pPr>
        <w:pStyle w:val="5"/>
        <w:keepNext w:val="0"/>
        <w:keepLines w:val="0"/>
        <w:pageBreakBefore w:val="0"/>
        <w:widowControl/>
        <w:numPr>
          <w:numId w:val="0"/>
        </w:numPr>
        <w:kinsoku/>
        <w:wordWrap/>
        <w:overflowPunct/>
        <w:topLinePunct w:val="0"/>
        <w:autoSpaceDE/>
        <w:autoSpaceDN/>
        <w:bidi w:val="0"/>
        <w:adjustRightInd/>
        <w:snapToGrid/>
        <w:spacing w:line="240" w:lineRule="auto"/>
        <w:ind w:left="0" w:leftChars="0" w:firstLine="419" w:firstLineChars="131"/>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因文明县城创建需要，县创文办租用我站停车场做为宝峰街临时农贸市场使用，国有资本有偿使用收入3万元，全额上解给县非税局。</w:t>
      </w:r>
    </w:p>
    <w:p>
      <w:pPr>
        <w:pStyle w:val="5"/>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eastAsia="黑体"/>
          <w:sz w:val="32"/>
          <w:szCs w:val="32"/>
        </w:rPr>
      </w:pPr>
      <w:r>
        <w:rPr>
          <w:rFonts w:hint="eastAsia" w:eastAsia="黑体"/>
          <w:sz w:val="32"/>
          <w:szCs w:val="32"/>
        </w:rPr>
        <w:t>社会保险基金预算支出情况</w:t>
      </w:r>
    </w:p>
    <w:p>
      <w:pPr>
        <w:pStyle w:val="5"/>
        <w:keepNext w:val="0"/>
        <w:keepLines w:val="0"/>
        <w:pageBreakBefore w:val="0"/>
        <w:widowControl/>
        <w:numPr>
          <w:numId w:val="0"/>
        </w:numPr>
        <w:kinsoku/>
        <w:wordWrap/>
        <w:overflowPunct/>
        <w:topLinePunct w:val="0"/>
        <w:autoSpaceDE/>
        <w:autoSpaceDN/>
        <w:bidi w:val="0"/>
        <w:adjustRightInd/>
        <w:snapToGrid/>
        <w:spacing w:line="240" w:lineRule="auto"/>
        <w:ind w:leftChars="200"/>
        <w:textAlignment w:val="auto"/>
        <w:rPr>
          <w:rFonts w:hint="eastAsia" w:ascii="仿宋" w:hAnsi="仿宋" w:eastAsia="仿宋" w:cs="仿宋"/>
          <w:sz w:val="32"/>
          <w:szCs w:val="32"/>
          <w:lang w:val="en-US" w:eastAsia="zh-CN"/>
        </w:rPr>
      </w:pPr>
      <w:r>
        <w:rPr>
          <w:rFonts w:hint="eastAsia" w:eastAsia="黑体"/>
          <w:sz w:val="32"/>
          <w:szCs w:val="32"/>
          <w:lang w:val="en-US" w:eastAsia="zh-CN"/>
        </w:rPr>
        <w:t xml:space="preserve"> </w:t>
      </w:r>
      <w:r>
        <w:rPr>
          <w:rFonts w:hint="eastAsia" w:ascii="仿宋" w:hAnsi="仿宋" w:eastAsia="仿宋" w:cs="仿宋"/>
          <w:sz w:val="32"/>
          <w:szCs w:val="32"/>
          <w:lang w:val="en-US" w:eastAsia="zh-CN"/>
        </w:rPr>
        <w:t>我站无社会保险基金预算收入。</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ascii="Times New Roman" w:hAnsi="Times New Roman" w:eastAsia="黑体"/>
          <w:sz w:val="32"/>
          <w:szCs w:val="32"/>
        </w:rPr>
      </w:pPr>
      <w:r>
        <w:rPr>
          <w:rFonts w:hint="eastAsia" w:eastAsia="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(一)2022年工作开展情况</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5"/>
        <w:jc w:val="left"/>
        <w:textAlignment w:val="auto"/>
        <w:rPr>
          <w:rFonts w:hint="eastAsia" w:ascii="仿宋" w:hAnsi="仿宋" w:eastAsia="仿宋" w:cs="仿宋"/>
          <w:sz w:val="32"/>
          <w:szCs w:val="32"/>
        </w:rPr>
      </w:pPr>
      <w:r>
        <w:rPr>
          <w:rFonts w:hint="eastAsia" w:ascii="仿宋" w:hAnsi="仿宋" w:eastAsia="仿宋" w:cs="仿宋"/>
          <w:sz w:val="32"/>
          <w:szCs w:val="32"/>
        </w:rPr>
        <w:t>质量监督和安全工作。</w:t>
      </w:r>
      <w:r>
        <w:rPr>
          <w:rFonts w:hint="eastAsia" w:ascii="仿宋" w:hAnsi="仿宋" w:eastAsia="仿宋" w:cs="仿宋"/>
          <w:sz w:val="32"/>
          <w:szCs w:val="32"/>
          <w:lang w:val="en-US" w:eastAsia="zh-CN"/>
        </w:rPr>
        <w:t>2022年</w:t>
      </w:r>
      <w:r>
        <w:rPr>
          <w:rFonts w:hint="eastAsia" w:ascii="仿宋" w:hAnsi="仿宋" w:eastAsia="仿宋" w:cs="仿宋"/>
          <w:sz w:val="32"/>
          <w:szCs w:val="32"/>
        </w:rPr>
        <w:t xml:space="preserve">我站共受理监督农村公路建设项目42个，181.825公里。其中三级及三级以上公路建设项目3个，27.346公里；资源路、产业路11个项目，54.067公里；一般农村公路23个项目，21.367公里；生命安全防护工程项目2个，79.045公里；桥梁建设项目3座，137.9延米。 1、分工合作，紧密配合。针对我县农村公路建设项目点多、线长、面广，施工单位技术力量薄弱，原材料紧缺，控制不规范，施工自然条件恶劣的现状，我站克服人少，技术力量薄弱，监督任务重，监管难度大的实际情况，业务部室精诚团结、密切配合，各司其责，对项目实行项目负责人制度，夯实监管责任。 2、明确责任，强化意识。全面落实工程建设项目参建各方工程质量和施工安全责任，组织召开项目建设单位、施工单位、监理单位质量安全工作交底现场会。明确参建各方责任，强化参建各方的责任意识和质量意识，完善现场质量安全交底工作，确保工程质量。 3、加强检查，减少质量安全隐患。今年共进驻工地现场安全监督检查89次/356人，检查中发现的质量安全问题，现场要求立即进行质量安全问题整改并要求限期整改完毕53次。整改后立即进行回头看，对于拒不整改或不按期整改的下发整改通知书，向业主及施工单位提出整改要求并督促其落实。对未及时办理质量安全监督申请手续已启动开工程序的，及时下发质量安全监督申请手续催办单，全年共下发质量安全整改通知书9份，催办通知书2份。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firstLine="645"/>
        <w:jc w:val="left"/>
        <w:textAlignment w:val="auto"/>
        <w:rPr>
          <w:rFonts w:hint="eastAsia" w:ascii="仿宋" w:hAnsi="仿宋" w:eastAsia="仿宋" w:cs="仿宋"/>
          <w:sz w:val="32"/>
          <w:szCs w:val="32"/>
        </w:rPr>
      </w:pPr>
      <w:r>
        <w:rPr>
          <w:rFonts w:hint="eastAsia" w:ascii="仿宋" w:hAnsi="仿宋" w:eastAsia="仿宋" w:cs="仿宋"/>
          <w:sz w:val="32"/>
          <w:szCs w:val="32"/>
        </w:rPr>
        <w:t>监理检测工作。截止12月底我站共组织参与重要农村公路竣（交）工检测项目1个，6.915公里；一般农村公路交工验收质量检测14个项目，21.206公里；生命安全防护工程交工验收质量检测2个项目，总里程76.31公里，隐患处治里程37.786公里。桥梁检测情况：完成双河小桥交工质量检测1座，36.84延米；邵田小桥长36.84延米，完成桩基检测6根；塔水中桥78.04延米，完成桩基检测6根。检测中发现的严重质量病害及时下达质量问题通报，一般病害和质量缺陷及时下达检测意见通知书，全年下达检测意见通知书3份，向业主及施工单位提出整改要求并督促其落实。有效促进施工单位的质量意识，杜绝 质量事故的产生。 为确保交通工程质量，我站始终坚持严格控制原材料规格和质量，加大对工程原材料和现场试验检测项目的抽查力度，重点抓好混凝土路面和桥梁混凝土、钢筋强度试验检测工作，不断优化施工工艺，严格控制原材料规格和质量，确保水泥混凝土路面平整度、面层厚度和强度达到规范要求。强力推行农村公路水泥混凝土面板施工采用强制式拌和机拌料，材料配合比试验等强制性措施。严格遵守试验检测规程，督促施工单位建立工地临时实验室或委托具有相应检测资质的检测单位进行外委试验，组织试验检测单位对每个分项、分部工程进行实体检测，对不符合质量要求的，必须整改合格后方可进行下一道工序施工，对提高工程质量起到了重要作用。</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资产管理情况</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年年初固定资产原值230.10万元，本年增加固定资产</w:t>
      </w:r>
      <w:r>
        <w:rPr>
          <w:rFonts w:hint="eastAsia" w:ascii="仿宋" w:hAnsi="仿宋" w:eastAsia="仿宋" w:cs="仿宋"/>
          <w:sz w:val="32"/>
          <w:szCs w:val="32"/>
          <w:lang w:val="en-US" w:eastAsia="zh-CN"/>
        </w:rPr>
        <w:t>0.74</w:t>
      </w:r>
      <w:r>
        <w:rPr>
          <w:rFonts w:hint="eastAsia" w:ascii="仿宋" w:hAnsi="仿宋" w:eastAsia="仿宋" w:cs="仿宋"/>
          <w:sz w:val="32"/>
          <w:szCs w:val="32"/>
        </w:rPr>
        <w:t>万元，年未固定资产原值</w:t>
      </w:r>
      <w:r>
        <w:rPr>
          <w:rFonts w:hint="eastAsia" w:ascii="仿宋" w:hAnsi="仿宋" w:eastAsia="仿宋" w:cs="仿宋"/>
          <w:sz w:val="32"/>
          <w:szCs w:val="32"/>
          <w:lang w:val="en-US" w:eastAsia="zh-CN"/>
        </w:rPr>
        <w:t>230.84</w:t>
      </w:r>
      <w:r>
        <w:rPr>
          <w:rFonts w:hint="eastAsia" w:ascii="仿宋" w:hAnsi="仿宋" w:eastAsia="仿宋" w:cs="仿宋"/>
          <w:sz w:val="32"/>
          <w:szCs w:val="32"/>
        </w:rPr>
        <w:t>万元，其中累计折旧</w:t>
      </w:r>
      <w:r>
        <w:rPr>
          <w:rFonts w:hint="eastAsia" w:ascii="仿宋" w:hAnsi="仿宋" w:eastAsia="仿宋" w:cs="仿宋"/>
          <w:sz w:val="32"/>
          <w:szCs w:val="32"/>
          <w:lang w:val="en-US" w:eastAsia="zh-CN"/>
        </w:rPr>
        <w:t>182.57</w:t>
      </w:r>
      <w:r>
        <w:rPr>
          <w:rFonts w:hint="eastAsia" w:ascii="仿宋" w:hAnsi="仿宋" w:eastAsia="仿宋" w:cs="仿宋"/>
          <w:sz w:val="32"/>
          <w:szCs w:val="32"/>
        </w:rPr>
        <w:t>万元，固定资产净值</w:t>
      </w:r>
      <w:r>
        <w:rPr>
          <w:rFonts w:hint="eastAsia" w:ascii="仿宋" w:hAnsi="仿宋" w:eastAsia="仿宋" w:cs="仿宋"/>
          <w:sz w:val="32"/>
          <w:szCs w:val="32"/>
          <w:lang w:val="en-US" w:eastAsia="zh-CN"/>
        </w:rPr>
        <w:t>48.27</w:t>
      </w:r>
      <w:r>
        <w:rPr>
          <w:rFonts w:hint="eastAsia" w:ascii="仿宋" w:hAnsi="仿宋" w:eastAsia="仿宋" w:cs="仿宋"/>
          <w:sz w:val="32"/>
          <w:szCs w:val="32"/>
        </w:rPr>
        <w:t>万元。本年度无固定资产处置。</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hint="eastAsia" w:eastAsia="仿宋_GB2312"/>
          <w:sz w:val="32"/>
          <w:szCs w:val="32"/>
        </w:rPr>
      </w:pPr>
      <w:r>
        <w:rPr>
          <w:rFonts w:hint="eastAsia" w:eastAsia="仿宋_GB2312"/>
          <w:sz w:val="32"/>
          <w:szCs w:val="32"/>
        </w:rPr>
        <w:t xml:space="preserve">按照《行政国有资产管理暂行办法》的指导精神，结合单位实际情况，制定并执行国有资产的管理制度和操作规范：一是在资产管理上认真做好资产的日常工作，建立健全的管理制度，将资产管理的责任落实到各股室和个人；二是在资产信息方面，完善固定资产档案，严格管理固定资产卡片，正确、及时地记录资产的增加、减少、使用等情况，真实的反映资产的增加变动和实际情况，全面及时地掌握本单位固定资产的使用状况； 三是对固定资产定期清查，使固定资产检查经常化，更好的从源头对固定资产情况进行监控。  </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（三）绩效评价工作情况</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绩效评价的要求，我单位成立了自评工作领导小组，对照自评方案进行了研究和部署，对照各实施项目的内容逐条逐项自评，在自评中发现问题，查找原因，及时纠正偏差，为下一步工作打实基础。根据邵阳县财政局《部门整体支出绩效评价指标》评分体系，共计得分90分（详见后附绩效评价指标表）。</w:t>
      </w:r>
    </w:p>
    <w:p>
      <w:pPr>
        <w:pStyle w:val="5"/>
        <w:keepNext w:val="0"/>
        <w:keepLines w:val="0"/>
        <w:pageBreakBefore w:val="0"/>
        <w:kinsoku/>
        <w:wordWrap/>
        <w:overflowPunct/>
        <w:topLinePunct w:val="0"/>
        <w:autoSpaceDE/>
        <w:autoSpaceDN/>
        <w:bidi w:val="0"/>
        <w:adjustRightInd/>
        <w:snapToGrid/>
        <w:spacing w:line="240" w:lineRule="auto"/>
        <w:ind w:left="640" w:firstLine="0" w:firstLineChars="0"/>
        <w:textAlignment w:val="auto"/>
        <w:rPr>
          <w:rFonts w:eastAsia="黑体"/>
          <w:sz w:val="32"/>
          <w:szCs w:val="32"/>
        </w:rPr>
      </w:pPr>
      <w:r>
        <w:rPr>
          <w:rFonts w:hint="eastAsia" w:eastAsia="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1、财务制度执行力有待加强，资金使用计划有待细化。</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2、财政预算资金到位比较迟缓，各项目经费支付不能及时到位。</w:t>
      </w:r>
    </w:p>
    <w:p>
      <w:pPr>
        <w:keepNext w:val="0"/>
        <w:keepLines w:val="0"/>
        <w:pageBreakBefore w:val="0"/>
        <w:widowControl/>
        <w:kinsoku/>
        <w:wordWrap/>
        <w:overflowPunct/>
        <w:topLinePunct w:val="0"/>
        <w:autoSpaceDE/>
        <w:autoSpaceDN/>
        <w:bidi w:val="0"/>
        <w:adjustRightInd/>
        <w:snapToGrid/>
        <w:spacing w:line="240" w:lineRule="auto"/>
        <w:ind w:left="638" w:leftChars="304" w:firstLine="0" w:firstLineChars="0"/>
        <w:jc w:val="left"/>
        <w:textAlignment w:val="auto"/>
        <w:rPr>
          <w:rFonts w:hint="eastAsia" w:eastAsia="黑体"/>
          <w:sz w:val="32"/>
          <w:szCs w:val="32"/>
        </w:rPr>
      </w:pPr>
      <w:r>
        <w:rPr>
          <w:rFonts w:hint="eastAsia" w:ascii="仿宋" w:hAnsi="仿宋" w:eastAsia="仿宋" w:cs="仿宋"/>
          <w:sz w:val="32"/>
          <w:szCs w:val="32"/>
        </w:rPr>
        <w:t>3、因单位人员少，会计出纳为兼职，没有专职财务人员。</w:t>
      </w:r>
      <w:r>
        <w:rPr>
          <w:rFonts w:hint="eastAsia" w:eastAsia="黑体"/>
          <w:sz w:val="32"/>
          <w:szCs w:val="32"/>
        </w:rPr>
        <w:t>八、下一步改进措施</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1、完善制度，强化监管。健全财务管理规章制度，全面规范党政机关财务管理活动。加大监督检查力度，严惩铺张浪费和违反财经纪律的行为。</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、提升预算编制水平，提高预算准确率，从严控制各项经费开支，提高经费的使用率。</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eastAsia="黑体"/>
          <w:sz w:val="32"/>
          <w:szCs w:val="32"/>
        </w:rPr>
      </w:pPr>
      <w:r>
        <w:rPr>
          <w:rFonts w:hint="eastAsia" w:eastAsia="黑体"/>
          <w:sz w:val="32"/>
          <w:szCs w:val="32"/>
        </w:rPr>
        <w:t>九、其他需要说明的情况</w:t>
      </w:r>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hint="eastAsia" w:eastAsia="仿宋_GB2312"/>
          <w:sz w:val="32"/>
          <w:szCs w:val="32"/>
        </w:rPr>
      </w:pPr>
      <w:r>
        <w:rPr>
          <w:rFonts w:hint="eastAsia" w:eastAsia="仿宋_GB2312"/>
          <w:sz w:val="32"/>
          <w:szCs w:val="32"/>
          <w:lang w:val="en-US" w:eastAsia="zh-CN"/>
        </w:rPr>
        <w:t>无</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5"/>
        <w:jc w:val="left"/>
        <w:textAlignment w:val="auto"/>
        <w:rPr>
          <w:rFonts w:eastAsia="仿宋_GB2312"/>
          <w:sz w:val="32"/>
          <w:szCs w:val="32"/>
        </w:rPr>
      </w:pPr>
      <w:r>
        <w:rPr>
          <w:rFonts w:hint="eastAsia" w:eastAsia="仿宋_GB2312"/>
          <w:sz w:val="32"/>
          <w:szCs w:val="32"/>
        </w:rPr>
        <w:t>附件：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eastAsia="仿宋_GB2312"/>
          <w:sz w:val="32"/>
          <w:szCs w:val="32"/>
        </w:rPr>
      </w:pPr>
      <w:r>
        <w:rPr>
          <w:rFonts w:eastAsia="仿宋_GB2312"/>
          <w:sz w:val="32"/>
          <w:szCs w:val="32"/>
        </w:rPr>
        <w:t>3</w:t>
      </w:r>
      <w:r>
        <w:rPr>
          <w:rFonts w:hint="eastAsia" w:eastAsia="仿宋_GB2312"/>
          <w:sz w:val="32"/>
          <w:szCs w:val="32"/>
        </w:rPr>
        <w:t>、项目支出绩效自评表</w:t>
      </w:r>
    </w:p>
    <w:p>
      <w:pPr>
        <w:pStyle w:val="2"/>
        <w:jc w:val="right"/>
        <w:rPr>
          <w:rFonts w:hint="eastAsia" w:eastAsia="仿宋_GB2312"/>
          <w:sz w:val="32"/>
          <w:szCs w:val="32"/>
          <w:lang w:val="en-US" w:eastAsia="zh-CN"/>
        </w:rPr>
      </w:pPr>
      <w:r>
        <w:rPr>
          <w:rFonts w:hint="eastAsia" w:eastAsia="仿宋_GB2312"/>
          <w:sz w:val="32"/>
          <w:szCs w:val="32"/>
          <w:lang w:val="en-US" w:eastAsia="zh-CN"/>
        </w:rPr>
        <w:t>邵阳县交通建设质量安全监督站</w:t>
      </w:r>
    </w:p>
    <w:p>
      <w:pPr>
        <w:pStyle w:val="2"/>
        <w:jc w:val="right"/>
        <w:rPr>
          <w:rFonts w:hint="default" w:eastAsia="仿宋_GB2312"/>
          <w:sz w:val="32"/>
          <w:szCs w:val="32"/>
          <w:lang w:val="en-US" w:eastAsia="zh-CN"/>
        </w:rPr>
      </w:pPr>
      <w:r>
        <w:rPr>
          <w:rFonts w:hint="eastAsia" w:eastAsia="仿宋_GB2312"/>
          <w:sz w:val="32"/>
          <w:szCs w:val="32"/>
          <w:lang w:val="en-US" w:eastAsia="zh-CN"/>
        </w:rPr>
        <w:t>2023年3月30日</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A3286"/>
    <w:multiLevelType w:val="singleLevel"/>
    <w:tmpl w:val="3B8A3286"/>
    <w:lvl w:ilvl="0" w:tentative="0">
      <w:start w:val="3"/>
      <w:numFmt w:val="chineseCounting"/>
      <w:suff w:val="nothing"/>
      <w:lvlText w:val="%1、"/>
      <w:lvlJc w:val="left"/>
      <w:rPr>
        <w:rFonts w:hint="eastAsia"/>
      </w:rPr>
    </w:lvl>
  </w:abstractNum>
  <w:abstractNum w:abstractNumId="1">
    <w:nsid w:val="647E6A0E"/>
    <w:multiLevelType w:val="singleLevel"/>
    <w:tmpl w:val="647E6A0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TdiYzhjNTRlNWQ5NjhhODNjNmU2NGMyNmQ1NmIifQ=="/>
  </w:docVars>
  <w:rsids>
    <w:rsidRoot w:val="3A0042BC"/>
    <w:rsid w:val="035D3297"/>
    <w:rsid w:val="394C33D5"/>
    <w:rsid w:val="3A0042BC"/>
    <w:rsid w:val="583A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5">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2907</Words>
  <Characters>3070</Characters>
  <Lines>0</Lines>
  <Paragraphs>0</Paragraphs>
  <TotalTime>27</TotalTime>
  <ScaleCrop>false</ScaleCrop>
  <LinksUpToDate>false</LinksUpToDate>
  <CharactersWithSpaces>3085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2023-03-29T07:26:00Z</dcterms:created>
  <dc:creator>龙落落</dc:creator>
  <cp:lastModifiedBy>龙落落</cp:lastModifiedBy>
  <cp:lastPrinted>2023-03-30T01:58:46Z</cp:lastPrinted>
  <dcterms:modified xsi:type="dcterms:W3CDTF">2023-03-30T02:46:49Z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74531EDA51604C21BD2B4A767F9760DD</vt:lpwstr>
  </property>
</Properties>
</file>