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BCE1D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邵阳县经济责任审计中心</w:t>
      </w:r>
    </w:p>
    <w:p w14:paraId="2D633D84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2023年整体支出绩效自评报告</w:t>
      </w:r>
    </w:p>
    <w:p w14:paraId="73AC069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480B0FF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财政资金管理，切实提高资金使用效益，进一步提高财务科学生精细化管理水平。根据《邵阳县财政局关于开展2023年度部门整体和项目支出绩效自评工作的通知》（邵财绩[2024]4号）的要求，现将我单位2023年度整体支出绩效自评报告如下：</w:t>
      </w:r>
    </w:p>
    <w:p w14:paraId="58FA972C">
      <w:pPr>
        <w:bidi w:val="0"/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部门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单位基本情况</w:t>
      </w:r>
    </w:p>
    <w:p w14:paraId="7CE49E98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(一)机构设置情况</w:t>
      </w:r>
    </w:p>
    <w:p w14:paraId="5BFE593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邵阳县经济责任审计中心（以下简称经责中心）为副科级全额拨款行政单位，内设综合股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经责审计一股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经责审计二股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乡镇站所审计股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政策跟踪审计股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电子数据采集审计股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固定资产投资与重大项目审计股等7个审计股室。</w:t>
      </w:r>
    </w:p>
    <w:p w14:paraId="38B88814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(二)人员编制情况</w:t>
      </w:r>
    </w:p>
    <w:p w14:paraId="5B45010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年12月底经责中心实有人数33人，在职31人，退休2人。</w:t>
      </w:r>
    </w:p>
    <w:p w14:paraId="77A1A50B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(三)主要职能职责</w:t>
      </w:r>
    </w:p>
    <w:p w14:paraId="1485D37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接受县审计局委托审计工作，承办县政府及审计局交办的其他事项等。</w:t>
      </w:r>
    </w:p>
    <w:p w14:paraId="18BF4F57"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一般公共预算支出情况</w:t>
      </w:r>
    </w:p>
    <w:p w14:paraId="75AFC54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(一)基本支出情况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6096490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1、2023年收入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309.25</w:t>
      </w:r>
      <w:r>
        <w:rPr>
          <w:rFonts w:hint="eastAsia" w:ascii="仿宋" w:hAnsi="仿宋" w:eastAsia="仿宋" w:cs="仿宋"/>
          <w:sz w:val="32"/>
          <w:szCs w:val="32"/>
        </w:rPr>
        <w:t>万元，其中：一般公共预算拨款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309.25</w:t>
      </w:r>
      <w:r>
        <w:rPr>
          <w:rFonts w:hint="eastAsia" w:ascii="仿宋" w:hAnsi="仿宋" w:eastAsia="仿宋" w:cs="仿宋"/>
          <w:sz w:val="32"/>
          <w:szCs w:val="32"/>
        </w:rPr>
        <w:t>万元，政府性基金预算拨款0万元，纳入财政专户管理的非税收入拨款0万元.</w:t>
      </w:r>
    </w:p>
    <w:p w14:paraId="5321C68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2、2023年整体支出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508.09</w:t>
      </w:r>
      <w:r>
        <w:rPr>
          <w:rFonts w:hint="eastAsia" w:ascii="仿宋" w:hAnsi="仿宋" w:eastAsia="仿宋" w:cs="仿宋"/>
          <w:sz w:val="32"/>
          <w:szCs w:val="32"/>
        </w:rPr>
        <w:t>万元，其中基本支出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508.09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万元，其中人员经费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440.67</w:t>
      </w:r>
      <w:r>
        <w:rPr>
          <w:rFonts w:hint="eastAsia" w:ascii="仿宋" w:hAnsi="仿宋" w:eastAsia="仿宋" w:cs="仿宋"/>
          <w:sz w:val="32"/>
          <w:szCs w:val="32"/>
        </w:rPr>
        <w:t>万元、公用经费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67.42</w:t>
      </w:r>
      <w:r>
        <w:rPr>
          <w:rFonts w:hint="eastAsia" w:ascii="仿宋" w:hAnsi="仿宋" w:eastAsia="仿宋" w:cs="仿宋"/>
          <w:sz w:val="32"/>
          <w:szCs w:val="32"/>
        </w:rPr>
        <w:t>万元。主要包括：工资福利支出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439.11</w:t>
      </w:r>
      <w:r>
        <w:rPr>
          <w:rFonts w:hint="eastAsia" w:ascii="仿宋" w:hAnsi="仿宋" w:eastAsia="仿宋" w:cs="仿宋"/>
          <w:sz w:val="32"/>
          <w:szCs w:val="32"/>
        </w:rPr>
        <w:t>万元，商品和服务支出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67.42</w:t>
      </w:r>
      <w:r>
        <w:rPr>
          <w:rFonts w:hint="eastAsia" w:ascii="仿宋" w:hAnsi="仿宋" w:eastAsia="仿宋" w:cs="仿宋"/>
          <w:sz w:val="32"/>
          <w:szCs w:val="32"/>
        </w:rPr>
        <w:t>万元，对个人和家庭的补助支出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1.56</w:t>
      </w:r>
      <w:r>
        <w:rPr>
          <w:rFonts w:hint="eastAsia" w:ascii="仿宋" w:hAnsi="仿宋" w:eastAsia="仿宋" w:cs="仿宋"/>
          <w:sz w:val="32"/>
          <w:szCs w:val="32"/>
        </w:rPr>
        <w:t>万元，资本性支出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万元，对企业的补助支出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3D4A1D92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(二)项目支出情况</w:t>
      </w:r>
    </w:p>
    <w:p w14:paraId="18439CF6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2023年项目支出0万元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A620397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(三)"三公"经费使用和管理情况</w:t>
      </w:r>
    </w:p>
    <w:p w14:paraId="1036F60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2023年经责中心“三公”经费支出0万元。“三公”经费严格控制在年初预算范围内，较好地达成年度预算设定的绩效目标。</w:t>
      </w:r>
    </w:p>
    <w:p w14:paraId="4C02ED92"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政府性基金预算支出情况</w:t>
      </w:r>
    </w:p>
    <w:p w14:paraId="37D3192B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2023年度本单位无政府性基金支出。</w:t>
      </w:r>
    </w:p>
    <w:p w14:paraId="4161CC24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国有资本经营预算支出情况</w:t>
      </w:r>
      <w:r>
        <w:rPr>
          <w:rFonts w:hint="eastAsia"/>
          <w:sz w:val="32"/>
          <w:szCs w:val="32"/>
        </w:rPr>
        <w:t xml:space="preserve"> </w:t>
      </w:r>
    </w:p>
    <w:p w14:paraId="342A13F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2023年度本单位无国有资本经营支出。</w:t>
      </w:r>
    </w:p>
    <w:p w14:paraId="0DB4C857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社会保险基金预算支出情况</w:t>
      </w:r>
    </w:p>
    <w:p w14:paraId="037B65F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2023年度本单位无社会保险基金支出。</w:t>
      </w:r>
    </w:p>
    <w:p w14:paraId="46C69DD6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六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部门整体支出绩效情况</w:t>
      </w:r>
    </w:p>
    <w:p w14:paraId="160B59D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2023年本单位部门整体支出综合评价情况良好，预算配置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资产管理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绩效管理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职责履行执行及完成情况良好，社会公众或服务对象满意度较高。</w:t>
      </w:r>
    </w:p>
    <w:p w14:paraId="41C8F44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部门整体支出绩效评价结果来看，单位预算编制科学，民主理财，重大财务事项经由集体研究决策，财务制度健全。单位经费开支按预算和单位财务管理制度执行，进一步推进预决算等重要信息的公开透明。2023年度在网站上公开部门预算信息及单位整体财务情况，做到主动接受社会公众的监督。</w:t>
      </w:r>
    </w:p>
    <w:p w14:paraId="58E0349A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存在的问题及原因分析</w:t>
      </w:r>
    </w:p>
    <w:p w14:paraId="149C895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财政资金紧张导致报销延迟，资金使用不协调，年终预算结余大，工作推进受阻，存在风险。</w:t>
      </w:r>
    </w:p>
    <w:p w14:paraId="732072C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2.对于绩效评价的认识不够深入，实际工作中存在把预算绩效简单等同于工作目标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工作考核，绩效目标和指标往往根据项目实际完成情况制定，对项目执行过程有效约束不够，存在一定的偏差</w:t>
      </w:r>
    </w:p>
    <w:p w14:paraId="5ED9DEDE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下一步改进措施</w:t>
      </w:r>
    </w:p>
    <w:p w14:paraId="7BE1F1D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规范绩效评价管理资料的收集整理，确保相关信息完整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可靠，客观公正地反映资金实际使用和产生的绩效状况，为今后资金实施方向及管理方式的改进提供指导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79ED87A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其他需要说明的情况</w:t>
      </w:r>
    </w:p>
    <w:p w14:paraId="3F7D6B7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无其他需要说明的情况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CE8964-91EF-48E1-A1FF-5E62AA1900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A0BED91-1306-449C-BEAD-DB28C535D2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6CE8E6F-7FD6-41D0-B9F2-A10D328FE58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906934B-84BC-48C1-ADC9-AC553E9C64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ZmU2ODI2YzFmZjcyNjNkMzU1Yjk1MjJhNjk5MGUifQ=="/>
  </w:docVars>
  <w:rsids>
    <w:rsidRoot w:val="6B811983"/>
    <w:rsid w:val="37A118D9"/>
    <w:rsid w:val="6B81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1147</Words>
  <Characters>1210</Characters>
  <Lines>0</Lines>
  <Paragraphs>0</Paragraphs>
  <TotalTime>4</TotalTime>
  <ScaleCrop>false</ScaleCrop>
  <LinksUpToDate>false</LinksUpToDate>
  <CharactersWithSpaces>1213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2024-09-01T00:36:00Z</dcterms:created>
  <dc:creator>WINTIAN</dc:creator>
  <cp:lastModifiedBy>WINTIAN</cp:lastModifiedBy>
  <dcterms:modified xsi:type="dcterms:W3CDTF">2024-09-01T16:10:45Z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9CA094EF827147B9B32378987FD9C1C6_11</vt:lpwstr>
  </property>
</Properties>
</file>