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eastAsia="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eastAsia="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eastAsia="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eastAsia="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eastAsia="仿宋_GB2312"/>
          <w:sz w:val="32"/>
          <w:szCs w:val="32"/>
        </w:rPr>
      </w:pPr>
    </w:p>
    <w:p>
      <w:pPr>
        <w:spacing w:line="560" w:lineRule="exact"/>
        <w:jc w:val="both"/>
        <w:rPr>
          <w:rFonts w:eastAsia="仿宋_GB2312"/>
          <w:sz w:val="32"/>
          <w:szCs w:val="32"/>
        </w:rPr>
      </w:pPr>
    </w:p>
    <w:p>
      <w:pPr>
        <w:adjustRightInd w:val="0"/>
        <w:spacing w:line="600" w:lineRule="exact"/>
        <w:ind w:right="641"/>
        <w:rPr>
          <w:rFonts w:hint="eastAsia" w:ascii="黑体" w:eastAsia="黑体"/>
          <w:sz w:val="32"/>
          <w:szCs w:val="32"/>
        </w:rPr>
      </w:pPr>
    </w:p>
    <w:p>
      <w:pPr>
        <w:adjustRightInd w:val="0"/>
        <w:spacing w:line="600" w:lineRule="exact"/>
        <w:ind w:right="641"/>
        <w:rPr>
          <w:rFonts w:hint="eastAsia" w:ascii="黑体" w:eastAsia="黑体"/>
          <w:sz w:val="32"/>
          <w:szCs w:val="32"/>
          <w:lang w:val="en-US" w:eastAsia="zh-CN"/>
        </w:rPr>
      </w:pPr>
      <w:r>
        <w:rPr>
          <w:rFonts w:hint="eastAsia" w:ascii="黑体" w:eastAsia="黑体"/>
          <w:sz w:val="32"/>
          <w:szCs w:val="32"/>
        </w:rPr>
        <w:t>附件</w:t>
      </w:r>
      <w:r>
        <w:rPr>
          <w:rFonts w:hint="eastAsia" w:ascii="黑体" w:eastAsia="黑体"/>
          <w:sz w:val="32"/>
          <w:szCs w:val="32"/>
          <w:lang w:val="en-US" w:eastAsia="zh-CN"/>
        </w:rPr>
        <w:t>1</w:t>
      </w:r>
    </w:p>
    <w:p>
      <w:pPr>
        <w:rPr>
          <w:rFonts w:eastAsia="黑体"/>
          <w:sz w:val="44"/>
        </w:rPr>
      </w:pPr>
    </w:p>
    <w:p>
      <w:pPr>
        <w:rPr>
          <w:rFonts w:eastAsia="黑体"/>
          <w:sz w:val="44"/>
        </w:rPr>
      </w:pPr>
    </w:p>
    <w:p>
      <w:pPr>
        <w:rPr>
          <w:rFonts w:eastAsia="黑体"/>
          <w:sz w:val="44"/>
        </w:rPr>
      </w:pPr>
    </w:p>
    <w:p>
      <w:pPr>
        <w:jc w:val="center"/>
        <w:rPr>
          <w:rFonts w:ascii="宋体" w:hAnsi="宋体"/>
          <w:sz w:val="44"/>
          <w:szCs w:val="44"/>
        </w:rPr>
      </w:pP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邵阳县20</w:t>
      </w:r>
      <w:r>
        <w:rPr>
          <w:rFonts w:hint="eastAsia" w:ascii="方正小标宋简体" w:hAnsi="方正小标宋简体" w:eastAsia="方正小标宋简体" w:cs="方正小标宋简体"/>
          <w:sz w:val="44"/>
          <w:szCs w:val="44"/>
          <w:lang w:val="en-US" w:eastAsia="zh-CN"/>
        </w:rPr>
        <w:t>23</w:t>
      </w:r>
      <w:r>
        <w:rPr>
          <w:rFonts w:hint="eastAsia" w:ascii="方正小标宋简体" w:hAnsi="方正小标宋简体" w:eastAsia="方正小标宋简体" w:cs="方正小标宋简体"/>
          <w:sz w:val="44"/>
          <w:szCs w:val="44"/>
        </w:rPr>
        <w:t xml:space="preserve">年度部门整体支出绩效自评报告   </w:t>
      </w: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（封面）</w:t>
      </w:r>
    </w:p>
    <w:p>
      <w:pPr>
        <w:jc w:val="center"/>
        <w:rPr>
          <w:rFonts w:ascii="宋体" w:hAnsi="宋体"/>
          <w:sz w:val="44"/>
          <w:szCs w:val="44"/>
        </w:rPr>
      </w:pPr>
    </w:p>
    <w:p>
      <w:pPr>
        <w:spacing w:line="600" w:lineRule="exact"/>
        <w:rPr>
          <w:sz w:val="36"/>
        </w:rPr>
      </w:pPr>
    </w:p>
    <w:p>
      <w:pPr>
        <w:spacing w:line="600" w:lineRule="exact"/>
        <w:rPr>
          <w:sz w:val="36"/>
        </w:rPr>
      </w:pPr>
    </w:p>
    <w:p>
      <w:pPr>
        <w:spacing w:line="600" w:lineRule="exact"/>
        <w:rPr>
          <w:sz w:val="36"/>
        </w:rPr>
      </w:pPr>
    </w:p>
    <w:p>
      <w:pPr>
        <w:spacing w:line="600" w:lineRule="exact"/>
        <w:rPr>
          <w:sz w:val="36"/>
        </w:rPr>
      </w:pPr>
    </w:p>
    <w:p>
      <w:pPr>
        <w:spacing w:line="600" w:lineRule="exact"/>
        <w:rPr>
          <w:sz w:val="36"/>
        </w:rPr>
      </w:pPr>
    </w:p>
    <w:p>
      <w:pPr>
        <w:spacing w:line="600" w:lineRule="exact"/>
        <w:rPr>
          <w:sz w:val="36"/>
        </w:rPr>
      </w:pPr>
    </w:p>
    <w:p>
      <w:pPr>
        <w:spacing w:line="1000" w:lineRule="exact"/>
        <w:rPr>
          <w:bCs/>
          <w:sz w:val="32"/>
          <w:szCs w:val="32"/>
          <w:u w:val="single"/>
        </w:rPr>
      </w:pPr>
      <w:r>
        <w:rPr>
          <w:rFonts w:hint="eastAsia"/>
          <w:sz w:val="36"/>
        </w:rPr>
        <w:t xml:space="preserve">    </w:t>
      </w:r>
      <w:r>
        <w:rPr>
          <w:rFonts w:hint="eastAsia"/>
          <w:b/>
          <w:bCs/>
          <w:sz w:val="32"/>
          <w:szCs w:val="32"/>
        </w:rPr>
        <w:t xml:space="preserve"> 自评单位：  </w:t>
      </w:r>
      <w:r>
        <w:rPr>
          <w:rFonts w:hint="eastAsia"/>
          <w:b/>
          <w:bCs/>
          <w:sz w:val="32"/>
          <w:szCs w:val="32"/>
          <w:u w:val="single"/>
          <w:lang w:val="en-US" w:eastAsia="zh-CN"/>
        </w:rPr>
        <w:t>农民素质教育办公室</w:t>
      </w:r>
      <w:r>
        <w:rPr>
          <w:rFonts w:hint="eastAsia"/>
          <w:b/>
          <w:bCs/>
          <w:sz w:val="32"/>
          <w:szCs w:val="32"/>
          <w:u w:val="single"/>
        </w:rPr>
        <w:t>　　　　　　</w:t>
      </w:r>
      <w:r>
        <w:rPr>
          <w:rFonts w:hint="eastAsia"/>
          <w:bCs/>
          <w:sz w:val="32"/>
          <w:szCs w:val="32"/>
        </w:rPr>
        <w:t>（单位公章）</w:t>
      </w:r>
    </w:p>
    <w:p>
      <w:pPr>
        <w:spacing w:line="600" w:lineRule="exact"/>
      </w:pPr>
    </w:p>
    <w:p>
      <w:pPr>
        <w:spacing w:line="600" w:lineRule="exact"/>
      </w:pPr>
    </w:p>
    <w:p>
      <w:pPr>
        <w:spacing w:line="600" w:lineRule="exact"/>
      </w:pPr>
    </w:p>
    <w:p>
      <w:pPr>
        <w:spacing w:line="600" w:lineRule="exact"/>
      </w:pPr>
    </w:p>
    <w:p>
      <w:pPr>
        <w:spacing w:line="600" w:lineRule="exact"/>
      </w:pPr>
    </w:p>
    <w:p>
      <w:pPr>
        <w:spacing w:line="600" w:lineRule="exact"/>
        <w:jc w:val="center"/>
        <w:rPr>
          <w:rFonts w:ascii="楷体" w:hAnsi="楷体" w:eastAsia="楷体" w:cs="楷体"/>
          <w:sz w:val="36"/>
        </w:rPr>
      </w:pPr>
      <w:r>
        <w:rPr>
          <w:rFonts w:hint="eastAsia" w:ascii="楷体" w:hAnsi="楷体" w:eastAsia="楷体" w:cs="楷体"/>
          <w:sz w:val="36"/>
        </w:rPr>
        <w:t>日期：　　</w:t>
      </w:r>
      <w:r>
        <w:rPr>
          <w:rFonts w:hint="eastAsia" w:ascii="楷体" w:hAnsi="楷体" w:eastAsia="楷体" w:cs="楷体"/>
          <w:sz w:val="36"/>
          <w:lang w:val="en-US" w:eastAsia="zh-CN"/>
        </w:rPr>
        <w:t>2024</w:t>
      </w:r>
      <w:r>
        <w:rPr>
          <w:rFonts w:hint="eastAsia" w:ascii="楷体" w:hAnsi="楷体" w:eastAsia="楷体" w:cs="楷体"/>
          <w:sz w:val="36"/>
        </w:rPr>
        <w:t>年　</w:t>
      </w:r>
      <w:r>
        <w:rPr>
          <w:rFonts w:hint="eastAsia" w:ascii="楷体" w:hAnsi="楷体" w:eastAsia="楷体" w:cs="楷体"/>
          <w:sz w:val="36"/>
          <w:lang w:val="en-US" w:eastAsia="zh-CN"/>
        </w:rPr>
        <w:t>2</w:t>
      </w:r>
      <w:r>
        <w:rPr>
          <w:rFonts w:hint="eastAsia" w:ascii="楷体" w:hAnsi="楷体" w:eastAsia="楷体" w:cs="楷体"/>
          <w:sz w:val="36"/>
        </w:rPr>
        <w:t>　月　</w:t>
      </w:r>
      <w:r>
        <w:rPr>
          <w:rFonts w:hint="eastAsia" w:ascii="楷体" w:hAnsi="楷体" w:eastAsia="楷体" w:cs="楷体"/>
          <w:sz w:val="36"/>
          <w:lang w:val="en-US" w:eastAsia="zh-CN"/>
        </w:rPr>
        <w:t>29</w:t>
      </w:r>
      <w:r>
        <w:rPr>
          <w:rFonts w:hint="eastAsia" w:ascii="楷体" w:hAnsi="楷体" w:eastAsia="楷体" w:cs="楷体"/>
          <w:sz w:val="36"/>
        </w:rPr>
        <w:t>　日</w:t>
      </w:r>
    </w:p>
    <w:p>
      <w:pPr>
        <w:spacing w:line="600" w:lineRule="exact"/>
        <w:rPr>
          <w:rFonts w:eastAsia="仿宋_GB2312"/>
          <w:sz w:val="28"/>
          <w:szCs w:val="28"/>
        </w:rPr>
      </w:pPr>
    </w:p>
    <w:p>
      <w:pPr>
        <w:adjustRightInd w:val="0"/>
        <w:spacing w:line="600" w:lineRule="exact"/>
        <w:ind w:right="641"/>
        <w:rPr>
          <w:rFonts w:hint="default" w:ascii="黑体" w:eastAsia="黑体"/>
          <w:sz w:val="32"/>
          <w:szCs w:val="32"/>
          <w:lang w:val="en-US" w:eastAsia="zh-CN"/>
        </w:rPr>
      </w:pPr>
      <w:r>
        <w:rPr>
          <w:rFonts w:hint="eastAsia" w:ascii="黑体" w:eastAsia="黑体"/>
          <w:sz w:val="32"/>
          <w:szCs w:val="32"/>
          <w:lang w:val="en-US" w:eastAsia="zh-CN"/>
        </w:rPr>
        <w:t>附件2</w:t>
      </w:r>
    </w:p>
    <w:p>
      <w:pPr>
        <w:adjustRightInd w:val="0"/>
        <w:spacing w:line="600" w:lineRule="exact"/>
        <w:ind w:right="641"/>
        <w:jc w:val="center"/>
        <w:rPr>
          <w:rFonts w:eastAsia="方正小标宋_GBK"/>
          <w:sz w:val="36"/>
          <w:szCs w:val="36"/>
        </w:rPr>
      </w:pPr>
      <w:r>
        <w:rPr>
          <w:rFonts w:hint="eastAsia" w:eastAsia="方正小标宋_GBK"/>
          <w:sz w:val="36"/>
          <w:szCs w:val="36"/>
        </w:rPr>
        <w:t xml:space="preserve">   部门整体</w:t>
      </w:r>
      <w:r>
        <w:rPr>
          <w:rFonts w:eastAsia="方正小标宋_GBK"/>
          <w:sz w:val="36"/>
          <w:szCs w:val="36"/>
        </w:rPr>
        <w:t>支出绩效</w:t>
      </w:r>
      <w:r>
        <w:rPr>
          <w:rFonts w:hint="eastAsia" w:eastAsia="方正小标宋_GBK"/>
          <w:sz w:val="36"/>
          <w:szCs w:val="36"/>
          <w:lang w:eastAsia="zh-CN"/>
        </w:rPr>
        <w:t>自评</w:t>
      </w:r>
      <w:r>
        <w:rPr>
          <w:rFonts w:eastAsia="方正小标宋_GBK"/>
          <w:sz w:val="36"/>
          <w:szCs w:val="36"/>
        </w:rPr>
        <w:t>报告</w:t>
      </w:r>
    </w:p>
    <w:p>
      <w:pPr>
        <w:adjustRightInd w:val="0"/>
        <w:spacing w:line="600" w:lineRule="exact"/>
        <w:ind w:right="641"/>
        <w:jc w:val="center"/>
        <w:rPr>
          <w:rFonts w:eastAsia="楷体_GB2312"/>
          <w:sz w:val="32"/>
          <w:szCs w:val="32"/>
        </w:rPr>
      </w:pPr>
    </w:p>
    <w:p>
      <w:pPr>
        <w:adjustRightInd w:val="0"/>
        <w:spacing w:line="600" w:lineRule="exact"/>
        <w:ind w:right="641"/>
        <w:rPr>
          <w:rFonts w:eastAsia="仿宋_GB2312"/>
          <w:sz w:val="32"/>
          <w:szCs w:val="32"/>
        </w:rPr>
      </w:pPr>
    </w:p>
    <w:p>
      <w:pPr>
        <w:widowControl/>
        <w:spacing w:line="600" w:lineRule="exact"/>
        <w:ind w:firstLine="645"/>
        <w:jc w:val="left"/>
        <w:rPr>
          <w:rFonts w:hint="eastAsia" w:eastAsia="黑体"/>
          <w:sz w:val="32"/>
          <w:szCs w:val="32"/>
        </w:rPr>
      </w:pPr>
      <w:r>
        <w:rPr>
          <w:rFonts w:hint="eastAsia" w:eastAsia="黑体"/>
          <w:sz w:val="32"/>
          <w:szCs w:val="32"/>
        </w:rPr>
        <w:t>一、部门、单位基本情况</w:t>
      </w:r>
    </w:p>
    <w:p>
      <w:pPr>
        <w:adjustRightInd w:val="0"/>
        <w:snapToGrid w:val="0"/>
        <w:spacing w:line="60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（一）机构设置情况</w:t>
      </w:r>
    </w:p>
    <w:p>
      <w:pPr>
        <w:adjustRightInd w:val="0"/>
        <w:snapToGrid w:val="0"/>
        <w:spacing w:line="600" w:lineRule="exact"/>
        <w:ind w:firstLine="640" w:firstLineChars="200"/>
        <w:rPr>
          <w:rFonts w:ascii="宋体" w:hAnsi="宋体"/>
          <w:sz w:val="32"/>
          <w:szCs w:val="32"/>
        </w:rPr>
      </w:pPr>
      <w:r>
        <w:rPr>
          <w:rFonts w:ascii="宋体" w:hAnsi="宋体"/>
          <w:sz w:val="32"/>
          <w:szCs w:val="32"/>
        </w:rPr>
        <w:t>共设两个股室，一个是综合股，一个是农业广播电视教育股</w:t>
      </w:r>
      <w:r>
        <w:rPr>
          <w:rFonts w:hint="eastAsia" w:ascii="宋体" w:hAnsi="宋体"/>
          <w:sz w:val="32"/>
          <w:szCs w:val="32"/>
        </w:rPr>
        <w:t>。</w:t>
      </w:r>
    </w:p>
    <w:p>
      <w:pPr>
        <w:widowControl/>
        <w:spacing w:line="600" w:lineRule="exact"/>
        <w:ind w:firstLine="645"/>
        <w:jc w:val="left"/>
        <w:rPr>
          <w:rFonts w:hint="eastAsia" w:ascii="楷体" w:hAnsi="楷体" w:eastAsia="楷体" w:cs="楷体"/>
          <w:b/>
          <w:bCs/>
          <w:sz w:val="32"/>
          <w:szCs w:val="32"/>
        </w:rPr>
      </w:pPr>
    </w:p>
    <w:p>
      <w:pPr>
        <w:widowControl/>
        <w:numPr>
          <w:ilvl w:val="0"/>
          <w:numId w:val="1"/>
        </w:numPr>
        <w:spacing w:line="600" w:lineRule="exact"/>
        <w:ind w:firstLine="645"/>
        <w:jc w:val="left"/>
        <w:rPr>
          <w:rFonts w:hint="eastAsia" w:ascii="楷体" w:hAnsi="楷体" w:eastAsia="楷体" w:cs="楷体"/>
          <w:b/>
          <w:bCs/>
          <w:sz w:val="32"/>
          <w:szCs w:val="32"/>
        </w:rPr>
      </w:pPr>
      <w:r>
        <w:rPr>
          <w:rFonts w:hint="eastAsia" w:ascii="楷体" w:hAnsi="楷体" w:eastAsia="楷体" w:cs="楷体"/>
          <w:b/>
          <w:bCs/>
          <w:sz w:val="32"/>
          <w:szCs w:val="32"/>
        </w:rPr>
        <w:t>人员编制情况</w:t>
      </w:r>
      <w:r>
        <w:rPr>
          <w:rFonts w:ascii="宋体" w:hAnsi="宋体"/>
          <w:sz w:val="32"/>
          <w:szCs w:val="32"/>
        </w:rPr>
        <w:t>本单位</w:t>
      </w:r>
      <w:r>
        <w:rPr>
          <w:rFonts w:hint="eastAsia" w:ascii="宋体" w:hAnsi="宋体"/>
          <w:sz w:val="32"/>
          <w:szCs w:val="32"/>
        </w:rPr>
        <w:t>机</w:t>
      </w:r>
      <w:r>
        <w:rPr>
          <w:rFonts w:ascii="宋体" w:hAnsi="宋体"/>
          <w:sz w:val="32"/>
          <w:szCs w:val="32"/>
        </w:rPr>
        <w:t>构编</w:t>
      </w:r>
      <w:r>
        <w:rPr>
          <w:rFonts w:hint="eastAsia" w:ascii="宋体" w:hAnsi="宋体"/>
          <w:sz w:val="32"/>
          <w:szCs w:val="32"/>
        </w:rPr>
        <w:t>制数</w:t>
      </w:r>
      <w:r>
        <w:rPr>
          <w:rFonts w:hint="eastAsia" w:ascii="宋体" w:hAnsi="宋体"/>
          <w:sz w:val="32"/>
          <w:szCs w:val="32"/>
          <w:lang w:val="en-US" w:eastAsia="zh-CN"/>
        </w:rPr>
        <w:t>5</w:t>
      </w:r>
      <w:r>
        <w:rPr>
          <w:rFonts w:hint="eastAsia" w:ascii="宋体" w:hAnsi="宋体"/>
          <w:sz w:val="32"/>
          <w:szCs w:val="32"/>
        </w:rPr>
        <w:t>人</w:t>
      </w:r>
      <w:r>
        <w:rPr>
          <w:rFonts w:ascii="宋体" w:hAnsi="宋体"/>
          <w:sz w:val="32"/>
          <w:szCs w:val="32"/>
        </w:rPr>
        <w:t>，</w:t>
      </w:r>
      <w:r>
        <w:rPr>
          <w:rFonts w:hint="eastAsia" w:ascii="宋体" w:hAnsi="宋体"/>
          <w:sz w:val="32"/>
          <w:szCs w:val="32"/>
          <w:lang w:eastAsia="zh-CN"/>
        </w:rPr>
        <w:t>年末</w:t>
      </w:r>
      <w:r>
        <w:rPr>
          <w:rFonts w:hint="eastAsia" w:ascii="宋体" w:hAnsi="宋体"/>
          <w:sz w:val="32"/>
          <w:szCs w:val="32"/>
        </w:rPr>
        <w:t>在</w:t>
      </w:r>
      <w:r>
        <w:rPr>
          <w:rFonts w:ascii="宋体" w:hAnsi="宋体"/>
          <w:sz w:val="32"/>
          <w:szCs w:val="32"/>
        </w:rPr>
        <w:t>职人员</w:t>
      </w:r>
      <w:r>
        <w:rPr>
          <w:rFonts w:hint="eastAsia" w:ascii="宋体" w:hAnsi="宋体"/>
          <w:sz w:val="32"/>
          <w:szCs w:val="32"/>
          <w:lang w:val="en-US" w:eastAsia="zh-CN"/>
        </w:rPr>
        <w:t>6</w:t>
      </w:r>
      <w:r>
        <w:rPr>
          <w:rFonts w:hint="eastAsia" w:ascii="宋体" w:hAnsi="宋体"/>
          <w:sz w:val="32"/>
          <w:szCs w:val="32"/>
        </w:rPr>
        <w:t>人</w:t>
      </w:r>
      <w:r>
        <w:rPr>
          <w:rFonts w:hint="eastAsia" w:ascii="宋体" w:hAnsi="宋体"/>
          <w:sz w:val="32"/>
          <w:szCs w:val="32"/>
          <w:lang w:val="en-US" w:eastAsia="zh-CN"/>
        </w:rPr>
        <w:t>.</w:t>
      </w:r>
    </w:p>
    <w:p>
      <w:pPr>
        <w:widowControl/>
        <w:numPr>
          <w:ilvl w:val="0"/>
          <w:numId w:val="0"/>
        </w:numPr>
        <w:spacing w:line="600" w:lineRule="exact"/>
        <w:jc w:val="left"/>
        <w:rPr>
          <w:rFonts w:hint="eastAsia" w:ascii="楷体" w:hAnsi="楷体" w:eastAsia="楷体" w:cs="楷体"/>
          <w:b/>
          <w:bCs/>
          <w:sz w:val="32"/>
          <w:szCs w:val="32"/>
        </w:rPr>
      </w:pPr>
    </w:p>
    <w:p>
      <w:pPr>
        <w:widowControl/>
        <w:numPr>
          <w:ilvl w:val="0"/>
          <w:numId w:val="1"/>
        </w:numPr>
        <w:spacing w:line="600" w:lineRule="exact"/>
        <w:ind w:left="0" w:leftChars="0" w:firstLine="645" w:firstLineChars="0"/>
        <w:jc w:val="left"/>
        <w:rPr>
          <w:rFonts w:hint="eastAsia" w:ascii="楷体" w:hAnsi="楷体" w:eastAsia="楷体" w:cs="楷体"/>
          <w:b/>
          <w:bCs/>
          <w:sz w:val="32"/>
          <w:szCs w:val="32"/>
        </w:rPr>
      </w:pPr>
      <w:r>
        <w:rPr>
          <w:rFonts w:hint="eastAsia" w:ascii="楷体" w:hAnsi="楷体" w:eastAsia="楷体" w:cs="楷体"/>
          <w:b/>
          <w:bCs/>
          <w:sz w:val="32"/>
          <w:szCs w:val="32"/>
        </w:rPr>
        <w:t>主要职能职责</w:t>
      </w:r>
    </w:p>
    <w:p>
      <w:pPr>
        <w:widowControl/>
        <w:numPr>
          <w:ilvl w:val="0"/>
          <w:numId w:val="0"/>
        </w:numPr>
        <w:spacing w:line="600" w:lineRule="exact"/>
        <w:ind w:left="645" w:leftChars="0"/>
        <w:jc w:val="left"/>
        <w:rPr>
          <w:rFonts w:hint="eastAsia" w:ascii="楷体" w:hAnsi="楷体" w:eastAsia="楷体" w:cs="楷体"/>
          <w:b/>
          <w:bCs/>
          <w:sz w:val="32"/>
          <w:szCs w:val="32"/>
        </w:rPr>
      </w:pPr>
      <w:r>
        <w:rPr>
          <w:rFonts w:hint="eastAsia" w:ascii="宋体" w:hAnsi="宋体"/>
          <w:color w:val="000000"/>
          <w:kern w:val="0"/>
          <w:sz w:val="32"/>
          <w:szCs w:val="32"/>
        </w:rPr>
        <w:t>负责全县农民教育培训工作计划的制定和组织实施，开展新型职业农民培育工作，负责全县农民教育培训的信息收集、整理与公布。</w:t>
      </w:r>
    </w:p>
    <w:p>
      <w:pPr>
        <w:widowControl/>
        <w:numPr>
          <w:ilvl w:val="0"/>
          <w:numId w:val="1"/>
        </w:numPr>
        <w:spacing w:line="600" w:lineRule="exact"/>
        <w:ind w:left="0" w:leftChars="0" w:firstLine="645" w:firstLineChars="0"/>
        <w:jc w:val="left"/>
        <w:rPr>
          <w:rFonts w:hint="eastAsia" w:ascii="楷体" w:hAnsi="楷体" w:eastAsia="楷体" w:cs="楷体"/>
          <w:b/>
          <w:bCs/>
          <w:sz w:val="32"/>
          <w:szCs w:val="32"/>
        </w:rPr>
      </w:pPr>
      <w:r>
        <w:rPr>
          <w:rFonts w:hint="eastAsia" w:ascii="楷体" w:hAnsi="楷体" w:eastAsia="楷体" w:cs="楷体"/>
          <w:b/>
          <w:bCs/>
          <w:sz w:val="32"/>
          <w:szCs w:val="32"/>
        </w:rPr>
        <w:t>绩效目标设定情况</w:t>
      </w:r>
    </w:p>
    <w:p>
      <w:pPr>
        <w:widowControl/>
        <w:numPr>
          <w:ilvl w:val="0"/>
          <w:numId w:val="0"/>
        </w:numPr>
        <w:spacing w:line="600" w:lineRule="exact"/>
        <w:ind w:left="645" w:leftChars="0"/>
        <w:jc w:val="left"/>
        <w:rPr>
          <w:rFonts w:hint="eastAsia" w:ascii="楷体" w:hAnsi="楷体" w:eastAsia="楷体" w:cs="楷体"/>
          <w:b/>
          <w:bCs/>
          <w:sz w:val="32"/>
          <w:szCs w:val="32"/>
        </w:rPr>
      </w:pPr>
      <w:r>
        <w:rPr>
          <w:rFonts w:hint="eastAsia" w:ascii="楷体" w:hAnsi="楷体" w:eastAsia="楷体" w:cs="楷体"/>
          <w:b/>
          <w:bCs/>
          <w:sz w:val="32"/>
          <w:szCs w:val="32"/>
        </w:rPr>
        <w:t>在今年收支预算内，确保完成以下整体目标：</w:t>
      </w:r>
    </w:p>
    <w:p>
      <w:pPr>
        <w:widowControl/>
        <w:spacing w:line="600" w:lineRule="exact"/>
        <w:ind w:firstLine="645"/>
        <w:jc w:val="left"/>
        <w:rPr>
          <w:rFonts w:hint="eastAsia" w:ascii="楷体" w:hAnsi="楷体" w:eastAsia="楷体" w:cs="楷体"/>
          <w:b/>
          <w:bCs/>
          <w:sz w:val="32"/>
          <w:szCs w:val="32"/>
        </w:rPr>
      </w:pPr>
      <w:r>
        <w:rPr>
          <w:rFonts w:hint="eastAsia" w:ascii="楷体" w:hAnsi="楷体" w:eastAsia="楷体" w:cs="楷体"/>
          <w:b/>
          <w:bCs/>
          <w:sz w:val="32"/>
          <w:szCs w:val="32"/>
        </w:rPr>
        <w:t>目标1：保持单位正常运行，人员工资、津补贴、社保费、公积金及日常工作运行。</w:t>
      </w:r>
    </w:p>
    <w:p>
      <w:pPr>
        <w:widowControl/>
        <w:spacing w:line="600" w:lineRule="exact"/>
        <w:ind w:firstLine="645"/>
        <w:jc w:val="left"/>
        <w:rPr>
          <w:rFonts w:hint="eastAsia" w:ascii="楷体" w:hAnsi="楷体" w:eastAsia="楷体" w:cs="楷体"/>
          <w:b/>
          <w:bCs/>
          <w:sz w:val="32"/>
          <w:szCs w:val="32"/>
        </w:rPr>
      </w:pPr>
      <w:r>
        <w:rPr>
          <w:rFonts w:hint="eastAsia" w:ascii="楷体" w:hAnsi="楷体" w:eastAsia="楷体" w:cs="楷体"/>
          <w:b/>
          <w:bCs/>
          <w:sz w:val="32"/>
          <w:szCs w:val="32"/>
        </w:rPr>
        <w:t>目标2:有效使用资金，发挥资金使用效益，培养大批新型职业农民，提高农民生活水平和农民收入。</w:t>
      </w:r>
    </w:p>
    <w:p>
      <w:pPr>
        <w:widowControl/>
        <w:spacing w:line="600" w:lineRule="exact"/>
        <w:ind w:firstLine="645"/>
        <w:jc w:val="left"/>
        <w:rPr>
          <w:rFonts w:hint="eastAsia" w:eastAsia="黑体"/>
          <w:sz w:val="32"/>
          <w:szCs w:val="32"/>
        </w:rPr>
      </w:pPr>
      <w:r>
        <w:rPr>
          <w:rFonts w:hint="eastAsia" w:eastAsia="黑体"/>
          <w:sz w:val="32"/>
          <w:szCs w:val="32"/>
        </w:rPr>
        <w:t>二、一般公共预算支出情况</w:t>
      </w:r>
    </w:p>
    <w:p>
      <w:pPr>
        <w:adjustRightInd w:val="0"/>
        <w:snapToGrid w:val="0"/>
        <w:spacing w:line="60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（一）经批复的预、决算情况</w:t>
      </w:r>
    </w:p>
    <w:p>
      <w:pPr>
        <w:adjustRightInd w:val="0"/>
        <w:snapToGrid w:val="0"/>
        <w:spacing w:line="600" w:lineRule="exact"/>
        <w:ind w:firstLine="640" w:firstLineChars="200"/>
        <w:rPr>
          <w:rFonts w:hint="eastAsia" w:ascii="宋体" w:hAnsi="宋体" w:cs="新宋体"/>
          <w:color w:val="000000"/>
          <w:sz w:val="32"/>
          <w:szCs w:val="32"/>
          <w:shd w:val="clear" w:color="auto" w:fill="FFFFFF"/>
        </w:rPr>
      </w:pPr>
      <w:r>
        <w:rPr>
          <w:rFonts w:hint="eastAsia" w:ascii="宋体" w:hAnsi="宋体" w:cs="新宋体"/>
          <w:color w:val="000000"/>
          <w:sz w:val="32"/>
          <w:szCs w:val="32"/>
          <w:shd w:val="clear" w:color="auto" w:fill="FFFFFF"/>
        </w:rPr>
        <w:t>1、20</w:t>
      </w:r>
      <w:r>
        <w:rPr>
          <w:rFonts w:hint="eastAsia" w:ascii="宋体" w:hAnsi="宋体" w:cs="新宋体"/>
          <w:color w:val="000000"/>
          <w:sz w:val="32"/>
          <w:szCs w:val="32"/>
          <w:shd w:val="clear" w:color="auto" w:fill="FFFFFF"/>
          <w:lang w:val="en-US" w:eastAsia="zh-CN"/>
        </w:rPr>
        <w:t>23</w:t>
      </w:r>
      <w:r>
        <w:rPr>
          <w:rFonts w:hint="eastAsia" w:ascii="宋体" w:hAnsi="宋体" w:cs="新宋体"/>
          <w:color w:val="000000"/>
          <w:sz w:val="32"/>
          <w:szCs w:val="32"/>
          <w:shd w:val="clear" w:color="auto" w:fill="FFFFFF"/>
        </w:rPr>
        <w:t>年收入</w:t>
      </w:r>
      <w:r>
        <w:rPr>
          <w:rFonts w:hint="eastAsia" w:ascii="宋体" w:hAnsi="宋体" w:cs="新宋体"/>
          <w:color w:val="000000"/>
          <w:sz w:val="32"/>
          <w:szCs w:val="32"/>
          <w:shd w:val="clear" w:color="auto" w:fill="FFFFFF"/>
          <w:lang w:val="en-US" w:eastAsia="zh-CN"/>
        </w:rPr>
        <w:t>预算79.46</w:t>
      </w:r>
      <w:r>
        <w:rPr>
          <w:rFonts w:hint="eastAsia" w:ascii="宋体" w:hAnsi="宋体" w:cs="新宋体"/>
          <w:color w:val="000000"/>
          <w:sz w:val="32"/>
          <w:szCs w:val="32"/>
          <w:shd w:val="clear" w:color="auto" w:fill="FFFFFF"/>
        </w:rPr>
        <w:t>万元，其中：一般公共预算拨款</w:t>
      </w:r>
      <w:r>
        <w:rPr>
          <w:rFonts w:hint="eastAsia" w:ascii="宋体" w:hAnsi="宋体" w:cs="新宋体"/>
          <w:color w:val="000000"/>
          <w:sz w:val="32"/>
          <w:szCs w:val="32"/>
          <w:shd w:val="clear" w:color="auto" w:fill="FFFFFF"/>
          <w:lang w:val="en-US" w:eastAsia="zh-CN"/>
        </w:rPr>
        <w:t>79.46</w:t>
      </w:r>
      <w:r>
        <w:rPr>
          <w:rFonts w:hint="eastAsia" w:ascii="宋体" w:hAnsi="宋体" w:cs="新宋体"/>
          <w:color w:val="000000"/>
          <w:sz w:val="32"/>
          <w:szCs w:val="32"/>
          <w:shd w:val="clear" w:color="auto" w:fill="FFFFFF"/>
        </w:rPr>
        <w:t>万元，政府性基金预算拨款0万元，纳入财政专户管理的非税收入拨款0万元.</w:t>
      </w:r>
    </w:p>
    <w:p>
      <w:pPr>
        <w:adjustRightInd w:val="0"/>
        <w:snapToGrid w:val="0"/>
        <w:spacing w:line="600" w:lineRule="exact"/>
        <w:ind w:firstLine="640" w:firstLineChars="200"/>
        <w:rPr>
          <w:rFonts w:hint="eastAsia" w:ascii="宋体" w:hAnsi="宋体" w:cs="新宋体"/>
          <w:color w:val="0000FF"/>
          <w:sz w:val="32"/>
          <w:szCs w:val="32"/>
          <w:shd w:val="clear" w:color="auto" w:fill="FFFFFF"/>
        </w:rPr>
      </w:pPr>
      <w:r>
        <w:rPr>
          <w:rFonts w:hint="eastAsia" w:ascii="宋体" w:hAnsi="宋体" w:cs="新宋体"/>
          <w:color w:val="000000"/>
          <w:sz w:val="32"/>
          <w:szCs w:val="32"/>
          <w:shd w:val="clear" w:color="auto" w:fill="FFFFFF"/>
        </w:rPr>
        <w:t>2、2</w:t>
      </w:r>
      <w:r>
        <w:rPr>
          <w:rFonts w:hint="eastAsia" w:ascii="宋体" w:hAnsi="宋体" w:cs="新宋体"/>
          <w:color w:val="000000"/>
          <w:sz w:val="32"/>
          <w:szCs w:val="32"/>
          <w:shd w:val="clear" w:color="auto" w:fill="FFFFFF"/>
          <w:lang w:val="en-US" w:eastAsia="zh-CN"/>
        </w:rPr>
        <w:t>023</w:t>
      </w:r>
      <w:r>
        <w:rPr>
          <w:rFonts w:hint="eastAsia" w:ascii="宋体" w:hAnsi="宋体" w:cs="新宋体"/>
          <w:color w:val="000000"/>
          <w:sz w:val="32"/>
          <w:szCs w:val="32"/>
          <w:shd w:val="clear" w:color="auto" w:fill="FFFFFF"/>
        </w:rPr>
        <w:t>年支出</w:t>
      </w:r>
      <w:r>
        <w:rPr>
          <w:rFonts w:hint="eastAsia" w:ascii="宋体" w:hAnsi="宋体" w:cs="新宋体"/>
          <w:color w:val="000000"/>
          <w:sz w:val="32"/>
          <w:szCs w:val="32"/>
          <w:shd w:val="clear" w:color="auto" w:fill="FFFFFF"/>
          <w:lang w:val="en-US" w:eastAsia="zh-CN"/>
        </w:rPr>
        <w:t>预算79.46</w:t>
      </w:r>
      <w:r>
        <w:rPr>
          <w:rFonts w:hint="eastAsia" w:ascii="宋体" w:hAnsi="宋体" w:cs="新宋体"/>
          <w:color w:val="000000"/>
          <w:sz w:val="32"/>
          <w:szCs w:val="32"/>
          <w:shd w:val="clear" w:color="auto" w:fill="FFFFFF"/>
        </w:rPr>
        <w:t>万元，</w:t>
      </w:r>
      <w:r>
        <w:rPr>
          <w:rFonts w:hint="eastAsia" w:ascii="宋体" w:hAnsi="宋体" w:cs="新宋体"/>
          <w:color w:val="auto"/>
          <w:sz w:val="32"/>
          <w:szCs w:val="32"/>
          <w:shd w:val="clear" w:color="auto" w:fill="FFFFFF"/>
        </w:rPr>
        <w:t>其中工资福利支出</w:t>
      </w:r>
      <w:r>
        <w:rPr>
          <w:rFonts w:hint="eastAsia" w:ascii="宋体" w:hAnsi="宋体" w:cs="新宋体"/>
          <w:color w:val="auto"/>
          <w:sz w:val="32"/>
          <w:szCs w:val="32"/>
          <w:shd w:val="clear" w:color="auto" w:fill="FFFFFF"/>
          <w:lang w:val="en-US" w:eastAsia="zh-CN"/>
        </w:rPr>
        <w:t>68.42</w:t>
      </w:r>
      <w:r>
        <w:rPr>
          <w:rFonts w:hint="eastAsia" w:ascii="宋体" w:hAnsi="宋体" w:cs="新宋体"/>
          <w:color w:val="auto"/>
          <w:sz w:val="32"/>
          <w:szCs w:val="32"/>
          <w:shd w:val="clear" w:color="auto" w:fill="FFFFFF"/>
        </w:rPr>
        <w:t>万元,商品和服务支出</w:t>
      </w:r>
      <w:r>
        <w:rPr>
          <w:rFonts w:hint="eastAsia" w:ascii="宋体" w:hAnsi="宋体" w:cs="新宋体"/>
          <w:color w:val="auto"/>
          <w:sz w:val="32"/>
          <w:szCs w:val="32"/>
          <w:shd w:val="clear" w:color="auto" w:fill="FFFFFF"/>
          <w:lang w:val="en-US" w:eastAsia="zh-CN"/>
        </w:rPr>
        <w:t>7.54</w:t>
      </w:r>
      <w:r>
        <w:rPr>
          <w:rFonts w:hint="eastAsia" w:ascii="宋体" w:hAnsi="宋体" w:cs="新宋体"/>
          <w:color w:val="auto"/>
          <w:sz w:val="32"/>
          <w:szCs w:val="32"/>
          <w:shd w:val="clear" w:color="auto" w:fill="FFFFFF"/>
        </w:rPr>
        <w:t xml:space="preserve">万元 </w:t>
      </w:r>
      <w:r>
        <w:rPr>
          <w:rFonts w:hint="eastAsia" w:ascii="宋体" w:hAnsi="宋体" w:cs="新宋体"/>
          <w:color w:val="auto"/>
          <w:sz w:val="32"/>
          <w:szCs w:val="32"/>
          <w:shd w:val="clear" w:color="auto" w:fill="FFFFFF"/>
          <w:lang w:eastAsia="zh-CN"/>
        </w:rPr>
        <w:t>，</w:t>
      </w:r>
      <w:r>
        <w:rPr>
          <w:rFonts w:hint="eastAsia" w:ascii="宋体" w:hAnsi="宋体" w:cs="新宋体"/>
          <w:color w:val="auto"/>
          <w:sz w:val="32"/>
          <w:szCs w:val="32"/>
          <w:shd w:val="clear" w:color="auto" w:fill="FFFFFF"/>
        </w:rPr>
        <w:t>对个人和家庭的补助</w:t>
      </w:r>
      <w:r>
        <w:rPr>
          <w:rFonts w:hint="eastAsia" w:ascii="宋体" w:hAnsi="宋体" w:cs="新宋体"/>
          <w:color w:val="auto"/>
          <w:sz w:val="32"/>
          <w:szCs w:val="32"/>
          <w:shd w:val="clear" w:color="auto" w:fill="FFFFFF"/>
          <w:lang w:val="en-US" w:eastAsia="zh-CN"/>
        </w:rPr>
        <w:t>3.5万，</w:t>
      </w:r>
      <w:r>
        <w:rPr>
          <w:rFonts w:hint="eastAsia" w:ascii="宋体" w:hAnsi="宋体" w:cs="新宋体"/>
          <w:color w:val="auto"/>
          <w:sz w:val="32"/>
          <w:szCs w:val="32"/>
          <w:shd w:val="clear" w:color="auto" w:fill="FFFFFF"/>
        </w:rPr>
        <w:t>项目</w:t>
      </w:r>
      <w:r>
        <w:rPr>
          <w:rFonts w:ascii="宋体" w:hAnsi="宋体" w:cs="新宋体"/>
          <w:color w:val="auto"/>
          <w:sz w:val="32"/>
          <w:szCs w:val="32"/>
          <w:shd w:val="clear" w:color="auto" w:fill="FFFFFF"/>
        </w:rPr>
        <w:t>支出</w:t>
      </w:r>
      <w:r>
        <w:rPr>
          <w:rFonts w:hint="eastAsia" w:ascii="宋体" w:hAnsi="宋体" w:cs="新宋体"/>
          <w:color w:val="auto"/>
          <w:sz w:val="32"/>
          <w:szCs w:val="32"/>
          <w:shd w:val="clear" w:color="auto" w:fill="FFFFFF"/>
          <w:lang w:val="en-US" w:eastAsia="zh-CN"/>
        </w:rPr>
        <w:t>0</w:t>
      </w:r>
      <w:r>
        <w:rPr>
          <w:rFonts w:hint="eastAsia" w:ascii="宋体" w:hAnsi="宋体" w:cs="新宋体"/>
          <w:color w:val="auto"/>
          <w:sz w:val="32"/>
          <w:szCs w:val="32"/>
          <w:shd w:val="clear" w:color="auto" w:fill="FFFFFF"/>
        </w:rPr>
        <w:t>万</w:t>
      </w:r>
      <w:r>
        <w:rPr>
          <w:rFonts w:ascii="宋体" w:hAnsi="宋体" w:cs="新宋体"/>
          <w:color w:val="auto"/>
          <w:sz w:val="32"/>
          <w:szCs w:val="32"/>
          <w:shd w:val="clear" w:color="auto" w:fill="FFFFFF"/>
        </w:rPr>
        <w:t>元。</w:t>
      </w:r>
    </w:p>
    <w:p>
      <w:pPr>
        <w:widowControl/>
        <w:spacing w:line="600" w:lineRule="exact"/>
        <w:ind w:firstLine="645"/>
        <w:jc w:val="left"/>
        <w:rPr>
          <w:rFonts w:hint="eastAsia" w:ascii="楷体" w:hAnsi="楷体" w:eastAsia="楷体" w:cs="楷体"/>
          <w:b/>
          <w:bCs/>
          <w:sz w:val="32"/>
          <w:szCs w:val="32"/>
        </w:rPr>
      </w:pPr>
    </w:p>
    <w:p>
      <w:pPr>
        <w:widowControl/>
        <w:spacing w:line="600" w:lineRule="exact"/>
        <w:ind w:firstLine="645"/>
        <w:jc w:val="left"/>
        <w:rPr>
          <w:rFonts w:hint="eastAsia" w:ascii="楷体" w:hAnsi="楷体" w:eastAsia="楷体" w:cs="楷体"/>
          <w:b/>
          <w:bCs/>
          <w:sz w:val="32"/>
          <w:szCs w:val="32"/>
        </w:rPr>
      </w:pPr>
      <w:r>
        <w:rPr>
          <w:rFonts w:hint="eastAsia" w:ascii="楷体" w:hAnsi="楷体" w:eastAsia="楷体" w:cs="楷体"/>
          <w:b/>
          <w:bCs/>
          <w:sz w:val="32"/>
          <w:szCs w:val="32"/>
        </w:rPr>
        <w:t>（二）部门预算执行情况</w:t>
      </w:r>
    </w:p>
    <w:p>
      <w:pPr>
        <w:adjustRightInd w:val="0"/>
        <w:snapToGrid w:val="0"/>
        <w:spacing w:line="600" w:lineRule="exact"/>
        <w:ind w:firstLine="640" w:firstLineChars="200"/>
        <w:rPr>
          <w:rFonts w:hint="eastAsia" w:eastAsia="仿宋_GB2312"/>
          <w:sz w:val="32"/>
          <w:szCs w:val="32"/>
        </w:rPr>
      </w:pPr>
      <w:r>
        <w:rPr>
          <w:rFonts w:hint="eastAsia" w:eastAsia="仿宋_GB2312"/>
          <w:sz w:val="32"/>
          <w:szCs w:val="32"/>
        </w:rPr>
        <w:t>1.基本支出情况</w:t>
      </w:r>
    </w:p>
    <w:p>
      <w:pPr>
        <w:adjustRightInd w:val="0"/>
        <w:snapToGrid w:val="0"/>
        <w:spacing w:line="600" w:lineRule="exact"/>
        <w:ind w:firstLine="640" w:firstLineChars="200"/>
        <w:rPr>
          <w:rFonts w:hint="eastAsia" w:ascii="宋体" w:hAnsi="宋体"/>
          <w:color w:val="auto"/>
          <w:sz w:val="32"/>
          <w:szCs w:val="32"/>
        </w:rPr>
      </w:pPr>
      <w:r>
        <w:rPr>
          <w:rFonts w:hint="eastAsia" w:ascii="宋体" w:hAnsi="宋体" w:cs="新宋体"/>
          <w:color w:val="auto"/>
          <w:sz w:val="32"/>
          <w:szCs w:val="32"/>
          <w:shd w:val="clear" w:color="auto" w:fill="FFFFFF"/>
        </w:rPr>
        <w:t>20</w:t>
      </w:r>
      <w:r>
        <w:rPr>
          <w:rFonts w:hint="eastAsia" w:ascii="宋体" w:hAnsi="宋体" w:cs="新宋体"/>
          <w:color w:val="auto"/>
          <w:sz w:val="32"/>
          <w:szCs w:val="32"/>
          <w:shd w:val="clear" w:color="auto" w:fill="FFFFFF"/>
          <w:lang w:val="en-US" w:eastAsia="zh-CN"/>
        </w:rPr>
        <w:t>23</w:t>
      </w:r>
      <w:r>
        <w:rPr>
          <w:rFonts w:hint="eastAsia" w:ascii="宋体" w:hAnsi="宋体" w:cs="新宋体"/>
          <w:color w:val="auto"/>
          <w:sz w:val="32"/>
          <w:szCs w:val="32"/>
          <w:shd w:val="clear" w:color="auto" w:fill="FFFFFF"/>
        </w:rPr>
        <w:t>年</w:t>
      </w:r>
      <w:r>
        <w:rPr>
          <w:rFonts w:hint="eastAsia" w:ascii="宋体" w:hAnsi="宋体" w:cs="新宋体"/>
          <w:color w:val="auto"/>
          <w:sz w:val="32"/>
          <w:szCs w:val="32"/>
          <w:shd w:val="clear" w:color="auto" w:fill="FFFFFF"/>
          <w:lang w:val="en-US" w:eastAsia="zh-CN"/>
        </w:rPr>
        <w:t>本部门基本</w:t>
      </w:r>
      <w:r>
        <w:rPr>
          <w:rFonts w:hint="eastAsia" w:ascii="宋体" w:hAnsi="宋体" w:cs="新宋体"/>
          <w:color w:val="auto"/>
          <w:sz w:val="32"/>
          <w:szCs w:val="32"/>
          <w:shd w:val="clear" w:color="auto" w:fill="FFFFFF"/>
        </w:rPr>
        <w:t>支出</w:t>
      </w:r>
      <w:r>
        <w:rPr>
          <w:rFonts w:hint="eastAsia" w:ascii="宋体" w:hAnsi="宋体" w:cs="新宋体"/>
          <w:color w:val="auto"/>
          <w:sz w:val="32"/>
          <w:szCs w:val="32"/>
          <w:shd w:val="clear" w:color="auto" w:fill="FFFFFF"/>
          <w:lang w:val="en-US" w:eastAsia="zh-CN"/>
        </w:rPr>
        <w:t>82.16</w:t>
      </w:r>
      <w:r>
        <w:rPr>
          <w:rFonts w:hint="eastAsia" w:ascii="宋体" w:hAnsi="宋体" w:cs="新宋体"/>
          <w:color w:val="auto"/>
          <w:sz w:val="32"/>
          <w:szCs w:val="32"/>
          <w:shd w:val="clear" w:color="auto" w:fill="FFFFFF"/>
        </w:rPr>
        <w:t>万元，其中工资福利支出</w:t>
      </w:r>
      <w:r>
        <w:rPr>
          <w:rFonts w:hint="eastAsia" w:ascii="宋体" w:hAnsi="宋体" w:cs="新宋体"/>
          <w:color w:val="auto"/>
          <w:sz w:val="32"/>
          <w:szCs w:val="32"/>
          <w:shd w:val="clear" w:color="auto" w:fill="FFFFFF"/>
          <w:lang w:val="en-US" w:eastAsia="zh-CN"/>
        </w:rPr>
        <w:t>64.97</w:t>
      </w:r>
      <w:r>
        <w:rPr>
          <w:rFonts w:hint="eastAsia" w:ascii="宋体" w:hAnsi="宋体" w:cs="新宋体"/>
          <w:color w:val="auto"/>
          <w:sz w:val="32"/>
          <w:szCs w:val="32"/>
          <w:shd w:val="clear" w:color="auto" w:fill="FFFFFF"/>
        </w:rPr>
        <w:t>万元,商品和服务支出</w:t>
      </w:r>
      <w:r>
        <w:rPr>
          <w:rFonts w:hint="eastAsia" w:ascii="宋体" w:hAnsi="宋体" w:cs="新宋体"/>
          <w:color w:val="auto"/>
          <w:sz w:val="32"/>
          <w:szCs w:val="32"/>
          <w:shd w:val="clear" w:color="auto" w:fill="FFFFFF"/>
          <w:lang w:val="en-US" w:eastAsia="zh-CN"/>
        </w:rPr>
        <w:t>9.81</w:t>
      </w:r>
      <w:r>
        <w:rPr>
          <w:rFonts w:hint="eastAsia" w:ascii="宋体" w:hAnsi="宋体" w:cs="新宋体"/>
          <w:color w:val="auto"/>
          <w:sz w:val="32"/>
          <w:szCs w:val="32"/>
          <w:shd w:val="clear" w:color="auto" w:fill="FFFFFF"/>
        </w:rPr>
        <w:t xml:space="preserve">万元 </w:t>
      </w:r>
      <w:r>
        <w:rPr>
          <w:rFonts w:hint="eastAsia" w:ascii="宋体" w:hAnsi="宋体" w:cs="新宋体"/>
          <w:color w:val="auto"/>
          <w:sz w:val="32"/>
          <w:szCs w:val="32"/>
          <w:shd w:val="clear" w:color="auto" w:fill="FFFFFF"/>
          <w:lang w:eastAsia="zh-CN"/>
        </w:rPr>
        <w:t>，</w:t>
      </w:r>
      <w:r>
        <w:rPr>
          <w:rFonts w:hint="eastAsia" w:ascii="宋体" w:hAnsi="宋体" w:cs="新宋体"/>
          <w:color w:val="auto"/>
          <w:sz w:val="32"/>
          <w:szCs w:val="32"/>
          <w:shd w:val="clear" w:color="auto" w:fill="FFFFFF"/>
        </w:rPr>
        <w:t>对个人和家庭的补助</w:t>
      </w:r>
      <w:r>
        <w:rPr>
          <w:rFonts w:hint="eastAsia" w:ascii="宋体" w:hAnsi="宋体" w:cs="新宋体"/>
          <w:color w:val="auto"/>
          <w:sz w:val="32"/>
          <w:szCs w:val="32"/>
          <w:shd w:val="clear" w:color="auto" w:fill="FFFFFF"/>
          <w:lang w:val="en-US" w:eastAsia="zh-CN"/>
        </w:rPr>
        <w:t>7.37万</w:t>
      </w:r>
      <w:r>
        <w:rPr>
          <w:rFonts w:ascii="宋体" w:hAnsi="宋体" w:cs="新宋体"/>
          <w:color w:val="auto"/>
          <w:sz w:val="32"/>
          <w:szCs w:val="32"/>
          <w:shd w:val="clear" w:color="auto" w:fill="FFFFFF"/>
        </w:rPr>
        <w:t>。</w:t>
      </w:r>
      <w:r>
        <w:rPr>
          <w:rFonts w:hint="eastAsia" w:ascii="宋体" w:hAnsi="宋体" w:cs="新宋体"/>
          <w:color w:val="auto"/>
          <w:sz w:val="32"/>
          <w:szCs w:val="32"/>
          <w:shd w:val="clear" w:color="auto" w:fill="FFFFFF"/>
        </w:rPr>
        <w:t>“三</w:t>
      </w:r>
      <w:r>
        <w:rPr>
          <w:rFonts w:ascii="宋体" w:hAnsi="宋体" w:cs="新宋体"/>
          <w:color w:val="auto"/>
          <w:sz w:val="32"/>
          <w:szCs w:val="32"/>
          <w:shd w:val="clear" w:color="auto" w:fill="FFFFFF"/>
        </w:rPr>
        <w:t>公</w:t>
      </w:r>
      <w:r>
        <w:rPr>
          <w:rFonts w:hint="eastAsia" w:ascii="宋体" w:hAnsi="宋体" w:cs="新宋体"/>
          <w:color w:val="auto"/>
          <w:sz w:val="32"/>
          <w:szCs w:val="32"/>
          <w:shd w:val="clear" w:color="auto" w:fill="FFFFFF"/>
        </w:rPr>
        <w:t>”经</w:t>
      </w:r>
      <w:r>
        <w:rPr>
          <w:rFonts w:ascii="宋体" w:hAnsi="宋体" w:cs="新宋体"/>
          <w:color w:val="auto"/>
          <w:sz w:val="32"/>
          <w:szCs w:val="32"/>
          <w:shd w:val="clear" w:color="auto" w:fill="FFFFFF"/>
        </w:rPr>
        <w:t>费</w:t>
      </w:r>
      <w:r>
        <w:rPr>
          <w:rFonts w:hint="eastAsia" w:ascii="宋体" w:hAnsi="宋体" w:cs="新宋体"/>
          <w:color w:val="auto"/>
          <w:sz w:val="32"/>
          <w:szCs w:val="32"/>
          <w:shd w:val="clear" w:color="auto" w:fill="FFFFFF"/>
          <w:lang w:val="en-US" w:eastAsia="zh-CN"/>
        </w:rPr>
        <w:t>总额3000元，</w:t>
      </w:r>
      <w:r>
        <w:rPr>
          <w:rFonts w:hint="eastAsia" w:ascii="宋体" w:hAnsi="宋体" w:cs="新宋体"/>
          <w:color w:val="auto"/>
          <w:sz w:val="32"/>
          <w:szCs w:val="32"/>
          <w:shd w:val="clear" w:color="auto" w:fill="FFFFFF"/>
        </w:rPr>
        <w:t>“三</w:t>
      </w:r>
      <w:r>
        <w:rPr>
          <w:rFonts w:ascii="宋体" w:hAnsi="宋体" w:cs="新宋体"/>
          <w:color w:val="auto"/>
          <w:sz w:val="32"/>
          <w:szCs w:val="32"/>
          <w:shd w:val="clear" w:color="auto" w:fill="FFFFFF"/>
        </w:rPr>
        <w:t>公</w:t>
      </w:r>
      <w:r>
        <w:rPr>
          <w:rFonts w:hint="eastAsia" w:ascii="宋体" w:hAnsi="宋体" w:cs="新宋体"/>
          <w:color w:val="auto"/>
          <w:sz w:val="32"/>
          <w:szCs w:val="32"/>
          <w:shd w:val="clear" w:color="auto" w:fill="FFFFFF"/>
        </w:rPr>
        <w:t>”经</w:t>
      </w:r>
      <w:r>
        <w:rPr>
          <w:rFonts w:ascii="宋体" w:hAnsi="宋体" w:cs="新宋体"/>
          <w:color w:val="auto"/>
          <w:sz w:val="32"/>
          <w:szCs w:val="32"/>
          <w:shd w:val="clear" w:color="auto" w:fill="FFFFFF"/>
        </w:rPr>
        <w:t>费严格控制，比上年有所下降。</w:t>
      </w:r>
    </w:p>
    <w:p>
      <w:pPr>
        <w:widowControl/>
        <w:spacing w:line="600" w:lineRule="exact"/>
        <w:ind w:firstLine="645"/>
        <w:jc w:val="left"/>
        <w:rPr>
          <w:rFonts w:hint="eastAsia" w:eastAsia="仿宋_GB2312"/>
          <w:sz w:val="32"/>
          <w:szCs w:val="32"/>
        </w:rPr>
      </w:pPr>
    </w:p>
    <w:p>
      <w:pPr>
        <w:widowControl/>
        <w:spacing w:line="600" w:lineRule="exact"/>
        <w:ind w:firstLine="645"/>
        <w:jc w:val="left"/>
        <w:rPr>
          <w:rFonts w:hint="eastAsia" w:eastAsia="仿宋_GB2312"/>
          <w:sz w:val="32"/>
          <w:szCs w:val="32"/>
        </w:rPr>
      </w:pPr>
      <w:r>
        <w:rPr>
          <w:rFonts w:hint="eastAsia" w:eastAsia="仿宋_GB2312"/>
          <w:sz w:val="32"/>
          <w:szCs w:val="32"/>
        </w:rPr>
        <w:t>2.项目支出情况</w:t>
      </w:r>
    </w:p>
    <w:p>
      <w:pPr>
        <w:adjustRightInd w:val="0"/>
        <w:snapToGrid w:val="0"/>
        <w:spacing w:line="600" w:lineRule="exact"/>
        <w:ind w:firstLine="640" w:firstLineChars="200"/>
        <w:rPr>
          <w:rFonts w:hint="eastAsia" w:ascii="宋体" w:hAnsi="宋体" w:cs="新宋体"/>
          <w:color w:val="auto"/>
          <w:sz w:val="32"/>
          <w:szCs w:val="32"/>
          <w:shd w:val="clear" w:color="auto" w:fill="FFFFFF"/>
          <w:lang w:eastAsia="zh-CN"/>
        </w:rPr>
      </w:pPr>
      <w:r>
        <w:rPr>
          <w:rFonts w:hint="eastAsia" w:ascii="宋体" w:hAnsi="宋体"/>
          <w:sz w:val="32"/>
          <w:szCs w:val="32"/>
        </w:rPr>
        <w:t>本单位</w:t>
      </w:r>
      <w:r>
        <w:rPr>
          <w:rFonts w:hint="eastAsia" w:ascii="宋体" w:hAnsi="宋体" w:cs="新宋体"/>
          <w:color w:val="auto"/>
          <w:sz w:val="32"/>
          <w:szCs w:val="32"/>
          <w:shd w:val="clear" w:color="auto" w:fill="FFFFFF"/>
        </w:rPr>
        <w:t>项目</w:t>
      </w:r>
      <w:r>
        <w:rPr>
          <w:rFonts w:ascii="宋体" w:hAnsi="宋体" w:cs="新宋体"/>
          <w:color w:val="auto"/>
          <w:sz w:val="32"/>
          <w:szCs w:val="32"/>
          <w:shd w:val="clear" w:color="auto" w:fill="FFFFFF"/>
        </w:rPr>
        <w:t>支出</w:t>
      </w:r>
      <w:r>
        <w:rPr>
          <w:rFonts w:hint="eastAsia" w:ascii="宋体" w:hAnsi="宋体" w:cs="新宋体"/>
          <w:color w:val="auto"/>
          <w:sz w:val="32"/>
          <w:szCs w:val="32"/>
          <w:shd w:val="clear" w:color="auto" w:fill="FFFFFF"/>
          <w:lang w:val="en-US" w:eastAsia="zh-CN"/>
        </w:rPr>
        <w:t>0</w:t>
      </w:r>
      <w:r>
        <w:rPr>
          <w:rFonts w:hint="eastAsia" w:ascii="宋体" w:hAnsi="宋体" w:cs="新宋体"/>
          <w:color w:val="auto"/>
          <w:sz w:val="32"/>
          <w:szCs w:val="32"/>
          <w:shd w:val="clear" w:color="auto" w:fill="FFFFFF"/>
        </w:rPr>
        <w:t>万</w:t>
      </w:r>
      <w:r>
        <w:rPr>
          <w:rFonts w:ascii="宋体" w:hAnsi="宋体" w:cs="新宋体"/>
          <w:color w:val="auto"/>
          <w:sz w:val="32"/>
          <w:szCs w:val="32"/>
          <w:shd w:val="clear" w:color="auto" w:fill="FFFFFF"/>
        </w:rPr>
        <w:t>元</w:t>
      </w:r>
      <w:r>
        <w:rPr>
          <w:rFonts w:hint="eastAsia" w:ascii="宋体" w:hAnsi="宋体" w:cs="新宋体"/>
          <w:color w:val="auto"/>
          <w:sz w:val="32"/>
          <w:szCs w:val="32"/>
          <w:shd w:val="clear" w:color="auto" w:fill="FFFFFF"/>
          <w:lang w:eastAsia="zh-CN"/>
        </w:rPr>
        <w:t>。</w:t>
      </w:r>
    </w:p>
    <w:p>
      <w:pPr>
        <w:numPr>
          <w:ilvl w:val="0"/>
          <w:numId w:val="2"/>
        </w:numPr>
        <w:adjustRightInd w:val="0"/>
        <w:snapToGrid w:val="0"/>
        <w:spacing w:line="600" w:lineRule="exact"/>
        <w:ind w:firstLine="640" w:firstLineChars="200"/>
        <w:rPr>
          <w:rFonts w:hint="eastAsia" w:ascii="宋体" w:hAnsi="宋体"/>
          <w:color w:val="auto"/>
          <w:sz w:val="32"/>
          <w:szCs w:val="32"/>
        </w:rPr>
      </w:pPr>
      <w:r>
        <w:rPr>
          <w:rFonts w:hint="eastAsia" w:ascii="宋体" w:hAnsi="宋体" w:cs="新宋体"/>
          <w:color w:val="auto"/>
          <w:sz w:val="32"/>
          <w:szCs w:val="32"/>
          <w:shd w:val="clear" w:color="auto" w:fill="FFFFFF"/>
        </w:rPr>
        <w:t>“三</w:t>
      </w:r>
      <w:r>
        <w:rPr>
          <w:rFonts w:ascii="宋体" w:hAnsi="宋体" w:cs="新宋体"/>
          <w:color w:val="auto"/>
          <w:sz w:val="32"/>
          <w:szCs w:val="32"/>
          <w:shd w:val="clear" w:color="auto" w:fill="FFFFFF"/>
        </w:rPr>
        <w:t>公</w:t>
      </w:r>
      <w:r>
        <w:rPr>
          <w:rFonts w:hint="eastAsia" w:ascii="宋体" w:hAnsi="宋体" w:cs="新宋体"/>
          <w:color w:val="auto"/>
          <w:sz w:val="32"/>
          <w:szCs w:val="32"/>
          <w:shd w:val="clear" w:color="auto" w:fill="FFFFFF"/>
        </w:rPr>
        <w:t>”经</w:t>
      </w:r>
      <w:r>
        <w:rPr>
          <w:rFonts w:ascii="宋体" w:hAnsi="宋体" w:cs="新宋体"/>
          <w:color w:val="auto"/>
          <w:sz w:val="32"/>
          <w:szCs w:val="32"/>
          <w:shd w:val="clear" w:color="auto" w:fill="FFFFFF"/>
        </w:rPr>
        <w:t>费</w:t>
      </w:r>
      <w:r>
        <w:rPr>
          <w:rFonts w:hint="eastAsia" w:ascii="宋体" w:hAnsi="宋体" w:cs="新宋体"/>
          <w:color w:val="auto"/>
          <w:sz w:val="32"/>
          <w:szCs w:val="32"/>
          <w:shd w:val="clear" w:color="auto" w:fill="FFFFFF"/>
          <w:lang w:val="en-US" w:eastAsia="zh-CN"/>
        </w:rPr>
        <w:t>使用和管理情况</w:t>
      </w:r>
    </w:p>
    <w:p>
      <w:pPr>
        <w:adjustRightInd w:val="0"/>
        <w:snapToGrid w:val="0"/>
        <w:spacing w:line="600" w:lineRule="exact"/>
        <w:ind w:firstLine="640" w:firstLineChars="200"/>
        <w:rPr>
          <w:rFonts w:hint="eastAsia" w:ascii="宋体" w:hAnsi="宋体"/>
          <w:color w:val="auto"/>
          <w:sz w:val="32"/>
          <w:szCs w:val="32"/>
        </w:rPr>
      </w:pPr>
      <w:r>
        <w:rPr>
          <w:rFonts w:hint="eastAsia" w:ascii="宋体" w:hAnsi="宋体" w:cs="新宋体"/>
          <w:color w:val="auto"/>
          <w:sz w:val="32"/>
          <w:szCs w:val="32"/>
          <w:shd w:val="clear" w:color="auto" w:fill="FFFFFF"/>
          <w:lang w:val="en-US" w:eastAsia="zh-CN"/>
        </w:rPr>
        <w:t>2023年</w:t>
      </w:r>
      <w:r>
        <w:rPr>
          <w:rFonts w:hint="eastAsia" w:ascii="宋体" w:hAnsi="宋体" w:cs="新宋体"/>
          <w:color w:val="auto"/>
          <w:sz w:val="32"/>
          <w:szCs w:val="32"/>
          <w:shd w:val="clear" w:color="auto" w:fill="FFFFFF"/>
        </w:rPr>
        <w:t>“三</w:t>
      </w:r>
      <w:r>
        <w:rPr>
          <w:rFonts w:ascii="宋体" w:hAnsi="宋体" w:cs="新宋体"/>
          <w:color w:val="auto"/>
          <w:sz w:val="32"/>
          <w:szCs w:val="32"/>
          <w:shd w:val="clear" w:color="auto" w:fill="FFFFFF"/>
        </w:rPr>
        <w:t>公</w:t>
      </w:r>
      <w:r>
        <w:rPr>
          <w:rFonts w:hint="eastAsia" w:ascii="宋体" w:hAnsi="宋体" w:cs="新宋体"/>
          <w:color w:val="auto"/>
          <w:sz w:val="32"/>
          <w:szCs w:val="32"/>
          <w:shd w:val="clear" w:color="auto" w:fill="FFFFFF"/>
        </w:rPr>
        <w:t>”经</w:t>
      </w:r>
      <w:r>
        <w:rPr>
          <w:rFonts w:ascii="宋体" w:hAnsi="宋体" w:cs="新宋体"/>
          <w:color w:val="auto"/>
          <w:sz w:val="32"/>
          <w:szCs w:val="32"/>
          <w:shd w:val="clear" w:color="auto" w:fill="FFFFFF"/>
        </w:rPr>
        <w:t>费</w:t>
      </w:r>
      <w:r>
        <w:rPr>
          <w:rFonts w:hint="eastAsia" w:ascii="宋体" w:hAnsi="宋体" w:cs="新宋体"/>
          <w:color w:val="auto"/>
          <w:sz w:val="32"/>
          <w:szCs w:val="32"/>
          <w:shd w:val="clear" w:color="auto" w:fill="FFFFFF"/>
          <w:lang w:val="en-US" w:eastAsia="zh-CN"/>
        </w:rPr>
        <w:t>总额3000元，</w:t>
      </w:r>
      <w:r>
        <w:rPr>
          <w:rFonts w:hint="eastAsia" w:ascii="宋体" w:hAnsi="宋体" w:cs="新宋体"/>
          <w:color w:val="auto"/>
          <w:sz w:val="32"/>
          <w:szCs w:val="32"/>
          <w:shd w:val="clear" w:color="auto" w:fill="FFFFFF"/>
        </w:rPr>
        <w:t>“三</w:t>
      </w:r>
      <w:r>
        <w:rPr>
          <w:rFonts w:ascii="宋体" w:hAnsi="宋体" w:cs="新宋体"/>
          <w:color w:val="auto"/>
          <w:sz w:val="32"/>
          <w:szCs w:val="32"/>
          <w:shd w:val="clear" w:color="auto" w:fill="FFFFFF"/>
        </w:rPr>
        <w:t>公</w:t>
      </w:r>
      <w:r>
        <w:rPr>
          <w:rFonts w:hint="eastAsia" w:ascii="宋体" w:hAnsi="宋体" w:cs="新宋体"/>
          <w:color w:val="auto"/>
          <w:sz w:val="32"/>
          <w:szCs w:val="32"/>
          <w:shd w:val="clear" w:color="auto" w:fill="FFFFFF"/>
        </w:rPr>
        <w:t>”经</w:t>
      </w:r>
      <w:r>
        <w:rPr>
          <w:rFonts w:ascii="宋体" w:hAnsi="宋体" w:cs="新宋体"/>
          <w:color w:val="auto"/>
          <w:sz w:val="32"/>
          <w:szCs w:val="32"/>
          <w:shd w:val="clear" w:color="auto" w:fill="FFFFFF"/>
        </w:rPr>
        <w:t>费严格控制，比</w:t>
      </w:r>
      <w:r>
        <w:rPr>
          <w:rFonts w:hint="eastAsia" w:ascii="宋体" w:hAnsi="宋体" w:cs="新宋体"/>
          <w:color w:val="auto"/>
          <w:sz w:val="32"/>
          <w:szCs w:val="32"/>
          <w:shd w:val="clear" w:color="auto" w:fill="FFFFFF"/>
          <w:lang w:val="en-US" w:eastAsia="zh-CN"/>
        </w:rPr>
        <w:t>2022年3300元</w:t>
      </w:r>
      <w:r>
        <w:rPr>
          <w:rFonts w:ascii="宋体" w:hAnsi="宋体" w:cs="新宋体"/>
          <w:color w:val="auto"/>
          <w:sz w:val="32"/>
          <w:szCs w:val="32"/>
          <w:shd w:val="clear" w:color="auto" w:fill="FFFFFF"/>
        </w:rPr>
        <w:t>有所下降。</w:t>
      </w:r>
    </w:p>
    <w:p>
      <w:pPr>
        <w:adjustRightInd w:val="0"/>
        <w:snapToGrid w:val="0"/>
        <w:spacing w:line="600" w:lineRule="exact"/>
        <w:ind w:firstLine="640" w:firstLineChars="200"/>
        <w:rPr>
          <w:rFonts w:hint="default" w:ascii="宋体" w:hAnsi="宋体" w:cs="新宋体"/>
          <w:color w:val="auto"/>
          <w:sz w:val="32"/>
          <w:szCs w:val="32"/>
          <w:shd w:val="clear" w:color="auto" w:fill="FFFFFF"/>
          <w:lang w:val="en-US" w:eastAsia="zh-CN"/>
        </w:rPr>
      </w:pPr>
    </w:p>
    <w:p>
      <w:pPr>
        <w:widowControl/>
        <w:numPr>
          <w:ilvl w:val="0"/>
          <w:numId w:val="2"/>
        </w:numPr>
        <w:spacing w:line="600" w:lineRule="exact"/>
        <w:ind w:left="0" w:leftChars="0" w:firstLine="643" w:firstLineChars="200"/>
        <w:jc w:val="left"/>
        <w:rPr>
          <w:rFonts w:hint="eastAsia" w:ascii="楷体" w:hAnsi="楷体" w:eastAsia="楷体" w:cs="楷体"/>
          <w:b/>
          <w:bCs/>
          <w:sz w:val="32"/>
          <w:szCs w:val="32"/>
        </w:rPr>
      </w:pPr>
      <w:r>
        <w:rPr>
          <w:rFonts w:hint="eastAsia" w:ascii="楷体" w:hAnsi="楷体" w:eastAsia="楷体" w:cs="楷体"/>
          <w:b/>
          <w:bCs/>
          <w:sz w:val="32"/>
          <w:szCs w:val="32"/>
        </w:rPr>
        <w:t>资金结转和结余情况</w:t>
      </w:r>
    </w:p>
    <w:p>
      <w:pPr>
        <w:widowControl/>
        <w:numPr>
          <w:ilvl w:val="0"/>
          <w:numId w:val="0"/>
        </w:numPr>
        <w:spacing w:line="600" w:lineRule="exact"/>
        <w:jc w:val="left"/>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2023年本期盈余-3413.88元.</w:t>
      </w:r>
    </w:p>
    <w:p>
      <w:pPr>
        <w:widowControl/>
        <w:numPr>
          <w:ilvl w:val="0"/>
          <w:numId w:val="2"/>
        </w:numPr>
        <w:shd w:val="clear" w:color="auto" w:fill="FFFFFF"/>
        <w:spacing w:line="480" w:lineRule="auto"/>
        <w:ind w:left="0" w:leftChars="0" w:firstLine="643" w:firstLineChars="200"/>
        <w:rPr>
          <w:rFonts w:hint="eastAsia" w:ascii="楷体" w:hAnsi="楷体" w:eastAsia="楷体" w:cs="楷体"/>
          <w:b/>
          <w:bCs/>
          <w:sz w:val="32"/>
          <w:szCs w:val="32"/>
        </w:rPr>
      </w:pPr>
      <w:r>
        <w:rPr>
          <w:rFonts w:hint="eastAsia" w:ascii="楷体" w:hAnsi="楷体" w:eastAsia="楷体" w:cs="楷体"/>
          <w:b/>
          <w:bCs/>
          <w:sz w:val="32"/>
          <w:szCs w:val="32"/>
        </w:rPr>
        <w:t>部门整体支出管理与制度建设情况</w:t>
      </w:r>
    </w:p>
    <w:p>
      <w:pPr>
        <w:widowControl/>
        <w:numPr>
          <w:ilvl w:val="0"/>
          <w:numId w:val="0"/>
        </w:numPr>
        <w:shd w:val="clear" w:color="auto" w:fill="FFFFFF"/>
        <w:spacing w:line="480" w:lineRule="auto"/>
        <w:rPr>
          <w:rFonts w:hint="eastAsia" w:ascii="宋体" w:hAnsi="宋体" w:cs="宋体"/>
          <w:color w:val="333333"/>
          <w:kern w:val="0"/>
          <w:sz w:val="32"/>
          <w:szCs w:val="32"/>
        </w:rPr>
      </w:pPr>
      <w:r>
        <w:rPr>
          <w:rFonts w:hint="eastAsia" w:ascii="宋体" w:hAnsi="宋体" w:cs="宋体"/>
          <w:color w:val="333333"/>
          <w:kern w:val="0"/>
          <w:sz w:val="32"/>
          <w:szCs w:val="32"/>
        </w:rPr>
        <w:t>1. 预算执行方面，支出总额控制在预算总额以内。</w:t>
      </w:r>
    </w:p>
    <w:p>
      <w:pPr>
        <w:widowControl/>
        <w:shd w:val="clear" w:color="auto" w:fill="FFFFFF"/>
        <w:spacing w:line="480" w:lineRule="auto"/>
        <w:ind w:firstLine="480"/>
        <w:rPr>
          <w:rFonts w:hint="eastAsia" w:ascii="宋体" w:hAnsi="宋体" w:cs="宋体"/>
          <w:color w:val="333333"/>
          <w:kern w:val="0"/>
          <w:sz w:val="32"/>
          <w:szCs w:val="32"/>
        </w:rPr>
      </w:pPr>
      <w:r>
        <w:rPr>
          <w:rFonts w:hint="eastAsia" w:ascii="宋体" w:hAnsi="宋体" w:cs="宋体"/>
          <w:color w:val="333333"/>
          <w:kern w:val="0"/>
          <w:sz w:val="32"/>
          <w:szCs w:val="32"/>
        </w:rPr>
        <w:t>2、预算管理方面，制度执行总体较为有效。</w:t>
      </w:r>
    </w:p>
    <w:p>
      <w:pPr>
        <w:widowControl/>
        <w:shd w:val="clear" w:color="auto" w:fill="FFFFFF"/>
        <w:spacing w:line="480" w:lineRule="auto"/>
        <w:ind w:firstLine="480"/>
        <w:rPr>
          <w:rFonts w:hint="eastAsia" w:ascii="宋体" w:hAnsi="宋体" w:cs="宋体"/>
          <w:color w:val="333333"/>
          <w:kern w:val="0"/>
          <w:sz w:val="32"/>
          <w:szCs w:val="32"/>
        </w:rPr>
      </w:pPr>
      <w:r>
        <w:rPr>
          <w:rFonts w:hint="eastAsia" w:ascii="宋体" w:hAnsi="宋体" w:cs="宋体"/>
          <w:color w:val="333333"/>
          <w:kern w:val="0"/>
          <w:sz w:val="32"/>
          <w:szCs w:val="32"/>
        </w:rPr>
        <w:t>3、资产管理方面，建立了资产管理制度，定期进行了盘点和资产清理，总体执行较好。</w:t>
      </w:r>
    </w:p>
    <w:p>
      <w:pPr>
        <w:widowControl/>
        <w:shd w:val="clear" w:color="auto" w:fill="FFFFFF"/>
        <w:spacing w:line="480" w:lineRule="auto"/>
        <w:ind w:firstLine="480"/>
        <w:rPr>
          <w:rFonts w:hint="eastAsia" w:ascii="宋体" w:hAnsi="宋体" w:cs="宋体"/>
          <w:color w:val="333333"/>
          <w:kern w:val="0"/>
          <w:sz w:val="32"/>
          <w:szCs w:val="32"/>
        </w:rPr>
      </w:pPr>
      <w:r>
        <w:rPr>
          <w:rFonts w:hint="eastAsia" w:ascii="宋体" w:hAnsi="宋体" w:cs="宋体"/>
          <w:color w:val="333333"/>
          <w:kern w:val="0"/>
          <w:sz w:val="32"/>
          <w:szCs w:val="32"/>
          <w:lang w:val="en-US" w:eastAsia="zh-CN"/>
        </w:rPr>
        <w:t>4.</w:t>
      </w:r>
      <w:r>
        <w:rPr>
          <w:rFonts w:hint="eastAsia" w:ascii="宋体" w:hAnsi="宋体" w:cs="宋体"/>
          <w:color w:val="333333"/>
          <w:kern w:val="0"/>
          <w:sz w:val="32"/>
          <w:szCs w:val="32"/>
        </w:rPr>
        <w:t>预算安排的基本支出保障了正常的工作运转，在执行上是严格遵守各项财经纪律的。</w:t>
      </w:r>
    </w:p>
    <w:p>
      <w:pPr>
        <w:widowControl/>
        <w:spacing w:line="600" w:lineRule="exact"/>
        <w:ind w:firstLine="645"/>
        <w:jc w:val="left"/>
        <w:rPr>
          <w:rFonts w:hint="eastAsia" w:ascii="楷体" w:hAnsi="楷体" w:eastAsia="楷体" w:cs="楷体"/>
          <w:b/>
          <w:bCs/>
          <w:sz w:val="32"/>
          <w:szCs w:val="32"/>
        </w:rPr>
      </w:pPr>
    </w:p>
    <w:p>
      <w:pPr>
        <w:pStyle w:val="5"/>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320" w:firstLineChars="100"/>
        <w:textAlignment w:val="auto"/>
        <w:rPr>
          <w:rFonts w:hint="eastAsia" w:eastAsia="黑体"/>
          <w:sz w:val="32"/>
          <w:szCs w:val="32"/>
        </w:rPr>
      </w:pPr>
      <w:r>
        <w:rPr>
          <w:rFonts w:hint="eastAsia" w:eastAsia="黑体"/>
          <w:sz w:val="32"/>
          <w:szCs w:val="32"/>
        </w:rPr>
        <w:t>政府性基金预算支出情况</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100" w:right="0" w:rightChars="0"/>
        <w:textAlignment w:val="auto"/>
        <w:rPr>
          <w:rFonts w:hint="eastAsia" w:ascii="黑体" w:hAnsi="黑体" w:eastAsia="黑体" w:cs="黑体"/>
          <w:i w:val="0"/>
          <w:iCs w:val="0"/>
          <w:caps w:val="0"/>
          <w:color w:val="000000"/>
          <w:spacing w:val="0"/>
          <w:sz w:val="32"/>
          <w:szCs w:val="32"/>
          <w:lang w:eastAsia="zh-CN"/>
        </w:rPr>
      </w:pPr>
      <w:r>
        <w:rPr>
          <w:rFonts w:hint="eastAsia" w:ascii="黑体" w:hAnsi="黑体" w:eastAsia="黑体" w:cs="黑体"/>
          <w:i w:val="0"/>
          <w:iCs w:val="0"/>
          <w:caps w:val="0"/>
          <w:color w:val="000000"/>
          <w:spacing w:val="0"/>
          <w:sz w:val="32"/>
          <w:szCs w:val="32"/>
          <w:shd w:val="clear" w:fill="FFFFFF"/>
          <w:lang w:val="en-US" w:eastAsia="zh-CN"/>
        </w:rPr>
        <w:t>2023年</w:t>
      </w:r>
      <w:r>
        <w:rPr>
          <w:rFonts w:hint="eastAsia" w:ascii="黑体" w:hAnsi="黑体" w:eastAsia="黑体" w:cs="黑体"/>
          <w:i w:val="0"/>
          <w:iCs w:val="0"/>
          <w:caps w:val="0"/>
          <w:color w:val="000000"/>
          <w:spacing w:val="0"/>
          <w:sz w:val="32"/>
          <w:szCs w:val="32"/>
          <w:shd w:val="clear" w:fill="FFFFFF"/>
          <w:lang w:eastAsia="zh-CN"/>
        </w:rPr>
        <w:t>没有</w:t>
      </w:r>
      <w:r>
        <w:rPr>
          <w:rFonts w:hint="eastAsia" w:ascii="黑体" w:hAnsi="黑体" w:eastAsia="黑体" w:cs="黑体"/>
          <w:i w:val="0"/>
          <w:iCs w:val="0"/>
          <w:caps w:val="0"/>
          <w:color w:val="000000"/>
          <w:spacing w:val="0"/>
          <w:sz w:val="32"/>
          <w:szCs w:val="32"/>
          <w:shd w:val="clear" w:fill="FFFFFF"/>
          <w:lang w:val="en-US" w:eastAsia="zh-CN"/>
        </w:rPr>
        <w:t>使用</w:t>
      </w:r>
      <w:r>
        <w:rPr>
          <w:rFonts w:hint="eastAsia" w:ascii="黑体" w:hAnsi="黑体" w:eastAsia="黑体" w:cs="黑体"/>
          <w:i w:val="0"/>
          <w:iCs w:val="0"/>
          <w:caps w:val="0"/>
          <w:color w:val="000000"/>
          <w:spacing w:val="0"/>
          <w:sz w:val="32"/>
          <w:szCs w:val="32"/>
          <w:shd w:val="clear" w:fill="FFFFFF"/>
        </w:rPr>
        <w:t>政府性基金预算</w:t>
      </w:r>
      <w:r>
        <w:rPr>
          <w:rFonts w:hint="eastAsia" w:ascii="黑体" w:hAnsi="黑体" w:eastAsia="黑体" w:cs="黑体"/>
          <w:i w:val="0"/>
          <w:iCs w:val="0"/>
          <w:caps w:val="0"/>
          <w:color w:val="000000"/>
          <w:spacing w:val="0"/>
          <w:sz w:val="32"/>
          <w:szCs w:val="32"/>
          <w:shd w:val="clear" w:fill="FFFFFF"/>
          <w:lang w:val="en-US" w:eastAsia="zh-CN"/>
        </w:rPr>
        <w:t>拨款安排的</w:t>
      </w:r>
      <w:r>
        <w:rPr>
          <w:rFonts w:hint="eastAsia" w:ascii="黑体" w:hAnsi="黑体" w:eastAsia="黑体" w:cs="黑体"/>
          <w:i w:val="0"/>
          <w:iCs w:val="0"/>
          <w:caps w:val="0"/>
          <w:color w:val="000000"/>
          <w:spacing w:val="0"/>
          <w:sz w:val="32"/>
          <w:szCs w:val="32"/>
          <w:shd w:val="clear" w:fill="FFFFFF"/>
        </w:rPr>
        <w:t>支出</w:t>
      </w:r>
    </w:p>
    <w:p>
      <w:pPr>
        <w:widowControl/>
        <w:spacing w:line="600" w:lineRule="exact"/>
        <w:ind w:firstLine="645"/>
        <w:jc w:val="left"/>
        <w:rPr>
          <w:rFonts w:hint="eastAsia" w:eastAsia="黑体"/>
          <w:sz w:val="32"/>
          <w:szCs w:val="32"/>
        </w:rPr>
      </w:pPr>
    </w:p>
    <w:p>
      <w:pPr>
        <w:pStyle w:val="5"/>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leftChars="0" w:right="0" w:rightChars="0" w:firstLine="320" w:firstLineChars="100"/>
        <w:textAlignment w:val="auto"/>
        <w:rPr>
          <w:rFonts w:hint="eastAsia" w:eastAsia="黑体"/>
          <w:sz w:val="32"/>
          <w:szCs w:val="32"/>
        </w:rPr>
      </w:pPr>
      <w:r>
        <w:rPr>
          <w:rFonts w:hint="eastAsia" w:eastAsia="黑体"/>
          <w:sz w:val="32"/>
          <w:szCs w:val="32"/>
        </w:rPr>
        <w:t>国有资本经营预算支出情况</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100" w:right="0" w:rightChars="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lang w:eastAsia="zh-CN"/>
        </w:rPr>
        <w:t>没有</w:t>
      </w:r>
      <w:r>
        <w:rPr>
          <w:rFonts w:hint="eastAsia" w:ascii="黑体" w:hAnsi="黑体" w:eastAsia="黑体" w:cs="黑体"/>
          <w:i w:val="0"/>
          <w:iCs w:val="0"/>
          <w:caps w:val="0"/>
          <w:color w:val="000000"/>
          <w:spacing w:val="0"/>
          <w:sz w:val="32"/>
          <w:szCs w:val="32"/>
          <w:shd w:val="clear" w:fill="FFFFFF"/>
        </w:rPr>
        <w:t>国有资本经营预算支出</w:t>
      </w:r>
    </w:p>
    <w:p>
      <w:pPr>
        <w:widowControl/>
        <w:spacing w:line="600" w:lineRule="exact"/>
        <w:ind w:firstLine="645"/>
        <w:jc w:val="left"/>
        <w:rPr>
          <w:rFonts w:hint="eastAsia" w:eastAsia="黑体"/>
          <w:sz w:val="32"/>
          <w:szCs w:val="32"/>
        </w:rPr>
      </w:pP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100" w:right="0" w:rightChars="0"/>
        <w:textAlignment w:val="auto"/>
        <w:rPr>
          <w:rFonts w:hint="eastAsia" w:ascii="黑体" w:hAnsi="黑体" w:eastAsia="黑体" w:cs="黑体"/>
          <w:i w:val="0"/>
          <w:iCs w:val="0"/>
          <w:caps w:val="0"/>
          <w:color w:val="000000"/>
          <w:spacing w:val="0"/>
          <w:sz w:val="32"/>
          <w:szCs w:val="32"/>
          <w:lang w:val="en-US" w:eastAsia="zh-CN"/>
        </w:rPr>
      </w:pPr>
      <w:r>
        <w:rPr>
          <w:rFonts w:hint="eastAsia" w:eastAsia="黑体"/>
          <w:sz w:val="32"/>
          <w:szCs w:val="32"/>
        </w:rPr>
        <w:t>五、社会保险基金预算支出情况</w:t>
      </w:r>
    </w:p>
    <w:p>
      <w:pPr>
        <w:pStyle w:val="5"/>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320" w:firstLineChars="100"/>
        <w:textAlignment w:val="auto"/>
        <w:rPr>
          <w:rFonts w:hint="eastAsia" w:ascii="黑体" w:hAnsi="黑体" w:eastAsia="黑体" w:cs="黑体"/>
          <w:i w:val="0"/>
          <w:iCs w:val="0"/>
          <w:caps w:val="0"/>
          <w:color w:val="000000"/>
          <w:spacing w:val="0"/>
          <w:sz w:val="32"/>
          <w:szCs w:val="32"/>
          <w:lang w:val="en-US" w:eastAsia="zh-CN"/>
        </w:rPr>
      </w:pPr>
      <w:r>
        <w:rPr>
          <w:rFonts w:hint="eastAsia" w:ascii="黑体" w:hAnsi="黑体" w:eastAsia="黑体" w:cs="黑体"/>
          <w:i w:val="0"/>
          <w:iCs w:val="0"/>
          <w:caps w:val="0"/>
          <w:color w:val="000000"/>
          <w:spacing w:val="0"/>
          <w:sz w:val="32"/>
          <w:szCs w:val="32"/>
          <w:lang w:val="en-US" w:eastAsia="zh-CN"/>
        </w:rPr>
        <w:t>养老保险预算支出7.6万元；</w:t>
      </w:r>
    </w:p>
    <w:p>
      <w:pPr>
        <w:pStyle w:val="5"/>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320" w:firstLineChars="100"/>
        <w:textAlignment w:val="auto"/>
        <w:rPr>
          <w:rFonts w:hint="default" w:ascii="黑体" w:hAnsi="黑体" w:eastAsia="黑体" w:cs="黑体"/>
          <w:i w:val="0"/>
          <w:iCs w:val="0"/>
          <w:caps w:val="0"/>
          <w:color w:val="000000"/>
          <w:spacing w:val="0"/>
          <w:sz w:val="32"/>
          <w:szCs w:val="32"/>
          <w:lang w:val="en-US" w:eastAsia="zh-CN"/>
        </w:rPr>
      </w:pPr>
      <w:r>
        <w:rPr>
          <w:rFonts w:hint="eastAsia" w:ascii="黑体" w:hAnsi="黑体" w:eastAsia="黑体" w:cs="黑体"/>
          <w:i w:val="0"/>
          <w:iCs w:val="0"/>
          <w:caps w:val="0"/>
          <w:color w:val="000000"/>
          <w:spacing w:val="0"/>
          <w:sz w:val="32"/>
          <w:szCs w:val="32"/>
          <w:lang w:val="en-US" w:eastAsia="zh-CN"/>
        </w:rPr>
        <w:t>医疗保险预算支出2.99万元；</w:t>
      </w:r>
    </w:p>
    <w:p>
      <w:pPr>
        <w:pStyle w:val="5"/>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320" w:firstLineChars="100"/>
        <w:textAlignment w:val="auto"/>
        <w:rPr>
          <w:rFonts w:hint="default" w:ascii="黑体" w:hAnsi="黑体" w:eastAsia="黑体" w:cs="黑体"/>
          <w:i w:val="0"/>
          <w:iCs w:val="0"/>
          <w:caps w:val="0"/>
          <w:color w:val="000000"/>
          <w:spacing w:val="0"/>
          <w:sz w:val="32"/>
          <w:szCs w:val="32"/>
          <w:lang w:val="en-US" w:eastAsia="zh-CN"/>
        </w:rPr>
      </w:pPr>
      <w:r>
        <w:rPr>
          <w:rFonts w:hint="eastAsia" w:ascii="黑体" w:hAnsi="黑体" w:eastAsia="黑体" w:cs="黑体"/>
          <w:i w:val="0"/>
          <w:iCs w:val="0"/>
          <w:caps w:val="0"/>
          <w:color w:val="000000"/>
          <w:spacing w:val="0"/>
          <w:sz w:val="32"/>
          <w:szCs w:val="32"/>
          <w:lang w:val="en-US" w:eastAsia="zh-CN"/>
        </w:rPr>
        <w:t>失业保险预算支出0.26万元；</w:t>
      </w:r>
    </w:p>
    <w:p>
      <w:pPr>
        <w:pStyle w:val="5"/>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320" w:firstLineChars="100"/>
        <w:textAlignment w:val="auto"/>
        <w:rPr>
          <w:rFonts w:hint="default" w:ascii="黑体" w:hAnsi="黑体" w:eastAsia="黑体" w:cs="黑体"/>
          <w:i w:val="0"/>
          <w:iCs w:val="0"/>
          <w:caps w:val="0"/>
          <w:color w:val="000000"/>
          <w:spacing w:val="0"/>
          <w:sz w:val="32"/>
          <w:szCs w:val="32"/>
          <w:lang w:val="en-US" w:eastAsia="zh-CN"/>
        </w:rPr>
      </w:pPr>
      <w:r>
        <w:rPr>
          <w:rFonts w:hint="eastAsia" w:ascii="黑体" w:hAnsi="黑体" w:eastAsia="黑体" w:cs="黑体"/>
          <w:i w:val="0"/>
          <w:iCs w:val="0"/>
          <w:caps w:val="0"/>
          <w:color w:val="000000"/>
          <w:spacing w:val="0"/>
          <w:sz w:val="32"/>
          <w:szCs w:val="32"/>
          <w:lang w:val="en-US" w:eastAsia="zh-CN"/>
        </w:rPr>
        <w:t>工伤保险预算支出0.37万元；</w:t>
      </w:r>
    </w:p>
    <w:p>
      <w:pPr>
        <w:widowControl/>
        <w:spacing w:line="600" w:lineRule="exact"/>
        <w:ind w:firstLine="645"/>
        <w:jc w:val="left"/>
        <w:rPr>
          <w:rFonts w:hint="eastAsia" w:eastAsia="黑体"/>
          <w:sz w:val="32"/>
          <w:szCs w:val="32"/>
        </w:rPr>
      </w:pPr>
    </w:p>
    <w:p>
      <w:pPr>
        <w:widowControl/>
        <w:spacing w:line="600" w:lineRule="exact"/>
        <w:ind w:firstLine="645"/>
        <w:jc w:val="left"/>
        <w:rPr>
          <w:rFonts w:hint="eastAsia" w:eastAsia="黑体"/>
          <w:sz w:val="32"/>
          <w:szCs w:val="32"/>
        </w:rPr>
      </w:pPr>
      <w:r>
        <w:rPr>
          <w:rFonts w:hint="eastAsia" w:eastAsia="黑体"/>
          <w:sz w:val="32"/>
          <w:szCs w:val="32"/>
        </w:rPr>
        <w:t>六、部门整体支出绩效情况</w:t>
      </w:r>
    </w:p>
    <w:p>
      <w:pPr>
        <w:widowControl/>
        <w:spacing w:line="600" w:lineRule="exact"/>
        <w:ind w:firstLine="645"/>
        <w:jc w:val="left"/>
        <w:rPr>
          <w:rFonts w:hint="default" w:ascii="楷体" w:hAnsi="楷体" w:eastAsia="楷体" w:cs="楷体"/>
          <w:b/>
          <w:bCs/>
          <w:sz w:val="32"/>
          <w:szCs w:val="32"/>
          <w:lang w:val="en-US" w:eastAsia="zh-CN"/>
        </w:rPr>
      </w:pPr>
      <w:r>
        <w:rPr>
          <w:rFonts w:hint="eastAsia" w:ascii="楷体" w:hAnsi="楷体" w:eastAsia="楷体" w:cs="楷体"/>
          <w:b/>
          <w:bCs/>
          <w:sz w:val="32"/>
          <w:szCs w:val="32"/>
        </w:rPr>
        <w:t>（一）综合评价结论。</w:t>
      </w:r>
      <w:r>
        <w:rPr>
          <w:rFonts w:hint="eastAsia" w:eastAsia="方正小标宋_GBK"/>
          <w:sz w:val="36"/>
          <w:szCs w:val="36"/>
        </w:rPr>
        <w:t>部门整体</w:t>
      </w:r>
      <w:r>
        <w:rPr>
          <w:rFonts w:eastAsia="方正小标宋_GBK"/>
          <w:sz w:val="36"/>
          <w:szCs w:val="36"/>
        </w:rPr>
        <w:t>支出绩效</w:t>
      </w:r>
      <w:r>
        <w:rPr>
          <w:rFonts w:hint="eastAsia" w:eastAsia="方正小标宋_GBK"/>
          <w:sz w:val="36"/>
          <w:szCs w:val="36"/>
          <w:lang w:eastAsia="zh-CN"/>
        </w:rPr>
        <w:t>自评</w:t>
      </w:r>
      <w:r>
        <w:rPr>
          <w:rFonts w:hint="eastAsia" w:eastAsia="仿宋_GB2312"/>
          <w:sz w:val="32"/>
          <w:szCs w:val="32"/>
          <w:lang w:val="en-US" w:eastAsia="zh-CN"/>
        </w:rPr>
        <w:t>97.5分</w:t>
      </w:r>
    </w:p>
    <w:p>
      <w:pPr>
        <w:widowControl/>
        <w:spacing w:line="600" w:lineRule="exact"/>
        <w:ind w:firstLine="645"/>
        <w:jc w:val="left"/>
        <w:rPr>
          <w:rFonts w:hint="default" w:ascii="仿宋_GB2312" w:hAnsi="仿宋_GB2312" w:eastAsia="仿宋_GB2312" w:cs="仿宋_GB2312"/>
          <w:sz w:val="32"/>
          <w:szCs w:val="32"/>
          <w:lang w:val="en-US"/>
        </w:rPr>
      </w:pPr>
      <w:r>
        <w:rPr>
          <w:rFonts w:hint="eastAsia" w:ascii="楷体" w:hAnsi="楷体" w:eastAsia="楷体" w:cs="楷体"/>
          <w:b/>
          <w:bCs/>
          <w:sz w:val="32"/>
          <w:szCs w:val="32"/>
        </w:rPr>
        <w:t>（二）评价指标分析（</w:t>
      </w:r>
      <w:r>
        <w:rPr>
          <w:rFonts w:hint="eastAsia" w:ascii="楷体_GB2312" w:eastAsia="楷体_GB2312" w:cs="楷体_GB2312"/>
          <w:i w:val="0"/>
          <w:iCs w:val="0"/>
          <w:caps w:val="0"/>
          <w:color w:val="000000"/>
          <w:spacing w:val="0"/>
          <w:sz w:val="32"/>
          <w:szCs w:val="32"/>
          <w:shd w:val="clear" w:fill="FFFFFF"/>
          <w:lang w:eastAsia="zh-CN"/>
        </w:rPr>
        <w:t>我单位部门整体支出预算的安排符合《预算法》的要求和单位工作实际情况，严格执行预算，控制各项经费支出，无预算不支出。单位在预算的申报、管理和评价各环节科学、合理，资金使用管理规范，资金效益最大化，完成年初预期目标，产生了显著的社会效益和生态效益，改善人民生活，</w:t>
      </w:r>
      <w:r>
        <w:rPr>
          <w:rFonts w:hint="eastAsia" w:ascii="楷体_GB2312" w:eastAsia="楷体_GB2312" w:cs="楷体_GB2312"/>
          <w:i w:val="0"/>
          <w:iCs w:val="0"/>
          <w:caps w:val="0"/>
          <w:color w:val="000000"/>
          <w:spacing w:val="0"/>
          <w:sz w:val="32"/>
          <w:szCs w:val="32"/>
          <w:shd w:val="clear" w:fill="FFFFFF"/>
          <w:lang w:val="en-US" w:eastAsia="zh-CN"/>
        </w:rPr>
        <w:t>提高农民收入。</w:t>
      </w:r>
    </w:p>
    <w:p>
      <w:pPr>
        <w:widowControl/>
        <w:spacing w:line="600" w:lineRule="exact"/>
        <w:ind w:firstLine="645"/>
        <w:jc w:val="left"/>
        <w:rPr>
          <w:rFonts w:hint="eastAsia" w:eastAsia="黑体"/>
          <w:sz w:val="32"/>
          <w:szCs w:val="32"/>
        </w:rPr>
      </w:pPr>
      <w:r>
        <w:rPr>
          <w:rFonts w:hint="eastAsia" w:eastAsia="黑体"/>
          <w:sz w:val="32"/>
          <w:szCs w:val="32"/>
        </w:rPr>
        <w:t>七、存在的问题及原因分析</w:t>
      </w:r>
    </w:p>
    <w:p>
      <w:pPr>
        <w:adjustRightInd w:val="0"/>
        <w:snapToGrid w:val="0"/>
        <w:spacing w:line="600" w:lineRule="exact"/>
        <w:ind w:firstLine="640" w:firstLineChars="200"/>
        <w:rPr>
          <w:rFonts w:ascii="宋体" w:hAnsi="宋体"/>
          <w:sz w:val="32"/>
          <w:szCs w:val="32"/>
        </w:rPr>
      </w:pPr>
      <w:r>
        <w:rPr>
          <w:rFonts w:hint="eastAsia" w:ascii="宋体" w:hAnsi="宋体"/>
          <w:sz w:val="32"/>
          <w:szCs w:val="32"/>
        </w:rPr>
        <w:t>本</w:t>
      </w:r>
      <w:r>
        <w:rPr>
          <w:rFonts w:ascii="宋体" w:hAnsi="宋体"/>
          <w:sz w:val="32"/>
          <w:szCs w:val="32"/>
        </w:rPr>
        <w:t>单</w:t>
      </w:r>
      <w:r>
        <w:rPr>
          <w:rFonts w:hint="eastAsia" w:ascii="宋体" w:hAnsi="宋体"/>
          <w:sz w:val="32"/>
          <w:szCs w:val="32"/>
        </w:rPr>
        <w:t>位</w:t>
      </w:r>
      <w:r>
        <w:rPr>
          <w:rFonts w:ascii="宋体" w:hAnsi="宋体"/>
          <w:sz w:val="32"/>
          <w:szCs w:val="32"/>
        </w:rPr>
        <w:t>由于没有专项资金，</w:t>
      </w:r>
      <w:r>
        <w:rPr>
          <w:rFonts w:hint="eastAsia" w:ascii="宋体" w:hAnsi="宋体"/>
          <w:sz w:val="32"/>
          <w:szCs w:val="32"/>
        </w:rPr>
        <w:t>所</w:t>
      </w:r>
      <w:r>
        <w:rPr>
          <w:rFonts w:ascii="宋体" w:hAnsi="宋体"/>
          <w:sz w:val="32"/>
          <w:szCs w:val="32"/>
        </w:rPr>
        <w:t>以</w:t>
      </w:r>
      <w:r>
        <w:rPr>
          <w:rFonts w:hint="eastAsia" w:ascii="宋体" w:hAnsi="宋体"/>
          <w:sz w:val="32"/>
          <w:szCs w:val="32"/>
        </w:rPr>
        <w:t>农</w:t>
      </w:r>
      <w:r>
        <w:rPr>
          <w:rFonts w:ascii="宋体" w:hAnsi="宋体"/>
          <w:sz w:val="32"/>
          <w:szCs w:val="32"/>
        </w:rPr>
        <w:t>民</w:t>
      </w:r>
      <w:r>
        <w:rPr>
          <w:rFonts w:hint="eastAsia" w:ascii="宋体" w:hAnsi="宋体"/>
          <w:sz w:val="32"/>
          <w:szCs w:val="32"/>
        </w:rPr>
        <w:t>教</w:t>
      </w:r>
      <w:r>
        <w:rPr>
          <w:rFonts w:ascii="宋体" w:hAnsi="宋体"/>
          <w:sz w:val="32"/>
          <w:szCs w:val="32"/>
        </w:rPr>
        <w:t>育培训工作</w:t>
      </w:r>
      <w:r>
        <w:rPr>
          <w:rFonts w:hint="eastAsia" w:ascii="宋体" w:hAnsi="宋体"/>
          <w:sz w:val="32"/>
          <w:szCs w:val="32"/>
        </w:rPr>
        <w:t>开</w:t>
      </w:r>
      <w:r>
        <w:rPr>
          <w:rFonts w:ascii="宋体" w:hAnsi="宋体"/>
          <w:sz w:val="32"/>
          <w:szCs w:val="32"/>
        </w:rPr>
        <w:t>展</w:t>
      </w:r>
      <w:r>
        <w:rPr>
          <w:rFonts w:hint="eastAsia" w:ascii="宋体" w:hAnsi="宋体"/>
          <w:sz w:val="32"/>
          <w:szCs w:val="32"/>
        </w:rPr>
        <w:t>因</w:t>
      </w:r>
      <w:r>
        <w:rPr>
          <w:rFonts w:ascii="宋体" w:hAnsi="宋体"/>
          <w:sz w:val="32"/>
          <w:szCs w:val="32"/>
        </w:rPr>
        <w:t>资金</w:t>
      </w:r>
      <w:r>
        <w:rPr>
          <w:rFonts w:hint="eastAsia" w:ascii="宋体" w:hAnsi="宋体"/>
          <w:sz w:val="32"/>
          <w:szCs w:val="32"/>
        </w:rPr>
        <w:t>短</w:t>
      </w:r>
      <w:r>
        <w:rPr>
          <w:rFonts w:ascii="宋体" w:hAnsi="宋体"/>
          <w:sz w:val="32"/>
          <w:szCs w:val="32"/>
        </w:rPr>
        <w:t>缺存在</w:t>
      </w:r>
      <w:r>
        <w:rPr>
          <w:rFonts w:hint="eastAsia" w:ascii="宋体" w:hAnsi="宋体"/>
          <w:sz w:val="32"/>
          <w:szCs w:val="32"/>
        </w:rPr>
        <w:t>而</w:t>
      </w:r>
      <w:r>
        <w:rPr>
          <w:rFonts w:ascii="宋体" w:hAnsi="宋体"/>
          <w:sz w:val="32"/>
          <w:szCs w:val="32"/>
        </w:rPr>
        <w:t>无法进行，</w:t>
      </w:r>
      <w:r>
        <w:rPr>
          <w:rFonts w:hint="eastAsia" w:ascii="宋体" w:hAnsi="宋体"/>
          <w:sz w:val="32"/>
          <w:szCs w:val="32"/>
        </w:rPr>
        <w:t>全</w:t>
      </w:r>
      <w:r>
        <w:rPr>
          <w:rFonts w:ascii="宋体" w:hAnsi="宋体"/>
          <w:sz w:val="32"/>
          <w:szCs w:val="32"/>
        </w:rPr>
        <w:t>年度财政预算资金仅用于民生基本</w:t>
      </w:r>
      <w:r>
        <w:rPr>
          <w:rFonts w:hint="eastAsia" w:ascii="宋体" w:hAnsi="宋体"/>
          <w:sz w:val="32"/>
          <w:szCs w:val="32"/>
        </w:rPr>
        <w:t>开支</w:t>
      </w:r>
      <w:r>
        <w:rPr>
          <w:rFonts w:ascii="宋体" w:hAnsi="宋体"/>
          <w:sz w:val="32"/>
          <w:szCs w:val="32"/>
        </w:rPr>
        <w:t>。</w:t>
      </w:r>
    </w:p>
    <w:p>
      <w:pPr>
        <w:pStyle w:val="5"/>
        <w:widowControl/>
        <w:numPr>
          <w:ilvl w:val="0"/>
          <w:numId w:val="5"/>
        </w:numPr>
        <w:shd w:val="clear" w:color="auto" w:fill="FFFFFF"/>
        <w:spacing w:beforeAutospacing="0" w:afterAutospacing="0" w:line="555" w:lineRule="atLeast"/>
        <w:ind w:firstLine="645"/>
        <w:jc w:val="both"/>
        <w:rPr>
          <w:rFonts w:hint="eastAsia" w:eastAsia="黑体"/>
          <w:sz w:val="32"/>
          <w:szCs w:val="32"/>
        </w:rPr>
      </w:pPr>
      <w:r>
        <w:rPr>
          <w:rFonts w:hint="eastAsia" w:eastAsia="黑体"/>
          <w:sz w:val="32"/>
          <w:szCs w:val="32"/>
        </w:rPr>
        <w:t>下一步改进措施</w:t>
      </w:r>
    </w:p>
    <w:p>
      <w:pPr>
        <w:pStyle w:val="5"/>
        <w:widowControl/>
        <w:numPr>
          <w:ilvl w:val="0"/>
          <w:numId w:val="0"/>
        </w:numPr>
        <w:shd w:val="clear" w:color="auto" w:fill="FFFFFF"/>
        <w:spacing w:beforeAutospacing="0" w:afterAutospacing="0" w:line="555" w:lineRule="atLeast"/>
        <w:ind w:left="645" w:leftChars="0" w:right="0" w:rightChars="0"/>
        <w:jc w:val="both"/>
        <w:rPr>
          <w:rFonts w:ascii="宋体" w:hAnsi="宋体" w:cs="新宋体"/>
          <w:color w:val="666666"/>
          <w:sz w:val="32"/>
          <w:szCs w:val="32"/>
        </w:rPr>
      </w:pPr>
      <w:r>
        <w:rPr>
          <w:rFonts w:hint="eastAsia" w:ascii="宋体" w:hAnsi="宋体" w:cs="新宋体"/>
          <w:color w:val="000000"/>
          <w:sz w:val="32"/>
          <w:szCs w:val="32"/>
          <w:shd w:val="clear" w:color="auto" w:fill="FFFFFF"/>
          <w:lang w:bidi="ar"/>
        </w:rPr>
        <w:t>我单位在以后的工作中继续采取措施，努力降低行政成本。建议：</w:t>
      </w:r>
    </w:p>
    <w:p>
      <w:pPr>
        <w:pStyle w:val="5"/>
        <w:widowControl/>
        <w:shd w:val="clear" w:color="auto" w:fill="FFFFFF"/>
        <w:spacing w:beforeAutospacing="0" w:afterAutospacing="0" w:line="555" w:lineRule="atLeast"/>
        <w:ind w:firstLine="645"/>
        <w:jc w:val="both"/>
        <w:rPr>
          <w:rFonts w:ascii="宋体" w:hAnsi="宋体" w:cs="新宋体"/>
          <w:color w:val="666666"/>
          <w:sz w:val="32"/>
          <w:szCs w:val="32"/>
        </w:rPr>
      </w:pPr>
      <w:r>
        <w:rPr>
          <w:rFonts w:hint="eastAsia" w:ascii="宋体" w:hAnsi="宋体" w:cs="新宋体"/>
          <w:color w:val="000000"/>
          <w:sz w:val="32"/>
          <w:szCs w:val="32"/>
          <w:shd w:val="clear" w:color="auto" w:fill="FFFFFF"/>
          <w:lang w:bidi="ar"/>
        </w:rPr>
        <w:t>1、牢固树立过紧日子的思想。落实中央关于进一步做好党政机关厉行节约的要求，严肃财经纪律，勤俭办一切事业，坚决反对花钱大手大脚和铺张浪费。</w:t>
      </w:r>
    </w:p>
    <w:p>
      <w:pPr>
        <w:pStyle w:val="5"/>
        <w:widowControl/>
        <w:shd w:val="clear" w:color="auto" w:fill="FFFFFF"/>
        <w:spacing w:beforeAutospacing="0" w:afterAutospacing="0" w:line="555" w:lineRule="atLeast"/>
        <w:ind w:firstLine="645"/>
        <w:jc w:val="both"/>
        <w:rPr>
          <w:rFonts w:ascii="宋体" w:hAnsi="宋体" w:cs="新宋体"/>
          <w:color w:val="666666"/>
          <w:sz w:val="32"/>
          <w:szCs w:val="32"/>
        </w:rPr>
      </w:pPr>
      <w:r>
        <w:rPr>
          <w:rFonts w:hint="eastAsia" w:ascii="宋体" w:hAnsi="宋体" w:cs="新宋体"/>
          <w:color w:val="000000"/>
          <w:sz w:val="32"/>
          <w:szCs w:val="32"/>
          <w:shd w:val="clear" w:color="auto" w:fill="FFFFFF"/>
          <w:lang w:bidi="ar"/>
        </w:rPr>
        <w:t>2、完善制度，强化监管。健全财务管理规章制度，全面规范财务管理活动。加大监督检查力度，严惩铺张浪费和违反财经纪律的行为。</w:t>
      </w:r>
    </w:p>
    <w:p>
      <w:pPr>
        <w:pStyle w:val="5"/>
        <w:widowControl/>
        <w:shd w:val="clear" w:color="auto" w:fill="FFFFFF"/>
        <w:spacing w:beforeAutospacing="0" w:afterAutospacing="0" w:line="555" w:lineRule="atLeast"/>
        <w:ind w:firstLine="645"/>
        <w:jc w:val="both"/>
        <w:rPr>
          <w:rFonts w:ascii="宋体" w:hAnsi="宋体" w:cs="新宋体"/>
          <w:color w:val="666666"/>
          <w:sz w:val="32"/>
          <w:szCs w:val="32"/>
        </w:rPr>
      </w:pPr>
      <w:r>
        <w:rPr>
          <w:rFonts w:hint="eastAsia" w:ascii="宋体" w:hAnsi="宋体" w:cs="新宋体"/>
          <w:color w:val="000000"/>
          <w:sz w:val="32"/>
          <w:szCs w:val="32"/>
          <w:shd w:val="clear" w:color="auto" w:fill="FFFFFF"/>
          <w:lang w:bidi="ar"/>
        </w:rPr>
        <w:t>4、提升预算编制水平，提高预算准确率，从严控制各项经费开支，提高经费的使用率。</w:t>
      </w:r>
    </w:p>
    <w:p>
      <w:pPr>
        <w:widowControl/>
        <w:spacing w:line="600" w:lineRule="exact"/>
        <w:ind w:firstLine="645"/>
        <w:jc w:val="left"/>
        <w:rPr>
          <w:rFonts w:hint="eastAsia" w:eastAsia="黑体"/>
          <w:sz w:val="32"/>
          <w:szCs w:val="32"/>
        </w:rPr>
      </w:pPr>
    </w:p>
    <w:p>
      <w:pPr>
        <w:widowControl/>
        <w:spacing w:line="600" w:lineRule="exact"/>
        <w:ind w:firstLine="645"/>
        <w:jc w:val="left"/>
        <w:rPr>
          <w:rFonts w:hint="eastAsia" w:eastAsia="仿宋_GB2312"/>
          <w:sz w:val="32"/>
          <w:szCs w:val="32"/>
          <w:lang w:eastAsia="zh-CN"/>
        </w:rPr>
      </w:pPr>
      <w:r>
        <w:rPr>
          <w:rFonts w:hint="eastAsia" w:eastAsia="黑体"/>
          <w:sz w:val="32"/>
          <w:szCs w:val="32"/>
        </w:rPr>
        <w:t>九、其他需要说明的情况</w:t>
      </w:r>
    </w:p>
    <w:p>
      <w:pPr>
        <w:adjustRightInd w:val="0"/>
        <w:snapToGrid w:val="0"/>
        <w:spacing w:line="560" w:lineRule="exact"/>
        <w:rPr>
          <w:rFonts w:hint="eastAsia" w:ascii="黑体" w:hAnsi="黑体" w:eastAsia="黑体" w:cs="黑体"/>
          <w:sz w:val="32"/>
          <w:szCs w:val="32"/>
        </w:rPr>
      </w:pPr>
    </w:p>
    <w:p>
      <w:pPr>
        <w:widowControl/>
        <w:spacing w:line="560" w:lineRule="exact"/>
        <w:ind w:firstLine="645"/>
        <w:jc w:val="left"/>
        <w:rPr>
          <w:rFonts w:eastAsia="仿宋_GB2312"/>
          <w:sz w:val="32"/>
          <w:szCs w:val="32"/>
        </w:rPr>
      </w:pPr>
      <w:r>
        <w:rPr>
          <w:rFonts w:hint="eastAsia" w:eastAsia="仿宋_GB2312"/>
          <w:sz w:val="32"/>
          <w:szCs w:val="32"/>
        </w:rPr>
        <w:t>报告应包括以下附件：</w:t>
      </w:r>
    </w:p>
    <w:p>
      <w:pPr>
        <w:widowControl/>
        <w:spacing w:line="560" w:lineRule="exact"/>
        <w:ind w:firstLine="640" w:firstLineChars="200"/>
        <w:jc w:val="left"/>
        <w:rPr>
          <w:rFonts w:eastAsia="仿宋_GB2312"/>
          <w:sz w:val="32"/>
          <w:szCs w:val="32"/>
        </w:rPr>
      </w:pPr>
      <w:r>
        <w:rPr>
          <w:rFonts w:eastAsia="仿宋_GB2312"/>
          <w:sz w:val="32"/>
          <w:szCs w:val="32"/>
        </w:rPr>
        <w:t>1</w:t>
      </w:r>
      <w:r>
        <w:rPr>
          <w:rFonts w:hint="eastAsia" w:eastAsia="仿宋_GB2312"/>
          <w:sz w:val="32"/>
          <w:szCs w:val="32"/>
        </w:rPr>
        <w:t>、部门整体支出绩效评价基础数据表</w:t>
      </w:r>
    </w:p>
    <w:p>
      <w:pPr>
        <w:widowControl/>
        <w:spacing w:line="560" w:lineRule="exact"/>
        <w:ind w:firstLine="640" w:firstLineChars="200"/>
        <w:jc w:val="left"/>
        <w:rPr>
          <w:rFonts w:eastAsia="仿宋_GB2312"/>
          <w:sz w:val="32"/>
          <w:szCs w:val="32"/>
        </w:rPr>
      </w:pPr>
      <w:r>
        <w:rPr>
          <w:rFonts w:eastAsia="仿宋_GB2312"/>
          <w:sz w:val="32"/>
          <w:szCs w:val="32"/>
        </w:rPr>
        <w:t>2</w:t>
      </w:r>
      <w:r>
        <w:rPr>
          <w:rFonts w:hint="eastAsia" w:eastAsia="仿宋_GB2312"/>
          <w:sz w:val="32"/>
          <w:szCs w:val="32"/>
        </w:rPr>
        <w:t>、部门整体支出绩效自评表</w:t>
      </w:r>
    </w:p>
    <w:p>
      <w:pPr>
        <w:rPr>
          <w:rFonts w:ascii="仿宋" w:hAnsi="仿宋" w:eastAsia="仿宋" w:cs="仿宋"/>
          <w:sz w:val="32"/>
          <w:szCs w:val="32"/>
        </w:rPr>
      </w:pPr>
    </w:p>
    <w:p>
      <w:pPr>
        <w:rPr>
          <w:rFonts w:ascii="仿宋" w:hAnsi="仿宋" w:eastAsia="仿宋" w:cs="仿宋"/>
          <w:sz w:val="32"/>
          <w:szCs w:val="32"/>
        </w:rPr>
      </w:pPr>
    </w:p>
    <w:p>
      <w:pPr>
        <w:rPr>
          <w:rFonts w:ascii="仿宋" w:hAnsi="仿宋" w:eastAsia="仿宋" w:cs="仿宋"/>
          <w:sz w:val="32"/>
          <w:szCs w:val="32"/>
        </w:rPr>
      </w:pPr>
    </w:p>
    <w:p>
      <w:pPr>
        <w:rPr>
          <w:rFonts w:ascii="仿宋" w:hAnsi="仿宋" w:eastAsia="仿宋" w:cs="仿宋"/>
          <w:sz w:val="32"/>
          <w:szCs w:val="32"/>
        </w:rPr>
        <w:sectPr>
          <w:footerReference r:id="rId3" w:type="default"/>
          <w:pgSz w:w="11905" w:h="16837"/>
          <w:pgMar w:top="1417" w:right="1417" w:bottom="1417" w:left="1417" w:header="0" w:footer="0" w:gutter="0"/>
          <w:pgNumType w:start="1"/>
          <w:cols w:space="0" w:num="1"/>
          <w:rtlGutter w:val="0"/>
          <w:docGrid w:linePitch="636" w:charSpace="0"/>
        </w:sectPr>
      </w:pPr>
    </w:p>
    <w:p>
      <w:pPr>
        <w:spacing w:line="600" w:lineRule="exact"/>
        <w:rPr>
          <w:rFonts w:hint="eastAsia" w:ascii="黑体" w:hAnsi="宋体" w:eastAsia="黑体" w:cs="宋体"/>
          <w:kern w:val="0"/>
          <w:sz w:val="32"/>
          <w:szCs w:val="32"/>
          <w:lang w:eastAsia="zh-CN"/>
        </w:rPr>
      </w:pPr>
      <w:r>
        <w:rPr>
          <w:rFonts w:hint="eastAsia" w:ascii="黑体" w:hAnsi="宋体" w:eastAsia="黑体" w:cs="宋体"/>
          <w:kern w:val="0"/>
          <w:sz w:val="32"/>
          <w:szCs w:val="32"/>
        </w:rPr>
        <w:t>附件</w:t>
      </w:r>
      <w:r>
        <w:rPr>
          <w:rFonts w:hint="eastAsia" w:ascii="黑体" w:hAnsi="宋体" w:eastAsia="黑体" w:cs="宋体"/>
          <w:kern w:val="0"/>
          <w:sz w:val="32"/>
          <w:szCs w:val="32"/>
          <w:lang w:val="en-US" w:eastAsia="zh-CN"/>
        </w:rPr>
        <w:t>3</w:t>
      </w:r>
    </w:p>
    <w:p>
      <w:pPr>
        <w:spacing w:line="600" w:lineRule="exact"/>
        <w:jc w:val="center"/>
        <w:rPr>
          <w:rFonts w:hint="eastAsia" w:ascii="黑体" w:hAnsi="宋体" w:eastAsia="黑体" w:cs="宋体"/>
          <w:kern w:val="0"/>
          <w:sz w:val="32"/>
          <w:szCs w:val="32"/>
        </w:rPr>
      </w:pPr>
      <w:r>
        <w:rPr>
          <w:rFonts w:hint="eastAsia" w:ascii="方正小标宋简体" w:hAnsi="方正小标宋简体" w:eastAsia="方正小标宋简体" w:cs="方正小标宋简体"/>
          <w:i w:val="0"/>
          <w:iCs w:val="0"/>
          <w:color w:val="000000"/>
          <w:kern w:val="0"/>
          <w:sz w:val="36"/>
          <w:szCs w:val="36"/>
          <w:u w:val="none"/>
          <w:lang w:val="en-US" w:eastAsia="zh-CN" w:bidi="ar"/>
        </w:rPr>
        <w:t>部门（单位）整体支出绩效自评表</w:t>
      </w:r>
    </w:p>
    <w:tbl>
      <w:tblPr>
        <w:tblStyle w:val="7"/>
        <w:tblW w:w="1367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73"/>
        <w:gridCol w:w="870"/>
        <w:gridCol w:w="1050"/>
        <w:gridCol w:w="495"/>
        <w:gridCol w:w="2570"/>
        <w:gridCol w:w="5112"/>
        <w:gridCol w:w="2115"/>
        <w:gridCol w:w="5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tblHeader/>
          <w:jc w:val="center"/>
        </w:trPr>
        <w:tc>
          <w:tcPr>
            <w:tcW w:w="873" w:type="dxa"/>
            <w:tcBorders>
              <w:tl2br w:val="nil"/>
              <w:tr2bl w:val="nil"/>
            </w:tcBorders>
            <w:noWrap w:val="0"/>
            <w:vAlign w:val="center"/>
          </w:tcPr>
          <w:p>
            <w:pPr>
              <w:keepNext w:val="0"/>
              <w:keepLines w:val="0"/>
              <w:widowControl/>
              <w:suppressLineNumbers w:val="0"/>
              <w:jc w:val="center"/>
              <w:textAlignment w:val="center"/>
              <w:rPr>
                <w:rFonts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一级</w:t>
            </w:r>
            <w:r>
              <w:rPr>
                <w:rFonts w:hint="eastAsia" w:ascii="黑体" w:hAnsi="宋体" w:eastAsia="黑体" w:cs="黑体"/>
                <w:i w:val="0"/>
                <w:iCs w:val="0"/>
                <w:color w:val="000000"/>
                <w:kern w:val="0"/>
                <w:sz w:val="20"/>
                <w:szCs w:val="20"/>
                <w:u w:val="none"/>
                <w:lang w:val="en-US" w:eastAsia="zh-CN" w:bidi="ar"/>
              </w:rPr>
              <w:br w:type="textWrapping"/>
            </w:r>
            <w:r>
              <w:rPr>
                <w:rFonts w:hint="eastAsia" w:ascii="黑体" w:hAnsi="宋体" w:eastAsia="黑体" w:cs="黑体"/>
                <w:i w:val="0"/>
                <w:iCs w:val="0"/>
                <w:color w:val="000000"/>
                <w:kern w:val="0"/>
                <w:sz w:val="20"/>
                <w:szCs w:val="20"/>
                <w:u w:val="none"/>
                <w:lang w:val="en-US" w:eastAsia="zh-CN" w:bidi="ar"/>
              </w:rPr>
              <w:t>指标</w:t>
            </w:r>
          </w:p>
        </w:tc>
        <w:tc>
          <w:tcPr>
            <w:tcW w:w="870" w:type="dxa"/>
            <w:tcBorders>
              <w:tl2br w:val="nil"/>
              <w:tr2bl w:val="nil"/>
            </w:tcBorders>
            <w:noWrap w:val="0"/>
            <w:vAlign w:val="center"/>
          </w:tcPr>
          <w:p>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二级</w:t>
            </w:r>
            <w:r>
              <w:rPr>
                <w:rFonts w:hint="eastAsia" w:ascii="黑体" w:hAnsi="宋体" w:eastAsia="黑体" w:cs="黑体"/>
                <w:i w:val="0"/>
                <w:iCs w:val="0"/>
                <w:color w:val="000000"/>
                <w:kern w:val="0"/>
                <w:sz w:val="20"/>
                <w:szCs w:val="20"/>
                <w:u w:val="none"/>
                <w:lang w:val="en-US" w:eastAsia="zh-CN" w:bidi="ar"/>
              </w:rPr>
              <w:br w:type="textWrapping"/>
            </w:r>
            <w:r>
              <w:rPr>
                <w:rFonts w:hint="eastAsia" w:ascii="黑体" w:hAnsi="宋体" w:eastAsia="黑体" w:cs="黑体"/>
                <w:i w:val="0"/>
                <w:iCs w:val="0"/>
                <w:color w:val="000000"/>
                <w:kern w:val="0"/>
                <w:sz w:val="20"/>
                <w:szCs w:val="20"/>
                <w:u w:val="none"/>
                <w:lang w:val="en-US" w:eastAsia="zh-CN" w:bidi="ar"/>
              </w:rPr>
              <w:t>指标</w:t>
            </w:r>
          </w:p>
        </w:tc>
        <w:tc>
          <w:tcPr>
            <w:tcW w:w="1050" w:type="dxa"/>
            <w:tcBorders>
              <w:tl2br w:val="nil"/>
              <w:tr2bl w:val="nil"/>
            </w:tcBorders>
            <w:noWrap w:val="0"/>
            <w:vAlign w:val="center"/>
          </w:tcPr>
          <w:p>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三级指标</w:t>
            </w:r>
          </w:p>
        </w:tc>
        <w:tc>
          <w:tcPr>
            <w:tcW w:w="495" w:type="dxa"/>
            <w:tcBorders>
              <w:tl2br w:val="nil"/>
              <w:tr2bl w:val="nil"/>
            </w:tcBorders>
            <w:noWrap w:val="0"/>
            <w:vAlign w:val="center"/>
          </w:tcPr>
          <w:p>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分值</w:t>
            </w:r>
          </w:p>
        </w:tc>
        <w:tc>
          <w:tcPr>
            <w:tcW w:w="2570" w:type="dxa"/>
            <w:tcBorders>
              <w:tl2br w:val="nil"/>
              <w:tr2bl w:val="nil"/>
            </w:tcBorders>
            <w:noWrap w:val="0"/>
            <w:vAlign w:val="center"/>
          </w:tcPr>
          <w:p>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指标说明</w:t>
            </w:r>
          </w:p>
        </w:tc>
        <w:tc>
          <w:tcPr>
            <w:tcW w:w="5112" w:type="dxa"/>
            <w:tcBorders>
              <w:tl2br w:val="nil"/>
              <w:tr2bl w:val="nil"/>
            </w:tcBorders>
            <w:noWrap w:val="0"/>
            <w:vAlign w:val="center"/>
          </w:tcPr>
          <w:p>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评分标准</w:t>
            </w:r>
          </w:p>
        </w:tc>
        <w:tc>
          <w:tcPr>
            <w:tcW w:w="2115" w:type="dxa"/>
            <w:tcBorders>
              <w:tl2br w:val="nil"/>
              <w:tr2bl w:val="nil"/>
            </w:tcBorders>
            <w:noWrap w:val="0"/>
            <w:vAlign w:val="center"/>
          </w:tcPr>
          <w:p>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评价依据</w:t>
            </w:r>
          </w:p>
        </w:tc>
        <w:tc>
          <w:tcPr>
            <w:tcW w:w="586" w:type="dxa"/>
            <w:tcBorders>
              <w:tl2br w:val="nil"/>
              <w:tr2bl w:val="nil"/>
            </w:tcBorders>
            <w:noWrap w:val="0"/>
            <w:vAlign w:val="center"/>
          </w:tcPr>
          <w:p>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自评分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0" w:hRule="atLeast"/>
          <w:jc w:val="center"/>
        </w:trPr>
        <w:tc>
          <w:tcPr>
            <w:tcW w:w="873" w:type="dxa"/>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13"/>
                <w:lang w:val="en-US" w:eastAsia="zh-CN" w:bidi="ar"/>
              </w:rPr>
              <w:t>投入</w:t>
            </w:r>
            <w:r>
              <w:rPr>
                <w:rStyle w:val="14"/>
                <w:rFonts w:eastAsia="宋体"/>
                <w:lang w:val="en-US" w:eastAsia="zh-CN" w:bidi="ar"/>
              </w:rPr>
              <w:br w:type="textWrapping"/>
            </w:r>
            <w:r>
              <w:rPr>
                <w:rStyle w:val="13"/>
                <w:lang w:val="en-US" w:eastAsia="zh-CN" w:bidi="ar"/>
              </w:rPr>
              <w:t>（</w:t>
            </w:r>
            <w:r>
              <w:rPr>
                <w:rStyle w:val="14"/>
                <w:rFonts w:eastAsia="宋体"/>
                <w:lang w:val="en-US" w:eastAsia="zh-CN" w:bidi="ar"/>
              </w:rPr>
              <w:t>14</w:t>
            </w:r>
            <w:r>
              <w:rPr>
                <w:rStyle w:val="13"/>
                <w:lang w:val="en-US" w:eastAsia="zh-CN" w:bidi="ar"/>
              </w:rPr>
              <w:t>分）</w:t>
            </w:r>
          </w:p>
        </w:tc>
        <w:tc>
          <w:tcPr>
            <w:tcW w:w="870" w:type="dxa"/>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目标</w:t>
            </w:r>
            <w:r>
              <w:rPr>
                <w:rStyle w:val="14"/>
                <w:rFonts w:eastAsia="宋体"/>
                <w:lang w:val="en-US" w:eastAsia="zh-CN" w:bidi="ar"/>
              </w:rPr>
              <w:br w:type="textWrapping"/>
            </w:r>
            <w:r>
              <w:rPr>
                <w:rStyle w:val="13"/>
                <w:lang w:val="en-US" w:eastAsia="zh-CN" w:bidi="ar"/>
              </w:rPr>
              <w:t>设定</w:t>
            </w:r>
            <w:r>
              <w:rPr>
                <w:rStyle w:val="14"/>
                <w:rFonts w:eastAsia="宋体"/>
                <w:lang w:val="en-US" w:eastAsia="zh-CN" w:bidi="ar"/>
              </w:rPr>
              <w:br w:type="textWrapping"/>
            </w:r>
            <w:r>
              <w:rPr>
                <w:rStyle w:val="13"/>
                <w:lang w:val="en-US" w:eastAsia="zh-CN" w:bidi="ar"/>
              </w:rPr>
              <w:t>（</w:t>
            </w:r>
            <w:r>
              <w:rPr>
                <w:rStyle w:val="14"/>
                <w:rFonts w:eastAsia="宋体"/>
                <w:lang w:val="en-US" w:eastAsia="zh-CN" w:bidi="ar"/>
              </w:rPr>
              <w:t>7</w:t>
            </w:r>
            <w:r>
              <w:rPr>
                <w:rStyle w:val="13"/>
                <w:lang w:val="en-US" w:eastAsia="zh-CN" w:bidi="ar"/>
              </w:rPr>
              <w:t>分）</w:t>
            </w: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绩效目标</w:t>
            </w:r>
            <w:r>
              <w:rPr>
                <w:rStyle w:val="14"/>
                <w:rFonts w:eastAsia="宋体"/>
                <w:lang w:val="en-US" w:eastAsia="zh-CN" w:bidi="ar"/>
              </w:rPr>
              <w:br w:type="textWrapping"/>
            </w:r>
            <w:r>
              <w:rPr>
                <w:rStyle w:val="13"/>
                <w:lang w:val="en-US" w:eastAsia="zh-CN" w:bidi="ar"/>
              </w:rPr>
              <w:t>合理性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部门（单位）所设立的整体绩效目标依据是否充分，是否符合客观实际，用以反映和考核部门（单位）整体绩效目标与部门履职、年度工作任务的相符性情况。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t>①是否符合国家法律法规、国民经济和社会发展总体规划；</w:t>
            </w:r>
            <w:r>
              <w:rPr>
                <w:rStyle w:val="14"/>
                <w:rFonts w:eastAsia="宋体"/>
                <w:lang w:val="en-US" w:eastAsia="zh-CN" w:bidi="ar"/>
              </w:rPr>
              <w:br w:type="textWrapping"/>
            </w:r>
            <w:r>
              <w:rPr>
                <w:rStyle w:val="13"/>
                <w:lang w:val="en-US" w:eastAsia="zh-CN" w:bidi="ar"/>
              </w:rPr>
              <w:t>②是否符合部门</w:t>
            </w:r>
            <w:r>
              <w:rPr>
                <w:rStyle w:val="14"/>
                <w:rFonts w:eastAsia="宋体"/>
                <w:lang w:val="en-US" w:eastAsia="zh-CN" w:bidi="ar"/>
              </w:rPr>
              <w:t>“</w:t>
            </w:r>
            <w:r>
              <w:rPr>
                <w:rStyle w:val="13"/>
                <w:lang w:val="en-US" w:eastAsia="zh-CN" w:bidi="ar"/>
              </w:rPr>
              <w:t>三定</w:t>
            </w:r>
            <w:r>
              <w:rPr>
                <w:rStyle w:val="14"/>
                <w:rFonts w:eastAsia="宋体"/>
                <w:lang w:val="en-US" w:eastAsia="zh-CN" w:bidi="ar"/>
              </w:rPr>
              <w:t>”</w:t>
            </w:r>
            <w:r>
              <w:rPr>
                <w:rStyle w:val="13"/>
                <w:lang w:val="en-US" w:eastAsia="zh-CN" w:bidi="ar"/>
              </w:rPr>
              <w:t>方案确定的职责；</w:t>
            </w:r>
            <w:r>
              <w:rPr>
                <w:rStyle w:val="14"/>
                <w:rFonts w:eastAsia="宋体"/>
                <w:lang w:val="en-US" w:eastAsia="zh-CN" w:bidi="ar"/>
              </w:rPr>
              <w:br w:type="textWrapping"/>
            </w:r>
            <w:r>
              <w:rPr>
                <w:rStyle w:val="13"/>
                <w:lang w:val="en-US" w:eastAsia="zh-CN" w:bidi="ar"/>
              </w:rPr>
              <w:t>③是否符合部门制定的中长期实施规划。</w:t>
            </w:r>
            <w:r>
              <w:rPr>
                <w:rStyle w:val="14"/>
                <w:rFonts w:eastAsia="宋体"/>
                <w:lang w:val="en-US" w:eastAsia="zh-CN" w:bidi="ar"/>
              </w:rPr>
              <w:br w:type="textWrapping"/>
            </w:r>
            <w:r>
              <w:rPr>
                <w:rStyle w:val="13"/>
                <w:lang w:val="en-US" w:eastAsia="zh-CN" w:bidi="ar"/>
              </w:rPr>
              <w:t>以上各项每发现一起不符合要求扣</w:t>
            </w:r>
            <w:r>
              <w:rPr>
                <w:rStyle w:val="14"/>
                <w:rFonts w:eastAsia="宋体"/>
                <w:lang w:val="en-US" w:eastAsia="zh-CN" w:bidi="ar"/>
              </w:rPr>
              <w:t>1</w:t>
            </w:r>
            <w:r>
              <w:rPr>
                <w:rStyle w:val="13"/>
                <w:lang w:val="en-US" w:eastAsia="zh-CN" w:bidi="ar"/>
              </w:rPr>
              <w:t>分，扣完为止。</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绩效目标申报表；本县国民经济和社会发展规划；</w:t>
            </w:r>
            <w:r>
              <w:rPr>
                <w:rStyle w:val="14"/>
                <w:rFonts w:eastAsia="宋体"/>
                <w:lang w:val="en-US" w:eastAsia="zh-CN" w:bidi="ar"/>
              </w:rPr>
              <w:t>“</w:t>
            </w:r>
            <w:r>
              <w:rPr>
                <w:rStyle w:val="13"/>
                <w:lang w:val="en-US" w:eastAsia="zh-CN" w:bidi="ar"/>
              </w:rPr>
              <w:t>三定</w:t>
            </w:r>
            <w:r>
              <w:rPr>
                <w:rStyle w:val="14"/>
                <w:rFonts w:eastAsia="宋体"/>
                <w:lang w:val="en-US" w:eastAsia="zh-CN" w:bidi="ar"/>
              </w:rPr>
              <w:t>”</w:t>
            </w:r>
            <w:r>
              <w:rPr>
                <w:rStyle w:val="13"/>
                <w:lang w:val="en-US" w:eastAsia="zh-CN" w:bidi="ar"/>
              </w:rPr>
              <w:t>方案；部门职责；部门制定的中长期实施规划等。</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2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绩效指标</w:t>
            </w:r>
            <w:r>
              <w:rPr>
                <w:rStyle w:val="14"/>
                <w:rFonts w:eastAsia="宋体"/>
                <w:lang w:val="en-US" w:eastAsia="zh-CN" w:bidi="ar"/>
              </w:rPr>
              <w:br w:type="textWrapping"/>
            </w:r>
            <w:r>
              <w:rPr>
                <w:rStyle w:val="13"/>
                <w:lang w:val="en-US" w:eastAsia="zh-CN" w:bidi="ar"/>
              </w:rPr>
              <w:t>明确性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部门（单位）依据整体绩效目标所设定的绩效指标是否清晰、细化、可衡量，用以反映和考核部门整体绩效目标的明细化情况。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br w:type="textWrapping"/>
            </w:r>
            <w:r>
              <w:rPr>
                <w:rStyle w:val="13"/>
                <w:lang w:val="en-US" w:eastAsia="zh-CN" w:bidi="ar"/>
              </w:rPr>
              <w:t>①有目标，计</w:t>
            </w:r>
            <w:r>
              <w:rPr>
                <w:rStyle w:val="14"/>
                <w:rFonts w:eastAsia="宋体"/>
                <w:lang w:val="en-US" w:eastAsia="zh-CN" w:bidi="ar"/>
              </w:rPr>
              <w:t>1</w:t>
            </w:r>
            <w:r>
              <w:rPr>
                <w:rStyle w:val="13"/>
                <w:lang w:val="en-US" w:eastAsia="zh-CN" w:bidi="ar"/>
              </w:rPr>
              <w:t>分，否则不得分；</w:t>
            </w:r>
            <w:r>
              <w:rPr>
                <w:rStyle w:val="14"/>
                <w:rFonts w:eastAsia="宋体"/>
                <w:lang w:val="en-US" w:eastAsia="zh-CN" w:bidi="ar"/>
              </w:rPr>
              <w:br w:type="textWrapping"/>
            </w:r>
            <w:r>
              <w:rPr>
                <w:rStyle w:val="13"/>
                <w:lang w:val="en-US" w:eastAsia="zh-CN" w:bidi="ar"/>
              </w:rPr>
              <w:t>②目标明确，细化量化良好，个性指标中量化指标超过</w:t>
            </w:r>
            <w:r>
              <w:rPr>
                <w:rStyle w:val="14"/>
                <w:rFonts w:eastAsia="宋体"/>
                <w:lang w:val="en-US" w:eastAsia="zh-CN" w:bidi="ar"/>
              </w:rPr>
              <w:t>3</w:t>
            </w:r>
            <w:r>
              <w:rPr>
                <w:rStyle w:val="13"/>
                <w:lang w:val="en-US" w:eastAsia="zh-CN" w:bidi="ar"/>
              </w:rPr>
              <w:t>个，计</w:t>
            </w:r>
            <w:r>
              <w:rPr>
                <w:rStyle w:val="14"/>
                <w:rFonts w:eastAsia="宋体"/>
                <w:lang w:val="en-US" w:eastAsia="zh-CN" w:bidi="ar"/>
              </w:rPr>
              <w:t>1</w:t>
            </w:r>
            <w:r>
              <w:rPr>
                <w:rStyle w:val="13"/>
                <w:lang w:val="en-US" w:eastAsia="zh-CN" w:bidi="ar"/>
              </w:rPr>
              <w:t>分，量化指标为</w:t>
            </w:r>
            <w:r>
              <w:rPr>
                <w:rStyle w:val="14"/>
                <w:rFonts w:eastAsia="宋体"/>
                <w:lang w:val="en-US" w:eastAsia="zh-CN" w:bidi="ar"/>
              </w:rPr>
              <w:t>2</w:t>
            </w:r>
            <w:r>
              <w:rPr>
                <w:rStyle w:val="13"/>
                <w:lang w:val="en-US" w:eastAsia="zh-CN" w:bidi="ar"/>
              </w:rPr>
              <w:t>个，计</w:t>
            </w:r>
            <w:r>
              <w:rPr>
                <w:rStyle w:val="14"/>
                <w:rFonts w:eastAsia="宋体"/>
                <w:lang w:val="en-US" w:eastAsia="zh-CN" w:bidi="ar"/>
              </w:rPr>
              <w:t>0.5</w:t>
            </w:r>
            <w:r>
              <w:rPr>
                <w:rStyle w:val="13"/>
                <w:lang w:val="en-US" w:eastAsia="zh-CN" w:bidi="ar"/>
              </w:rPr>
              <w:t>分，</w:t>
            </w:r>
            <w:r>
              <w:rPr>
                <w:rStyle w:val="14"/>
                <w:rFonts w:eastAsia="宋体"/>
                <w:lang w:val="en-US" w:eastAsia="zh-CN" w:bidi="ar"/>
              </w:rPr>
              <w:t>2</w:t>
            </w:r>
            <w:r>
              <w:rPr>
                <w:rStyle w:val="13"/>
                <w:lang w:val="en-US" w:eastAsia="zh-CN" w:bidi="ar"/>
              </w:rPr>
              <w:t>个以下不得分；</w:t>
            </w:r>
            <w:r>
              <w:rPr>
                <w:rStyle w:val="14"/>
                <w:rFonts w:eastAsia="宋体"/>
                <w:lang w:val="en-US" w:eastAsia="zh-CN" w:bidi="ar"/>
              </w:rPr>
              <w:br w:type="textWrapping"/>
            </w:r>
            <w:r>
              <w:rPr>
                <w:rStyle w:val="13"/>
                <w:lang w:val="en-US" w:eastAsia="zh-CN" w:bidi="ar"/>
              </w:rPr>
              <w:t>③与年度任务数或计划数相对应，计</w:t>
            </w:r>
            <w:r>
              <w:rPr>
                <w:rStyle w:val="14"/>
                <w:rFonts w:eastAsia="宋体"/>
                <w:lang w:val="en-US" w:eastAsia="zh-CN" w:bidi="ar"/>
              </w:rPr>
              <w:t>1</w:t>
            </w:r>
            <w:r>
              <w:rPr>
                <w:rStyle w:val="13"/>
                <w:lang w:val="en-US" w:eastAsia="zh-CN" w:bidi="ar"/>
              </w:rPr>
              <w:t>分，大于</w:t>
            </w:r>
            <w:r>
              <w:rPr>
                <w:rStyle w:val="14"/>
                <w:rFonts w:eastAsia="宋体"/>
                <w:lang w:val="en-US" w:eastAsia="zh-CN" w:bidi="ar"/>
              </w:rPr>
              <w:t>50%</w:t>
            </w:r>
            <w:r>
              <w:rPr>
                <w:rStyle w:val="13"/>
                <w:lang w:val="en-US" w:eastAsia="zh-CN" w:bidi="ar"/>
              </w:rPr>
              <w:t>计</w:t>
            </w:r>
            <w:r>
              <w:rPr>
                <w:rStyle w:val="14"/>
                <w:rFonts w:eastAsia="宋体"/>
                <w:lang w:val="en-US" w:eastAsia="zh-CN" w:bidi="ar"/>
              </w:rPr>
              <w:t>0.5</w:t>
            </w:r>
            <w:r>
              <w:rPr>
                <w:rStyle w:val="13"/>
                <w:lang w:val="en-US" w:eastAsia="zh-CN" w:bidi="ar"/>
              </w:rPr>
              <w:t>分，对应低于</w:t>
            </w:r>
            <w:r>
              <w:rPr>
                <w:rStyle w:val="14"/>
                <w:rFonts w:eastAsia="宋体"/>
                <w:lang w:val="en-US" w:eastAsia="zh-CN" w:bidi="ar"/>
              </w:rPr>
              <w:t>50%</w:t>
            </w:r>
            <w:r>
              <w:rPr>
                <w:rStyle w:val="13"/>
                <w:lang w:val="en-US" w:eastAsia="zh-CN" w:bidi="ar"/>
              </w:rPr>
              <w:t>不计分；</w:t>
            </w:r>
            <w:r>
              <w:rPr>
                <w:rStyle w:val="14"/>
                <w:rFonts w:eastAsia="宋体"/>
                <w:lang w:val="en-US" w:eastAsia="zh-CN" w:bidi="ar"/>
              </w:rPr>
              <w:br w:type="textWrapping"/>
            </w:r>
            <w:r>
              <w:rPr>
                <w:rStyle w:val="13"/>
                <w:lang w:val="en-US" w:eastAsia="zh-CN" w:bidi="ar"/>
              </w:rPr>
              <w:t>④目标与资金匹配良好，逻辑关系明确，计</w:t>
            </w:r>
            <w:r>
              <w:rPr>
                <w:rStyle w:val="14"/>
                <w:rFonts w:eastAsia="宋体"/>
                <w:lang w:val="en-US" w:eastAsia="zh-CN" w:bidi="ar"/>
              </w:rPr>
              <w:t>1</w:t>
            </w:r>
            <w:r>
              <w:rPr>
                <w:rStyle w:val="13"/>
                <w:lang w:val="en-US" w:eastAsia="zh-CN" w:bidi="ar"/>
              </w:rPr>
              <w:t>分，否则不得分。</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绩效目标申报表；年度任务数或计划数；预算批复等。</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8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13"/>
                <w:lang w:val="en-US" w:eastAsia="zh-CN" w:bidi="ar"/>
              </w:rPr>
              <w:t>预算</w:t>
            </w:r>
            <w:r>
              <w:rPr>
                <w:rStyle w:val="14"/>
                <w:rFonts w:eastAsia="宋体"/>
                <w:lang w:val="en-US" w:eastAsia="zh-CN" w:bidi="ar"/>
              </w:rPr>
              <w:br w:type="textWrapping"/>
            </w:r>
            <w:r>
              <w:rPr>
                <w:rStyle w:val="13"/>
                <w:lang w:val="en-US" w:eastAsia="zh-CN" w:bidi="ar"/>
              </w:rPr>
              <w:t>配置</w:t>
            </w:r>
            <w:r>
              <w:rPr>
                <w:rStyle w:val="14"/>
                <w:rFonts w:eastAsia="宋体"/>
                <w:lang w:val="en-US" w:eastAsia="zh-CN" w:bidi="ar"/>
              </w:rPr>
              <w:br w:type="textWrapping"/>
            </w:r>
            <w:r>
              <w:rPr>
                <w:rStyle w:val="13"/>
                <w:lang w:val="en-US" w:eastAsia="zh-CN" w:bidi="ar"/>
              </w:rPr>
              <w:t>（</w:t>
            </w:r>
            <w:r>
              <w:rPr>
                <w:rStyle w:val="14"/>
                <w:rFonts w:eastAsia="宋体"/>
                <w:lang w:val="en-US" w:eastAsia="zh-CN" w:bidi="ar"/>
              </w:rPr>
              <w:t>7</w:t>
            </w:r>
            <w:r>
              <w:rPr>
                <w:rStyle w:val="13"/>
                <w:lang w:val="en-US" w:eastAsia="zh-CN" w:bidi="ar"/>
              </w:rPr>
              <w:t>分）</w:t>
            </w: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人员</w:t>
            </w:r>
            <w:r>
              <w:rPr>
                <w:rStyle w:val="14"/>
                <w:rFonts w:eastAsia="宋体"/>
                <w:lang w:val="en-US" w:eastAsia="zh-CN" w:bidi="ar"/>
              </w:rPr>
              <w:br w:type="textWrapping"/>
            </w:r>
            <w:r>
              <w:rPr>
                <w:rStyle w:val="13"/>
                <w:lang w:val="en-US" w:eastAsia="zh-CN" w:bidi="ar"/>
              </w:rPr>
              <w:t>控制率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部门（单位）本年度实际在职人员数与编制数的比率，用以反映和考核部门（单位）对人员成本的控制程度。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br w:type="textWrapping"/>
            </w:r>
            <w:r>
              <w:rPr>
                <w:rStyle w:val="13"/>
                <w:lang w:val="en-US" w:eastAsia="zh-CN" w:bidi="ar"/>
              </w:rPr>
              <w:t>在职人员控制率</w:t>
            </w:r>
            <w:r>
              <w:rPr>
                <w:rStyle w:val="14"/>
                <w:rFonts w:eastAsia="宋体"/>
                <w:lang w:val="en-US" w:eastAsia="zh-CN" w:bidi="ar"/>
              </w:rPr>
              <w:t>=</w:t>
            </w:r>
            <w:r>
              <w:rPr>
                <w:rStyle w:val="13"/>
                <w:lang w:val="en-US" w:eastAsia="zh-CN" w:bidi="ar"/>
              </w:rPr>
              <w:t>（在职人员数</w:t>
            </w:r>
            <w:r>
              <w:rPr>
                <w:rStyle w:val="14"/>
                <w:rFonts w:eastAsia="宋体"/>
                <w:lang w:val="en-US" w:eastAsia="zh-CN" w:bidi="ar"/>
              </w:rPr>
              <w:t>/</w:t>
            </w:r>
            <w:r>
              <w:rPr>
                <w:rStyle w:val="13"/>
                <w:lang w:val="en-US" w:eastAsia="zh-CN" w:bidi="ar"/>
              </w:rPr>
              <w:t>编制数）</w:t>
            </w:r>
            <w:r>
              <w:rPr>
                <w:rStyle w:val="14"/>
                <w:rFonts w:eastAsia="宋体"/>
                <w:lang w:val="en-US" w:eastAsia="zh-CN" w:bidi="ar"/>
              </w:rPr>
              <w:t>×100%</w:t>
            </w:r>
            <w:r>
              <w:rPr>
                <w:rStyle w:val="13"/>
                <w:lang w:val="en-US" w:eastAsia="zh-CN" w:bidi="ar"/>
              </w:rPr>
              <w:t>。</w:t>
            </w:r>
            <w:r>
              <w:rPr>
                <w:rStyle w:val="14"/>
                <w:rFonts w:eastAsia="宋体"/>
                <w:lang w:val="en-US" w:eastAsia="zh-CN" w:bidi="ar"/>
              </w:rPr>
              <w:br w:type="textWrapping"/>
            </w:r>
            <w:r>
              <w:rPr>
                <w:rStyle w:val="13"/>
                <w:lang w:val="en-US" w:eastAsia="zh-CN" w:bidi="ar"/>
              </w:rPr>
              <w:t>在职人员数：部门（单位）实际在职人数</w:t>
            </w:r>
            <w:r>
              <w:rPr>
                <w:rStyle w:val="14"/>
                <w:rFonts w:eastAsia="宋体"/>
                <w:lang w:val="en-US" w:eastAsia="zh-CN" w:bidi="ar"/>
              </w:rPr>
              <w:t>,</w:t>
            </w:r>
            <w:r>
              <w:rPr>
                <w:rStyle w:val="13"/>
                <w:lang w:val="en-US" w:eastAsia="zh-CN" w:bidi="ar"/>
              </w:rPr>
              <w:t>以财政部门确定的部门决算编制口径为准。</w:t>
            </w:r>
            <w:r>
              <w:rPr>
                <w:rStyle w:val="14"/>
                <w:rFonts w:eastAsia="宋体"/>
                <w:lang w:val="en-US" w:eastAsia="zh-CN" w:bidi="ar"/>
              </w:rPr>
              <w:br w:type="textWrapping"/>
            </w:r>
            <w:r>
              <w:rPr>
                <w:rStyle w:val="13"/>
                <w:lang w:val="en-US" w:eastAsia="zh-CN" w:bidi="ar"/>
              </w:rPr>
              <w:t>编制数：机构编制部门核定批复的部门（单位）人员编制数。</w:t>
            </w:r>
            <w:r>
              <w:rPr>
                <w:rStyle w:val="14"/>
                <w:rFonts w:eastAsia="宋体"/>
                <w:lang w:val="en-US" w:eastAsia="zh-CN" w:bidi="ar"/>
              </w:rPr>
              <w:t xml:space="preserve">   </w:t>
            </w:r>
            <w:r>
              <w:rPr>
                <w:rStyle w:val="14"/>
                <w:rFonts w:eastAsia="宋体"/>
                <w:lang w:val="en-US" w:eastAsia="zh-CN" w:bidi="ar"/>
              </w:rPr>
              <w:br w:type="textWrapping"/>
            </w:r>
            <w:r>
              <w:rPr>
                <w:rStyle w:val="13"/>
                <w:lang w:val="en-US" w:eastAsia="zh-CN" w:bidi="ar"/>
              </w:rPr>
              <w:t>在职人员控制率≦</w:t>
            </w:r>
            <w:r>
              <w:rPr>
                <w:rStyle w:val="14"/>
                <w:rFonts w:eastAsia="宋体"/>
                <w:lang w:val="en-US" w:eastAsia="zh-CN" w:bidi="ar"/>
              </w:rPr>
              <w:t>100%</w:t>
            </w:r>
            <w:r>
              <w:rPr>
                <w:rStyle w:val="13"/>
                <w:lang w:val="en-US" w:eastAsia="zh-CN" w:bidi="ar"/>
              </w:rPr>
              <w:t>计</w:t>
            </w:r>
            <w:r>
              <w:rPr>
                <w:rStyle w:val="14"/>
                <w:rFonts w:eastAsia="宋体"/>
                <w:lang w:val="en-US" w:eastAsia="zh-CN" w:bidi="ar"/>
              </w:rPr>
              <w:t>2</w:t>
            </w:r>
            <w:r>
              <w:rPr>
                <w:rStyle w:val="13"/>
                <w:lang w:val="en-US" w:eastAsia="zh-CN" w:bidi="ar"/>
              </w:rPr>
              <w:t>分，每超出</w:t>
            </w:r>
            <w:r>
              <w:rPr>
                <w:rStyle w:val="14"/>
                <w:rFonts w:eastAsia="宋体"/>
                <w:lang w:val="en-US" w:eastAsia="zh-CN" w:bidi="ar"/>
              </w:rPr>
              <w:t>1%</w:t>
            </w:r>
            <w:r>
              <w:rPr>
                <w:rStyle w:val="13"/>
                <w:lang w:val="en-US" w:eastAsia="zh-CN" w:bidi="ar"/>
              </w:rPr>
              <w:t>扣</w:t>
            </w:r>
            <w:r>
              <w:rPr>
                <w:rStyle w:val="14"/>
                <w:rFonts w:eastAsia="宋体"/>
                <w:lang w:val="en-US" w:eastAsia="zh-CN" w:bidi="ar"/>
              </w:rPr>
              <w:t>0.2</w:t>
            </w:r>
            <w:r>
              <w:rPr>
                <w:rStyle w:val="13"/>
                <w:lang w:val="en-US" w:eastAsia="zh-CN" w:bidi="ar"/>
              </w:rPr>
              <w:t>分，扣完为止。</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部门（单位）决算报表；机构编制部门核定批复的部门（单位）的人员编制数。</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0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4"/>
                <w:rFonts w:eastAsia="宋体"/>
                <w:lang w:val="en-US" w:eastAsia="zh-CN" w:bidi="ar"/>
              </w:rPr>
              <w:br w:type="textWrapping"/>
            </w:r>
            <w:r>
              <w:rPr>
                <w:rStyle w:val="13"/>
                <w:lang w:val="en-US" w:eastAsia="zh-CN" w:bidi="ar"/>
              </w:rPr>
              <w:t>变动率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部门本年度</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预算数与上年度</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预算数的变动比率，用以反映和考核部门对控制重点行政成本的努力程度。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br w:type="textWrapping"/>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变动率</w:t>
            </w:r>
            <w:r>
              <w:rPr>
                <w:rStyle w:val="14"/>
                <w:rFonts w:eastAsia="宋体"/>
                <w:lang w:val="en-US" w:eastAsia="zh-CN" w:bidi="ar"/>
              </w:rPr>
              <w:t>=[</w:t>
            </w:r>
            <w:r>
              <w:rPr>
                <w:rStyle w:val="13"/>
                <w:lang w:val="en-US" w:eastAsia="zh-CN" w:bidi="ar"/>
              </w:rPr>
              <w:t>（本年度</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总额</w:t>
            </w:r>
            <w:r>
              <w:rPr>
                <w:rStyle w:val="14"/>
                <w:rFonts w:eastAsia="宋体"/>
                <w:lang w:val="en-US" w:eastAsia="zh-CN" w:bidi="ar"/>
              </w:rPr>
              <w:t>-</w:t>
            </w:r>
            <w:r>
              <w:rPr>
                <w:rStyle w:val="13"/>
                <w:lang w:val="en-US" w:eastAsia="zh-CN" w:bidi="ar"/>
              </w:rPr>
              <w:t>上年度</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总额）</w:t>
            </w:r>
            <w:r>
              <w:rPr>
                <w:rStyle w:val="14"/>
                <w:rFonts w:eastAsia="宋体"/>
                <w:lang w:val="en-US" w:eastAsia="zh-CN" w:bidi="ar"/>
              </w:rPr>
              <w:t>/</w:t>
            </w:r>
            <w:r>
              <w:rPr>
                <w:rStyle w:val="13"/>
                <w:lang w:val="en-US" w:eastAsia="zh-CN" w:bidi="ar"/>
              </w:rPr>
              <w:t>上年度</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总额</w:t>
            </w:r>
            <w:r>
              <w:rPr>
                <w:rStyle w:val="14"/>
                <w:rFonts w:eastAsia="宋体"/>
                <w:lang w:val="en-US" w:eastAsia="zh-CN" w:bidi="ar"/>
              </w:rPr>
              <w:t>]×100%</w:t>
            </w:r>
            <w:r>
              <w:rPr>
                <w:rStyle w:val="13"/>
                <w:lang w:val="en-US" w:eastAsia="zh-CN" w:bidi="ar"/>
              </w:rPr>
              <w:t>。</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：年度预算安排的因公出国（境）费、公务车辆购置及运行费和公务招待费。</w:t>
            </w:r>
            <w:r>
              <w:rPr>
                <w:rStyle w:val="14"/>
                <w:rFonts w:eastAsia="宋体"/>
                <w:lang w:val="en-US" w:eastAsia="zh-CN" w:bidi="ar"/>
              </w:rPr>
              <w:br w:type="textWrapping"/>
            </w:r>
            <w:r>
              <w:rPr>
                <w:rStyle w:val="13"/>
                <w:lang w:val="en-US" w:eastAsia="zh-CN" w:bidi="ar"/>
              </w:rPr>
              <w:t>该项得分，变动率为负数，计</w:t>
            </w:r>
            <w:r>
              <w:rPr>
                <w:rStyle w:val="14"/>
                <w:rFonts w:eastAsia="宋体"/>
                <w:lang w:val="en-US" w:eastAsia="zh-CN" w:bidi="ar"/>
              </w:rPr>
              <w:t>2</w:t>
            </w:r>
            <w:r>
              <w:rPr>
                <w:rStyle w:val="13"/>
                <w:lang w:val="en-US" w:eastAsia="zh-CN" w:bidi="ar"/>
              </w:rPr>
              <w:t>分，变动率为正数，计</w:t>
            </w:r>
            <w:r>
              <w:rPr>
                <w:rStyle w:val="14"/>
                <w:rFonts w:eastAsia="宋体"/>
                <w:lang w:val="en-US" w:eastAsia="zh-CN" w:bidi="ar"/>
              </w:rPr>
              <w:t>0</w:t>
            </w:r>
            <w:r>
              <w:rPr>
                <w:rStyle w:val="13"/>
                <w:lang w:val="en-US" w:eastAsia="zh-CN" w:bidi="ar"/>
              </w:rPr>
              <w:t>分。年度内</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完成数超过预算数，则该项计</w:t>
            </w:r>
            <w:r>
              <w:rPr>
                <w:rStyle w:val="14"/>
                <w:rFonts w:eastAsia="宋体"/>
                <w:lang w:val="en-US" w:eastAsia="zh-CN" w:bidi="ar"/>
              </w:rPr>
              <w:t>0</w:t>
            </w:r>
            <w:r>
              <w:rPr>
                <w:rStyle w:val="13"/>
                <w:lang w:val="en-US" w:eastAsia="zh-CN" w:bidi="ar"/>
              </w:rPr>
              <w:t>分。</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本年度和上年度部门（单位）预算</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报表；</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4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重点</w:t>
            </w:r>
            <w:r>
              <w:rPr>
                <w:rStyle w:val="14"/>
                <w:rFonts w:eastAsia="宋体"/>
                <w:lang w:val="en-US" w:eastAsia="zh-CN" w:bidi="ar"/>
              </w:rPr>
              <w:br w:type="textWrapping"/>
            </w:r>
            <w:r>
              <w:rPr>
                <w:rStyle w:val="13"/>
                <w:lang w:val="en-US" w:eastAsia="zh-CN" w:bidi="ar"/>
              </w:rPr>
              <w:t>支出</w:t>
            </w:r>
            <w:r>
              <w:rPr>
                <w:rStyle w:val="14"/>
                <w:rFonts w:eastAsia="宋体"/>
                <w:lang w:val="en-US" w:eastAsia="zh-CN" w:bidi="ar"/>
              </w:rPr>
              <w:br w:type="textWrapping"/>
            </w:r>
            <w:r>
              <w:rPr>
                <w:rStyle w:val="13"/>
                <w:lang w:val="en-US" w:eastAsia="zh-CN" w:bidi="ar"/>
              </w:rPr>
              <w:t>安排率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部门本年度重点实际支出与预算安排的重点预算支出的比率，用以反映和考核部门对履行主要职责或完成重点任务的保障程度。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重点支出安排率</w:t>
            </w:r>
            <w:r>
              <w:rPr>
                <w:rStyle w:val="14"/>
                <w:rFonts w:eastAsia="宋体"/>
                <w:lang w:val="en-US" w:eastAsia="zh-CN" w:bidi="ar"/>
              </w:rPr>
              <w:t>=</w:t>
            </w:r>
            <w:r>
              <w:rPr>
                <w:rStyle w:val="13"/>
                <w:lang w:val="en-US" w:eastAsia="zh-CN" w:bidi="ar"/>
              </w:rPr>
              <w:t>（重点实际支出</w:t>
            </w:r>
            <w:r>
              <w:rPr>
                <w:rStyle w:val="14"/>
                <w:rFonts w:eastAsia="宋体"/>
                <w:lang w:val="en-US" w:eastAsia="zh-CN" w:bidi="ar"/>
              </w:rPr>
              <w:t>/</w:t>
            </w:r>
            <w:r>
              <w:rPr>
                <w:rStyle w:val="13"/>
                <w:lang w:val="en-US" w:eastAsia="zh-CN" w:bidi="ar"/>
              </w:rPr>
              <w:t>重点预算支出）</w:t>
            </w:r>
            <w:r>
              <w:rPr>
                <w:rStyle w:val="14"/>
                <w:rFonts w:eastAsia="宋体"/>
                <w:lang w:val="en-US" w:eastAsia="zh-CN" w:bidi="ar"/>
              </w:rPr>
              <w:t>×100%</w:t>
            </w:r>
            <w:r>
              <w:rPr>
                <w:rStyle w:val="13"/>
                <w:lang w:val="en-US" w:eastAsia="zh-CN" w:bidi="ar"/>
              </w:rPr>
              <w:t>。重点预算支出：部门年度预算安排的，与本部门履职和发展密切相关、具有明显社会和经济影响、党委政府关心或社会比较关注的预算支出支出总额。该指标参考部门年度项目支出及其预算。</w:t>
            </w:r>
            <w:r>
              <w:rPr>
                <w:rStyle w:val="14"/>
                <w:rFonts w:eastAsia="宋体"/>
                <w:lang w:val="en-US" w:eastAsia="zh-CN" w:bidi="ar"/>
              </w:rPr>
              <w:br w:type="textWrapping"/>
            </w:r>
            <w:r>
              <w:rPr>
                <w:rStyle w:val="13"/>
                <w:lang w:val="en-US" w:eastAsia="zh-CN" w:bidi="ar"/>
              </w:rPr>
              <w:t>该项得分</w:t>
            </w:r>
            <w:r>
              <w:rPr>
                <w:rStyle w:val="14"/>
                <w:rFonts w:eastAsia="宋体"/>
                <w:lang w:val="en-US" w:eastAsia="zh-CN" w:bidi="ar"/>
              </w:rPr>
              <w:t>=</w:t>
            </w:r>
            <w:r>
              <w:rPr>
                <w:rStyle w:val="13"/>
                <w:lang w:val="en-US" w:eastAsia="zh-CN" w:bidi="ar"/>
              </w:rPr>
              <w:t>安排率</w:t>
            </w:r>
            <w:r>
              <w:rPr>
                <w:rStyle w:val="14"/>
                <w:rFonts w:eastAsia="宋体"/>
                <w:lang w:val="en-US" w:eastAsia="zh-CN" w:bidi="ar"/>
              </w:rPr>
              <w:t>×2</w:t>
            </w:r>
            <w:r>
              <w:rPr>
                <w:rStyle w:val="13"/>
                <w:lang w:val="en-US" w:eastAsia="zh-CN" w:bidi="ar"/>
              </w:rPr>
              <w:t>分。每超出</w:t>
            </w:r>
            <w:r>
              <w:rPr>
                <w:rStyle w:val="14"/>
                <w:rFonts w:eastAsia="宋体"/>
                <w:lang w:val="en-US" w:eastAsia="zh-CN" w:bidi="ar"/>
              </w:rPr>
              <w:t>5</w:t>
            </w:r>
            <w:r>
              <w:rPr>
                <w:rStyle w:val="13"/>
                <w:lang w:val="en-US" w:eastAsia="zh-CN" w:bidi="ar"/>
              </w:rPr>
              <w:t>%扣</w:t>
            </w:r>
            <w:r>
              <w:rPr>
                <w:rStyle w:val="14"/>
                <w:rFonts w:eastAsia="宋体"/>
                <w:lang w:val="en-US" w:eastAsia="zh-CN" w:bidi="ar"/>
              </w:rPr>
              <w:t>0.5</w:t>
            </w:r>
            <w:r>
              <w:rPr>
                <w:rStyle w:val="13"/>
                <w:lang w:val="en-US" w:eastAsia="zh-CN" w:bidi="ar"/>
              </w:rPr>
              <w:t>分，扣完为止。</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财政部门批复的本年度部门（单位）预算；本年度部门（单位）决算报表。</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非税</w:t>
            </w:r>
            <w:r>
              <w:rPr>
                <w:rStyle w:val="14"/>
                <w:rFonts w:eastAsia="宋体"/>
                <w:lang w:val="en-US" w:eastAsia="zh-CN" w:bidi="ar"/>
              </w:rPr>
              <w:br w:type="textWrapping"/>
            </w:r>
            <w:r>
              <w:rPr>
                <w:rStyle w:val="13"/>
                <w:lang w:val="en-US" w:eastAsia="zh-CN" w:bidi="ar"/>
              </w:rPr>
              <w:t>收入</w:t>
            </w:r>
            <w:r>
              <w:rPr>
                <w:rStyle w:val="14"/>
                <w:rFonts w:eastAsia="宋体"/>
                <w:lang w:val="en-US" w:eastAsia="zh-CN" w:bidi="ar"/>
              </w:rPr>
              <w:br w:type="textWrapping"/>
            </w:r>
            <w:r>
              <w:rPr>
                <w:rStyle w:val="13"/>
                <w:lang w:val="en-US" w:eastAsia="zh-CN" w:bidi="ar"/>
              </w:rPr>
              <w:t>安排率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反映部门本年度非税收入完成情况。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br w:type="textWrapping"/>
            </w:r>
            <w:r>
              <w:rPr>
                <w:rStyle w:val="13"/>
                <w:lang w:val="en-US" w:eastAsia="zh-CN" w:bidi="ar"/>
              </w:rPr>
              <w:t>非税收入完成率</w:t>
            </w:r>
            <w:r>
              <w:rPr>
                <w:rStyle w:val="14"/>
                <w:rFonts w:eastAsia="宋体"/>
                <w:lang w:val="en-US" w:eastAsia="zh-CN" w:bidi="ar"/>
              </w:rPr>
              <w:t>=</w:t>
            </w:r>
            <w:r>
              <w:rPr>
                <w:rStyle w:val="13"/>
                <w:lang w:val="en-US" w:eastAsia="zh-CN" w:bidi="ar"/>
              </w:rPr>
              <w:t>（非税实际收入完成数</w:t>
            </w:r>
            <w:r>
              <w:rPr>
                <w:rStyle w:val="14"/>
                <w:rFonts w:eastAsia="宋体"/>
                <w:lang w:val="en-US" w:eastAsia="zh-CN" w:bidi="ar"/>
              </w:rPr>
              <w:t>/</w:t>
            </w:r>
            <w:r>
              <w:rPr>
                <w:rStyle w:val="13"/>
                <w:lang w:val="en-US" w:eastAsia="zh-CN" w:bidi="ar"/>
              </w:rPr>
              <w:t>非税收入预算数）</w:t>
            </w:r>
            <w:r>
              <w:rPr>
                <w:rStyle w:val="14"/>
                <w:rFonts w:eastAsia="宋体"/>
                <w:lang w:val="en-US" w:eastAsia="zh-CN" w:bidi="ar"/>
              </w:rPr>
              <w:t>×100%</w:t>
            </w:r>
            <w:r>
              <w:rPr>
                <w:rStyle w:val="13"/>
                <w:lang w:val="en-US" w:eastAsia="zh-CN" w:bidi="ar"/>
              </w:rPr>
              <w:t>，有减免因素的，以财政事务中心确定的为准。</w:t>
            </w:r>
            <w:r>
              <w:rPr>
                <w:rStyle w:val="14"/>
                <w:rFonts w:eastAsia="宋体"/>
                <w:lang w:val="en-US" w:eastAsia="zh-CN" w:bidi="ar"/>
              </w:rPr>
              <w:br w:type="textWrapping"/>
            </w:r>
            <w:r>
              <w:rPr>
                <w:rStyle w:val="13"/>
                <w:lang w:val="en-US" w:eastAsia="zh-CN" w:bidi="ar"/>
              </w:rPr>
              <w:t>该项得分</w:t>
            </w:r>
            <w:r>
              <w:rPr>
                <w:rStyle w:val="14"/>
                <w:rFonts w:eastAsia="宋体"/>
                <w:lang w:val="en-US" w:eastAsia="zh-CN" w:bidi="ar"/>
              </w:rPr>
              <w:t>=</w:t>
            </w:r>
            <w:r>
              <w:rPr>
                <w:rStyle w:val="13"/>
                <w:lang w:val="en-US" w:eastAsia="zh-CN" w:bidi="ar"/>
              </w:rPr>
              <w:t>完成率</w:t>
            </w:r>
            <w:r>
              <w:rPr>
                <w:rStyle w:val="14"/>
                <w:rFonts w:eastAsia="宋体"/>
                <w:lang w:val="en-US" w:eastAsia="zh-CN" w:bidi="ar"/>
              </w:rPr>
              <w:t>×1</w:t>
            </w:r>
            <w:r>
              <w:rPr>
                <w:rStyle w:val="13"/>
                <w:lang w:val="en-US" w:eastAsia="zh-CN" w:bidi="ar"/>
              </w:rPr>
              <w:t>分。</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财政部门批复的本年度部门（单位）预算；本年度部门（单位）决算报表。</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85" w:hRule="atLeast"/>
          <w:jc w:val="center"/>
        </w:trPr>
        <w:tc>
          <w:tcPr>
            <w:tcW w:w="873" w:type="dxa"/>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13"/>
                <w:lang w:val="en-US" w:eastAsia="zh-CN" w:bidi="ar"/>
              </w:rPr>
              <w:t>过程</w:t>
            </w:r>
            <w:r>
              <w:rPr>
                <w:rStyle w:val="14"/>
                <w:rFonts w:eastAsia="宋体"/>
                <w:lang w:val="en-US" w:eastAsia="zh-CN" w:bidi="ar"/>
              </w:rPr>
              <w:br w:type="textWrapping"/>
            </w:r>
            <w:r>
              <w:rPr>
                <w:rStyle w:val="13"/>
                <w:lang w:val="en-US" w:eastAsia="zh-CN" w:bidi="ar"/>
              </w:rPr>
              <w:t>（</w:t>
            </w:r>
            <w:r>
              <w:rPr>
                <w:rStyle w:val="14"/>
                <w:rFonts w:eastAsia="宋体"/>
                <w:lang w:val="en-US" w:eastAsia="zh-CN" w:bidi="ar"/>
              </w:rPr>
              <w:t>47</w:t>
            </w:r>
            <w:r>
              <w:rPr>
                <w:rStyle w:val="13"/>
                <w:lang w:val="en-US" w:eastAsia="zh-CN" w:bidi="ar"/>
              </w:rPr>
              <w:t>分）</w:t>
            </w:r>
          </w:p>
        </w:tc>
        <w:tc>
          <w:tcPr>
            <w:tcW w:w="870" w:type="dxa"/>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13"/>
                <w:lang w:val="en-US" w:eastAsia="zh-CN" w:bidi="ar"/>
              </w:rPr>
              <w:t>预算</w:t>
            </w:r>
            <w:r>
              <w:rPr>
                <w:rStyle w:val="14"/>
                <w:rFonts w:eastAsia="宋体"/>
                <w:lang w:val="en-US" w:eastAsia="zh-CN" w:bidi="ar"/>
              </w:rPr>
              <w:br w:type="textWrapping"/>
            </w:r>
            <w:r>
              <w:rPr>
                <w:rStyle w:val="13"/>
                <w:lang w:val="en-US" w:eastAsia="zh-CN" w:bidi="ar"/>
              </w:rPr>
              <w:t>执行</w:t>
            </w:r>
            <w:r>
              <w:rPr>
                <w:rStyle w:val="14"/>
                <w:rFonts w:eastAsia="宋体"/>
                <w:lang w:val="en-US" w:eastAsia="zh-CN" w:bidi="ar"/>
              </w:rPr>
              <w:br w:type="textWrapping"/>
            </w:r>
            <w:r>
              <w:rPr>
                <w:rStyle w:val="14"/>
                <w:rFonts w:eastAsia="宋体"/>
                <w:lang w:val="en-US" w:eastAsia="zh-CN" w:bidi="ar"/>
              </w:rPr>
              <w:t>(13</w:t>
            </w:r>
            <w:r>
              <w:rPr>
                <w:rStyle w:val="13"/>
                <w:lang w:val="en-US" w:eastAsia="zh-CN" w:bidi="ar"/>
              </w:rPr>
              <w:t>分）</w:t>
            </w: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预算</w:t>
            </w:r>
            <w:r>
              <w:rPr>
                <w:rStyle w:val="14"/>
                <w:rFonts w:eastAsia="宋体"/>
                <w:lang w:val="en-US" w:eastAsia="zh-CN" w:bidi="ar"/>
              </w:rPr>
              <w:br w:type="textWrapping"/>
            </w:r>
            <w:r>
              <w:rPr>
                <w:rStyle w:val="13"/>
                <w:lang w:val="en-US" w:eastAsia="zh-CN" w:bidi="ar"/>
              </w:rPr>
              <w:t>执行率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w:t>
            </w:r>
          </w:p>
        </w:tc>
        <w:tc>
          <w:tcPr>
            <w:tcW w:w="2570"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部门（单位）本年度预算完成数与预算数的比率，用以反映和考核部门（单位）预算完成程度；部门（单位）本年度对项目支出绩效监控情况。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br w:type="textWrapping"/>
            </w:r>
            <w:r>
              <w:rPr>
                <w:rStyle w:val="13"/>
                <w:lang w:val="en-US" w:eastAsia="zh-CN" w:bidi="ar"/>
              </w:rPr>
              <w:t>①预算执行率</w:t>
            </w:r>
            <w:r>
              <w:rPr>
                <w:rStyle w:val="14"/>
                <w:rFonts w:eastAsia="宋体"/>
                <w:lang w:val="en-US" w:eastAsia="zh-CN" w:bidi="ar"/>
              </w:rPr>
              <w:t>=</w:t>
            </w:r>
            <w:r>
              <w:rPr>
                <w:rStyle w:val="13"/>
                <w:lang w:val="en-US" w:eastAsia="zh-CN" w:bidi="ar"/>
              </w:rPr>
              <w:t>（预算完成数</w:t>
            </w:r>
            <w:r>
              <w:rPr>
                <w:rStyle w:val="14"/>
                <w:rFonts w:eastAsia="宋体"/>
                <w:lang w:val="en-US" w:eastAsia="zh-CN" w:bidi="ar"/>
              </w:rPr>
              <w:t>/</w:t>
            </w:r>
            <w:r>
              <w:rPr>
                <w:rStyle w:val="13"/>
                <w:lang w:val="en-US" w:eastAsia="zh-CN" w:bidi="ar"/>
              </w:rPr>
              <w:t>预算数）</w:t>
            </w:r>
            <w:r>
              <w:rPr>
                <w:rStyle w:val="14"/>
                <w:rFonts w:eastAsia="宋体"/>
                <w:lang w:val="en-US" w:eastAsia="zh-CN" w:bidi="ar"/>
              </w:rPr>
              <w:t>×100%</w:t>
            </w:r>
            <w:r>
              <w:rPr>
                <w:rStyle w:val="13"/>
                <w:lang w:val="en-US" w:eastAsia="zh-CN" w:bidi="ar"/>
              </w:rPr>
              <w:t>。</w:t>
            </w:r>
            <w:r>
              <w:rPr>
                <w:rStyle w:val="14"/>
                <w:rFonts w:eastAsia="宋体"/>
                <w:lang w:val="en-US" w:eastAsia="zh-CN" w:bidi="ar"/>
              </w:rPr>
              <w:br w:type="textWrapping"/>
            </w:r>
            <w:r>
              <w:rPr>
                <w:rStyle w:val="13"/>
                <w:lang w:val="en-US" w:eastAsia="zh-CN" w:bidi="ar"/>
              </w:rPr>
              <w:t>预算执行数：部门（单位）本年度实际完成的预算数。</w:t>
            </w:r>
            <w:r>
              <w:rPr>
                <w:rStyle w:val="14"/>
                <w:rFonts w:eastAsia="宋体"/>
                <w:lang w:val="en-US" w:eastAsia="zh-CN" w:bidi="ar"/>
              </w:rPr>
              <w:br w:type="textWrapping"/>
            </w:r>
            <w:r>
              <w:rPr>
                <w:rStyle w:val="13"/>
                <w:lang w:val="en-US" w:eastAsia="zh-CN" w:bidi="ar"/>
              </w:rPr>
              <w:t>预算数：财政部门批复的本年度部门（单位）预算数及追加的预算数。</w:t>
            </w:r>
            <w:r>
              <w:rPr>
                <w:rStyle w:val="14"/>
                <w:rFonts w:eastAsia="宋体"/>
                <w:lang w:val="en-US" w:eastAsia="zh-CN" w:bidi="ar"/>
              </w:rPr>
              <w:br w:type="textWrapping"/>
            </w:r>
            <w:r>
              <w:rPr>
                <w:rStyle w:val="13"/>
                <w:lang w:val="en-US" w:eastAsia="zh-CN" w:bidi="ar"/>
              </w:rPr>
              <w:t>该项得分，全年预算执行率</w:t>
            </w:r>
            <w:r>
              <w:rPr>
                <w:rStyle w:val="14"/>
                <w:rFonts w:eastAsia="宋体"/>
                <w:lang w:val="en-US" w:eastAsia="zh-CN" w:bidi="ar"/>
              </w:rPr>
              <w:t>95%</w:t>
            </w:r>
            <w:r>
              <w:rPr>
                <w:rStyle w:val="13"/>
                <w:lang w:val="en-US" w:eastAsia="zh-CN" w:bidi="ar"/>
              </w:rPr>
              <w:t>以上计</w:t>
            </w:r>
            <w:r>
              <w:rPr>
                <w:rStyle w:val="14"/>
                <w:rFonts w:eastAsia="宋体"/>
                <w:lang w:val="en-US" w:eastAsia="zh-CN" w:bidi="ar"/>
              </w:rPr>
              <w:t>2</w:t>
            </w:r>
            <w:r>
              <w:rPr>
                <w:rStyle w:val="13"/>
                <w:lang w:val="en-US" w:eastAsia="zh-CN" w:bidi="ar"/>
              </w:rPr>
              <w:t>分，</w:t>
            </w:r>
            <w:r>
              <w:rPr>
                <w:rStyle w:val="14"/>
                <w:rFonts w:eastAsia="宋体"/>
                <w:lang w:val="en-US" w:eastAsia="zh-CN" w:bidi="ar"/>
              </w:rPr>
              <w:t>95-90%</w:t>
            </w:r>
            <w:r>
              <w:rPr>
                <w:rStyle w:val="13"/>
                <w:lang w:val="en-US" w:eastAsia="zh-CN" w:bidi="ar"/>
              </w:rPr>
              <w:t>（含），计</w:t>
            </w:r>
            <w:r>
              <w:rPr>
                <w:rStyle w:val="14"/>
                <w:rFonts w:eastAsia="宋体"/>
                <w:lang w:val="en-US" w:eastAsia="zh-CN" w:bidi="ar"/>
              </w:rPr>
              <w:t>1</w:t>
            </w:r>
            <w:r>
              <w:rPr>
                <w:rStyle w:val="13"/>
                <w:lang w:val="en-US" w:eastAsia="zh-CN" w:bidi="ar"/>
              </w:rPr>
              <w:t>分，</w:t>
            </w:r>
            <w:r>
              <w:rPr>
                <w:rStyle w:val="14"/>
                <w:rFonts w:eastAsia="宋体"/>
                <w:lang w:val="en-US" w:eastAsia="zh-CN" w:bidi="ar"/>
              </w:rPr>
              <w:t>90-80%</w:t>
            </w:r>
            <w:r>
              <w:rPr>
                <w:rStyle w:val="13"/>
                <w:lang w:val="en-US" w:eastAsia="zh-CN" w:bidi="ar"/>
              </w:rPr>
              <w:t>（含），计</w:t>
            </w:r>
            <w:r>
              <w:rPr>
                <w:rStyle w:val="14"/>
                <w:rFonts w:eastAsia="宋体"/>
                <w:lang w:val="en-US" w:eastAsia="zh-CN" w:bidi="ar"/>
              </w:rPr>
              <w:t>0.5</w:t>
            </w:r>
            <w:r>
              <w:rPr>
                <w:rStyle w:val="13"/>
                <w:lang w:val="en-US" w:eastAsia="zh-CN" w:bidi="ar"/>
              </w:rPr>
              <w:t>分，小于</w:t>
            </w:r>
            <w:r>
              <w:rPr>
                <w:rStyle w:val="14"/>
                <w:rFonts w:eastAsia="宋体"/>
                <w:lang w:val="en-US" w:eastAsia="zh-CN" w:bidi="ar"/>
              </w:rPr>
              <w:t>80%</w:t>
            </w:r>
            <w:r>
              <w:rPr>
                <w:rStyle w:val="13"/>
                <w:lang w:val="en-US" w:eastAsia="zh-CN" w:bidi="ar"/>
              </w:rPr>
              <w:t>不得分；</w:t>
            </w:r>
            <w:r>
              <w:rPr>
                <w:rStyle w:val="14"/>
                <w:rFonts w:eastAsia="宋体"/>
                <w:lang w:val="en-US" w:eastAsia="zh-CN" w:bidi="ar"/>
              </w:rPr>
              <w:br w:type="textWrapping"/>
            </w:r>
            <w:r>
              <w:rPr>
                <w:rStyle w:val="13"/>
                <w:lang w:val="en-US" w:eastAsia="zh-CN" w:bidi="ar"/>
              </w:rPr>
              <w:t>②绩效目标执行监控是否按要求完成。</w:t>
            </w:r>
            <w:r>
              <w:rPr>
                <w:rStyle w:val="14"/>
                <w:rFonts w:eastAsia="宋体"/>
                <w:lang w:val="en-US" w:eastAsia="zh-CN" w:bidi="ar"/>
              </w:rPr>
              <w:br w:type="textWrapping"/>
            </w:r>
            <w:r>
              <w:rPr>
                <w:rStyle w:val="13"/>
                <w:lang w:val="en-US" w:eastAsia="zh-CN" w:bidi="ar"/>
              </w:rPr>
              <w:t>该项得分，实施项目资金运行监控的得</w:t>
            </w:r>
            <w:r>
              <w:rPr>
                <w:rStyle w:val="14"/>
                <w:rFonts w:eastAsia="宋体"/>
                <w:lang w:val="en-US" w:eastAsia="zh-CN" w:bidi="ar"/>
              </w:rPr>
              <w:t>2</w:t>
            </w:r>
            <w:r>
              <w:rPr>
                <w:rStyle w:val="13"/>
                <w:lang w:val="en-US" w:eastAsia="zh-CN" w:bidi="ar"/>
              </w:rPr>
              <w:t>分，未实施的不得分。</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财政部门批复的本年度部门（单位）预算；本年度部门（单位）决算报表；部门年度预算执行查询表；项目支出绩效运行监控表；项目支出绩效运行监控报告。</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1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预算</w:t>
            </w:r>
            <w:r>
              <w:rPr>
                <w:rStyle w:val="14"/>
                <w:rFonts w:eastAsia="宋体"/>
                <w:lang w:val="en-US" w:eastAsia="zh-CN" w:bidi="ar"/>
              </w:rPr>
              <w:br w:type="textWrapping"/>
            </w:r>
            <w:r>
              <w:rPr>
                <w:rStyle w:val="13"/>
                <w:lang w:val="en-US" w:eastAsia="zh-CN" w:bidi="ar"/>
              </w:rPr>
              <w:t>调整率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部门（单位）本年度预算调整数与预算数的比率，用以反映和考核部门（单位）预算的调整程度。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br w:type="textWrapping"/>
            </w:r>
            <w:r>
              <w:rPr>
                <w:rStyle w:val="13"/>
                <w:lang w:val="en-US" w:eastAsia="zh-CN" w:bidi="ar"/>
              </w:rPr>
              <w:t>预算调整率</w:t>
            </w:r>
            <w:r>
              <w:rPr>
                <w:rStyle w:val="14"/>
                <w:rFonts w:eastAsia="宋体"/>
                <w:lang w:val="en-US" w:eastAsia="zh-CN" w:bidi="ar"/>
              </w:rPr>
              <w:t>=</w:t>
            </w:r>
            <w:r>
              <w:rPr>
                <w:rStyle w:val="13"/>
                <w:lang w:val="en-US" w:eastAsia="zh-CN" w:bidi="ar"/>
              </w:rPr>
              <w:t>（预算调整数</w:t>
            </w:r>
            <w:r>
              <w:rPr>
                <w:rStyle w:val="14"/>
                <w:rFonts w:eastAsia="宋体"/>
                <w:lang w:val="en-US" w:eastAsia="zh-CN" w:bidi="ar"/>
              </w:rPr>
              <w:t>/</w:t>
            </w:r>
            <w:r>
              <w:rPr>
                <w:rStyle w:val="13"/>
                <w:lang w:val="en-US" w:eastAsia="zh-CN" w:bidi="ar"/>
              </w:rPr>
              <w:t>预算数）</w:t>
            </w:r>
            <w:r>
              <w:rPr>
                <w:rStyle w:val="14"/>
                <w:rFonts w:eastAsia="宋体"/>
                <w:lang w:val="en-US" w:eastAsia="zh-CN" w:bidi="ar"/>
              </w:rPr>
              <w:t>×100%</w:t>
            </w:r>
            <w:r>
              <w:rPr>
                <w:rStyle w:val="13"/>
                <w:lang w:val="en-US" w:eastAsia="zh-CN" w:bidi="ar"/>
              </w:rPr>
              <w:t>。</w:t>
            </w:r>
            <w:r>
              <w:rPr>
                <w:rStyle w:val="14"/>
                <w:rFonts w:eastAsia="宋体"/>
                <w:lang w:val="en-US" w:eastAsia="zh-CN" w:bidi="ar"/>
              </w:rPr>
              <w:br w:type="textWrapping"/>
            </w:r>
            <w:r>
              <w:rPr>
                <w:rStyle w:val="13"/>
                <w:lang w:val="en-US" w:eastAsia="zh-CN" w:bidi="ar"/>
              </w:rPr>
              <w:t>预算调整数：部门（单位）在本年度内涉及预算的追加、追减或结构调整的资金总和（因落实国家政策、发生不可抗力，市委、市政府临时交办而产生的调整及经济科目非跨类调整除外）。</w:t>
            </w:r>
            <w:r>
              <w:rPr>
                <w:rStyle w:val="14"/>
                <w:rFonts w:eastAsia="宋体"/>
                <w:lang w:val="en-US" w:eastAsia="zh-CN" w:bidi="ar"/>
              </w:rPr>
              <w:br w:type="textWrapping"/>
            </w:r>
            <w:r>
              <w:rPr>
                <w:rStyle w:val="13"/>
                <w:lang w:val="en-US" w:eastAsia="zh-CN" w:bidi="ar"/>
              </w:rPr>
              <w:t>该项得分，预算调整率</w:t>
            </w:r>
            <w:r>
              <w:rPr>
                <w:rStyle w:val="14"/>
                <w:rFonts w:eastAsia="宋体"/>
                <w:lang w:val="en-US" w:eastAsia="zh-CN" w:bidi="ar"/>
              </w:rPr>
              <w:t>&lt;5%</w:t>
            </w:r>
            <w:r>
              <w:rPr>
                <w:rStyle w:val="13"/>
                <w:lang w:val="en-US" w:eastAsia="zh-CN" w:bidi="ar"/>
              </w:rPr>
              <w:t>，计</w:t>
            </w:r>
            <w:r>
              <w:rPr>
                <w:rStyle w:val="14"/>
                <w:rFonts w:eastAsia="宋体"/>
                <w:lang w:val="en-US" w:eastAsia="zh-CN" w:bidi="ar"/>
              </w:rPr>
              <w:t>2</w:t>
            </w:r>
            <w:r>
              <w:rPr>
                <w:rStyle w:val="13"/>
                <w:lang w:val="en-US" w:eastAsia="zh-CN" w:bidi="ar"/>
              </w:rPr>
              <w:t>分；</w:t>
            </w:r>
            <w:r>
              <w:rPr>
                <w:rStyle w:val="14"/>
                <w:rFonts w:eastAsia="宋体"/>
                <w:lang w:val="en-US" w:eastAsia="zh-CN" w:bidi="ar"/>
              </w:rPr>
              <w:t>5-10%</w:t>
            </w:r>
            <w:r>
              <w:rPr>
                <w:rStyle w:val="13"/>
                <w:lang w:val="en-US" w:eastAsia="zh-CN" w:bidi="ar"/>
              </w:rPr>
              <w:t>（含），计</w:t>
            </w:r>
            <w:r>
              <w:rPr>
                <w:rStyle w:val="14"/>
                <w:rFonts w:eastAsia="宋体"/>
                <w:lang w:val="en-US" w:eastAsia="zh-CN" w:bidi="ar"/>
              </w:rPr>
              <w:t>1</w:t>
            </w:r>
            <w:r>
              <w:rPr>
                <w:rStyle w:val="13"/>
                <w:lang w:val="en-US" w:eastAsia="zh-CN" w:bidi="ar"/>
              </w:rPr>
              <w:t>分；大于</w:t>
            </w:r>
            <w:r>
              <w:rPr>
                <w:rStyle w:val="14"/>
                <w:rFonts w:eastAsia="宋体"/>
                <w:lang w:val="en-US" w:eastAsia="zh-CN" w:bidi="ar"/>
              </w:rPr>
              <w:t>10%</w:t>
            </w:r>
            <w:r>
              <w:rPr>
                <w:rStyle w:val="13"/>
                <w:lang w:val="en-US" w:eastAsia="zh-CN" w:bidi="ar"/>
              </w:rPr>
              <w:t>不得分。</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财政部门批复的本年度部门（单位）预算；本年度部门（单位）决算报表；本年度部门（单位）预算的追加、追减或结构调整资料。</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8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结转</w:t>
            </w:r>
            <w:r>
              <w:rPr>
                <w:rStyle w:val="14"/>
                <w:rFonts w:eastAsia="宋体"/>
                <w:lang w:val="en-US" w:eastAsia="zh-CN" w:bidi="ar"/>
              </w:rPr>
              <w:br w:type="textWrapping"/>
            </w:r>
            <w:r>
              <w:rPr>
                <w:rStyle w:val="13"/>
                <w:lang w:val="en-US" w:eastAsia="zh-CN" w:bidi="ar"/>
              </w:rPr>
              <w:t>结余</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部门（单位）本年度结转结余情况，用以反映和考核部门（单位）对本年度结转结余资金使用情况。</w:t>
            </w:r>
          </w:p>
        </w:tc>
        <w:tc>
          <w:tcPr>
            <w:tcW w:w="5112" w:type="dxa"/>
            <w:tcBorders>
              <w:tl2br w:val="nil"/>
              <w:tr2bl w:val="nil"/>
            </w:tcBorders>
            <w:noWrap w:val="0"/>
            <w:vAlign w:val="center"/>
          </w:tcPr>
          <w:p>
            <w:pPr>
              <w:keepNext w:val="0"/>
              <w:keepLines w:val="0"/>
              <w:widowControl/>
              <w:suppressLineNumbers w:val="0"/>
              <w:spacing w:after="180" w:afterAutospacing="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br w:type="textWrapping"/>
            </w:r>
            <w:r>
              <w:rPr>
                <w:rStyle w:val="13"/>
                <w:lang w:val="en-US" w:eastAsia="zh-CN" w:bidi="ar"/>
              </w:rPr>
              <w:t>结转结余率</w:t>
            </w:r>
            <w:r>
              <w:rPr>
                <w:rStyle w:val="14"/>
                <w:rFonts w:eastAsia="宋体"/>
                <w:lang w:val="en-US" w:eastAsia="zh-CN" w:bidi="ar"/>
              </w:rPr>
              <w:t>=</w:t>
            </w:r>
            <w:r>
              <w:rPr>
                <w:rStyle w:val="13"/>
                <w:lang w:val="en-US" w:eastAsia="zh-CN" w:bidi="ar"/>
              </w:rPr>
              <w:t>结转结余总额</w:t>
            </w:r>
            <w:r>
              <w:rPr>
                <w:rStyle w:val="14"/>
                <w:rFonts w:eastAsia="宋体"/>
                <w:lang w:val="en-US" w:eastAsia="zh-CN" w:bidi="ar"/>
              </w:rPr>
              <w:t>/</w:t>
            </w:r>
            <w:r>
              <w:rPr>
                <w:rStyle w:val="13"/>
                <w:lang w:val="en-US" w:eastAsia="zh-CN" w:bidi="ar"/>
              </w:rPr>
              <w:t>支出预算数</w:t>
            </w:r>
            <w:r>
              <w:rPr>
                <w:rStyle w:val="14"/>
                <w:rFonts w:eastAsia="宋体"/>
                <w:lang w:val="en-US" w:eastAsia="zh-CN" w:bidi="ar"/>
              </w:rPr>
              <w:t>×100%</w:t>
            </w:r>
            <w:r>
              <w:rPr>
                <w:rStyle w:val="13"/>
                <w:lang w:val="en-US" w:eastAsia="zh-CN" w:bidi="ar"/>
              </w:rPr>
              <w:t>。结转结余总额：部门本年度的结转资金与结余资金之和（以决算数为准）。</w:t>
            </w:r>
            <w:r>
              <w:rPr>
                <w:rStyle w:val="14"/>
                <w:rFonts w:eastAsia="宋体"/>
                <w:lang w:val="en-US" w:eastAsia="zh-CN" w:bidi="ar"/>
              </w:rPr>
              <w:br w:type="textWrapping"/>
            </w:r>
            <w:r>
              <w:rPr>
                <w:rStyle w:val="13"/>
                <w:lang w:val="en-US" w:eastAsia="zh-CN" w:bidi="ar"/>
              </w:rPr>
              <w:t>该项得分，结余率</w:t>
            </w:r>
            <w:r>
              <w:rPr>
                <w:rStyle w:val="14"/>
                <w:rFonts w:eastAsia="宋体"/>
                <w:lang w:val="en-US" w:eastAsia="zh-CN" w:bidi="ar"/>
              </w:rPr>
              <w:t>≤10%</w:t>
            </w:r>
            <w:r>
              <w:rPr>
                <w:rStyle w:val="13"/>
                <w:lang w:val="en-US" w:eastAsia="zh-CN" w:bidi="ar"/>
              </w:rPr>
              <w:t>的，计</w:t>
            </w:r>
            <w:r>
              <w:rPr>
                <w:rStyle w:val="14"/>
                <w:rFonts w:eastAsia="宋体"/>
                <w:lang w:val="en-US" w:eastAsia="zh-CN" w:bidi="ar"/>
              </w:rPr>
              <w:t>1</w:t>
            </w:r>
            <w:r>
              <w:rPr>
                <w:rStyle w:val="13"/>
                <w:lang w:val="en-US" w:eastAsia="zh-CN" w:bidi="ar"/>
              </w:rPr>
              <w:t>分；结余率</w:t>
            </w:r>
            <w:r>
              <w:rPr>
                <w:rStyle w:val="14"/>
                <w:rFonts w:eastAsia="宋体"/>
                <w:lang w:val="en-US" w:eastAsia="zh-CN" w:bidi="ar"/>
              </w:rPr>
              <w:t>&gt;10%</w:t>
            </w:r>
            <w:r>
              <w:rPr>
                <w:rStyle w:val="13"/>
                <w:lang w:val="en-US" w:eastAsia="zh-CN" w:bidi="ar"/>
              </w:rPr>
              <w:t>（不含），</w:t>
            </w:r>
            <w:r>
              <w:rPr>
                <w:rStyle w:val="14"/>
                <w:rFonts w:eastAsia="宋体"/>
                <w:lang w:val="en-US" w:eastAsia="zh-CN" w:bidi="ar"/>
              </w:rPr>
              <w:t>0.5</w:t>
            </w:r>
            <w:r>
              <w:rPr>
                <w:rStyle w:val="13"/>
                <w:lang w:val="en-US" w:eastAsia="zh-CN" w:bidi="ar"/>
              </w:rPr>
              <w:t>分；本年超支的，计</w:t>
            </w:r>
            <w:r>
              <w:rPr>
                <w:rStyle w:val="14"/>
                <w:rFonts w:eastAsia="宋体"/>
                <w:lang w:val="en-US" w:eastAsia="zh-CN" w:bidi="ar"/>
              </w:rPr>
              <w:t>0</w:t>
            </w:r>
            <w:r>
              <w:rPr>
                <w:rStyle w:val="13"/>
                <w:lang w:val="en-US" w:eastAsia="zh-CN" w:bidi="ar"/>
              </w:rPr>
              <w:t>分。</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财政部门批复的本年度部门（单位）预算；本年度部门（单位）决算报表。</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公用经费</w:t>
            </w:r>
            <w:r>
              <w:rPr>
                <w:rStyle w:val="14"/>
                <w:rFonts w:eastAsia="宋体"/>
                <w:lang w:val="en-US" w:eastAsia="zh-CN" w:bidi="ar"/>
              </w:rPr>
              <w:br w:type="textWrapping"/>
            </w:r>
            <w:r>
              <w:rPr>
                <w:rStyle w:val="13"/>
                <w:lang w:val="en-US" w:eastAsia="zh-CN" w:bidi="ar"/>
              </w:rPr>
              <w:t>控制率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部门本年度实际支出的公用经费总额与预算安排的公用经费总额的比率，用以反映和考核部门对机构运转成本的实际控制程度。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t>公用经费控制率</w:t>
            </w:r>
            <w:r>
              <w:rPr>
                <w:rStyle w:val="14"/>
                <w:rFonts w:eastAsia="宋体"/>
                <w:lang w:val="en-US" w:eastAsia="zh-CN" w:bidi="ar"/>
              </w:rPr>
              <w:t>=</w:t>
            </w:r>
            <w:r>
              <w:rPr>
                <w:rStyle w:val="13"/>
                <w:lang w:val="en-US" w:eastAsia="zh-CN" w:bidi="ar"/>
              </w:rPr>
              <w:t>（实际支出公用经费总额</w:t>
            </w:r>
            <w:r>
              <w:rPr>
                <w:rStyle w:val="14"/>
                <w:rFonts w:eastAsia="宋体"/>
                <w:lang w:val="en-US" w:eastAsia="zh-CN" w:bidi="ar"/>
              </w:rPr>
              <w:t>/</w:t>
            </w:r>
            <w:r>
              <w:rPr>
                <w:rStyle w:val="13"/>
                <w:lang w:val="en-US" w:eastAsia="zh-CN" w:bidi="ar"/>
              </w:rPr>
              <w:t>预算安排公用经费总额）</w:t>
            </w:r>
            <w:r>
              <w:rPr>
                <w:rStyle w:val="14"/>
                <w:rFonts w:eastAsia="宋体"/>
                <w:lang w:val="en-US" w:eastAsia="zh-CN" w:bidi="ar"/>
              </w:rPr>
              <w:t>×100%</w:t>
            </w:r>
            <w:r>
              <w:rPr>
                <w:rStyle w:val="13"/>
                <w:lang w:val="en-US" w:eastAsia="zh-CN" w:bidi="ar"/>
              </w:rPr>
              <w:t>。</w:t>
            </w:r>
            <w:r>
              <w:rPr>
                <w:rStyle w:val="14"/>
                <w:rFonts w:eastAsia="宋体"/>
                <w:lang w:val="en-US" w:eastAsia="zh-CN" w:bidi="ar"/>
              </w:rPr>
              <w:br w:type="textWrapping"/>
            </w:r>
            <w:r>
              <w:rPr>
                <w:rStyle w:val="13"/>
                <w:lang w:val="en-US" w:eastAsia="zh-CN" w:bidi="ar"/>
              </w:rPr>
              <w:t>该项得分，控制率</w:t>
            </w:r>
            <w:r>
              <w:rPr>
                <w:rStyle w:val="14"/>
                <w:rFonts w:eastAsia="宋体"/>
                <w:lang w:val="en-US" w:eastAsia="zh-CN" w:bidi="ar"/>
              </w:rPr>
              <w:t>≤100%</w:t>
            </w:r>
            <w:r>
              <w:rPr>
                <w:rStyle w:val="13"/>
                <w:lang w:val="en-US" w:eastAsia="zh-CN" w:bidi="ar"/>
              </w:rPr>
              <w:t>，计</w:t>
            </w:r>
            <w:r>
              <w:rPr>
                <w:rStyle w:val="14"/>
                <w:rFonts w:eastAsia="宋体"/>
                <w:lang w:val="en-US" w:eastAsia="zh-CN" w:bidi="ar"/>
              </w:rPr>
              <w:t>2</w:t>
            </w:r>
            <w:r>
              <w:rPr>
                <w:rStyle w:val="13"/>
                <w:lang w:val="en-US" w:eastAsia="zh-CN" w:bidi="ar"/>
              </w:rPr>
              <w:t>分，控制率</w:t>
            </w:r>
            <w:r>
              <w:rPr>
                <w:rStyle w:val="14"/>
                <w:rFonts w:eastAsia="宋体"/>
                <w:lang w:val="en-US" w:eastAsia="zh-CN" w:bidi="ar"/>
              </w:rPr>
              <w:t>&gt;100%</w:t>
            </w:r>
            <w:r>
              <w:rPr>
                <w:rStyle w:val="13"/>
                <w:lang w:val="en-US" w:eastAsia="zh-CN" w:bidi="ar"/>
              </w:rPr>
              <w:t>，计</w:t>
            </w:r>
            <w:r>
              <w:rPr>
                <w:rStyle w:val="14"/>
                <w:rFonts w:eastAsia="宋体"/>
                <w:lang w:val="en-US" w:eastAsia="zh-CN" w:bidi="ar"/>
              </w:rPr>
              <w:t>0</w:t>
            </w:r>
            <w:r>
              <w:rPr>
                <w:rStyle w:val="13"/>
                <w:lang w:val="en-US" w:eastAsia="zh-CN" w:bidi="ar"/>
              </w:rPr>
              <w:t>分。</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财政部门批复的本年度部门（单位）预算；本年度部门（单位）决算报表。</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4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4"/>
                <w:rFonts w:eastAsia="宋体"/>
                <w:lang w:val="en-US" w:eastAsia="zh-CN" w:bidi="ar"/>
              </w:rPr>
              <w:br w:type="textWrapping"/>
            </w:r>
            <w:r>
              <w:rPr>
                <w:rStyle w:val="13"/>
                <w:lang w:val="en-US" w:eastAsia="zh-CN" w:bidi="ar"/>
              </w:rPr>
              <w:t>控制率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部门（单位）本年度</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实际支出数与预算安排数的比率，用以反映和考核部门（单位）对</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的实际控制程度。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控制率</w:t>
            </w:r>
            <w:r>
              <w:rPr>
                <w:rStyle w:val="14"/>
                <w:rFonts w:eastAsia="宋体"/>
                <w:lang w:val="en-US" w:eastAsia="zh-CN" w:bidi="ar"/>
              </w:rPr>
              <w:t>=</w:t>
            </w:r>
            <w:r>
              <w:rPr>
                <w:rStyle w:val="13"/>
                <w:lang w:val="en-US" w:eastAsia="zh-CN" w:bidi="ar"/>
              </w:rPr>
              <w:t>（</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实际支出数</w:t>
            </w:r>
            <w:r>
              <w:rPr>
                <w:rStyle w:val="14"/>
                <w:rFonts w:eastAsia="宋体"/>
                <w:lang w:val="en-US" w:eastAsia="zh-CN" w:bidi="ar"/>
              </w:rPr>
              <w:t>/“</w:t>
            </w:r>
            <w:r>
              <w:rPr>
                <w:rStyle w:val="13"/>
                <w:lang w:val="en-US" w:eastAsia="zh-CN" w:bidi="ar"/>
              </w:rPr>
              <w:t>三公经费</w:t>
            </w:r>
            <w:r>
              <w:rPr>
                <w:rStyle w:val="14"/>
                <w:rFonts w:eastAsia="宋体"/>
                <w:lang w:val="en-US" w:eastAsia="zh-CN" w:bidi="ar"/>
              </w:rPr>
              <w:t>”</w:t>
            </w:r>
            <w:r>
              <w:rPr>
                <w:rStyle w:val="13"/>
                <w:lang w:val="en-US" w:eastAsia="zh-CN" w:bidi="ar"/>
              </w:rPr>
              <w:t>预算安排数）</w:t>
            </w:r>
            <w:r>
              <w:rPr>
                <w:rStyle w:val="14"/>
                <w:rFonts w:eastAsia="宋体"/>
                <w:lang w:val="en-US" w:eastAsia="zh-CN" w:bidi="ar"/>
              </w:rPr>
              <w:t>×100%</w:t>
            </w:r>
            <w:r>
              <w:rPr>
                <w:rStyle w:val="13"/>
                <w:lang w:val="en-US" w:eastAsia="zh-CN" w:bidi="ar"/>
              </w:rPr>
              <w:t>。</w:t>
            </w:r>
            <w:r>
              <w:rPr>
                <w:rStyle w:val="14"/>
                <w:rFonts w:eastAsia="宋体"/>
                <w:lang w:val="en-US" w:eastAsia="zh-CN" w:bidi="ar"/>
              </w:rPr>
              <w:br w:type="textWrapping"/>
            </w:r>
            <w:r>
              <w:rPr>
                <w:rStyle w:val="13"/>
                <w:lang w:val="en-US" w:eastAsia="zh-CN" w:bidi="ar"/>
              </w:rPr>
              <w:t>该项得分，控制率</w:t>
            </w:r>
            <w:r>
              <w:rPr>
                <w:rStyle w:val="14"/>
                <w:rFonts w:eastAsia="宋体"/>
                <w:lang w:val="en-US" w:eastAsia="zh-CN" w:bidi="ar"/>
              </w:rPr>
              <w:t>≤100%</w:t>
            </w:r>
            <w:r>
              <w:rPr>
                <w:rStyle w:val="13"/>
                <w:lang w:val="en-US" w:eastAsia="zh-CN" w:bidi="ar"/>
              </w:rPr>
              <w:t>，计</w:t>
            </w:r>
            <w:r>
              <w:rPr>
                <w:rStyle w:val="14"/>
                <w:rFonts w:eastAsia="宋体"/>
                <w:lang w:val="en-US" w:eastAsia="zh-CN" w:bidi="ar"/>
              </w:rPr>
              <w:t>2</w:t>
            </w:r>
            <w:r>
              <w:rPr>
                <w:rStyle w:val="13"/>
                <w:lang w:val="en-US" w:eastAsia="zh-CN" w:bidi="ar"/>
              </w:rPr>
              <w:t>分，控制率</w:t>
            </w:r>
            <w:r>
              <w:rPr>
                <w:rStyle w:val="14"/>
                <w:rFonts w:eastAsia="宋体"/>
                <w:lang w:val="en-US" w:eastAsia="zh-CN" w:bidi="ar"/>
              </w:rPr>
              <w:t>&gt;100%</w:t>
            </w:r>
            <w:r>
              <w:rPr>
                <w:rStyle w:val="13"/>
                <w:lang w:val="en-US" w:eastAsia="zh-CN" w:bidi="ar"/>
              </w:rPr>
              <w:t>，计</w:t>
            </w:r>
            <w:r>
              <w:rPr>
                <w:rStyle w:val="14"/>
                <w:rFonts w:eastAsia="宋体"/>
                <w:lang w:val="en-US" w:eastAsia="zh-CN" w:bidi="ar"/>
              </w:rPr>
              <w:t>0</w:t>
            </w:r>
            <w:r>
              <w:rPr>
                <w:rStyle w:val="13"/>
                <w:lang w:val="en-US" w:eastAsia="zh-CN" w:bidi="ar"/>
              </w:rPr>
              <w:t>分。</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财政部门批复的本年度部门（单位）预算；本年度部门（单位）决算报表。</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6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政府采购</w:t>
            </w:r>
            <w:r>
              <w:rPr>
                <w:rStyle w:val="14"/>
                <w:rFonts w:eastAsia="宋体"/>
                <w:lang w:val="en-US" w:eastAsia="zh-CN" w:bidi="ar"/>
              </w:rPr>
              <w:br w:type="textWrapping"/>
            </w:r>
            <w:r>
              <w:rPr>
                <w:rStyle w:val="13"/>
                <w:lang w:val="en-US" w:eastAsia="zh-CN" w:bidi="ar"/>
              </w:rPr>
              <w:t>执行率和</w:t>
            </w:r>
            <w:r>
              <w:rPr>
                <w:rStyle w:val="14"/>
                <w:rFonts w:eastAsia="宋体"/>
                <w:lang w:val="en-US" w:eastAsia="zh-CN" w:bidi="ar"/>
              </w:rPr>
              <w:br w:type="textWrapping"/>
            </w:r>
            <w:r>
              <w:rPr>
                <w:rStyle w:val="13"/>
                <w:lang w:val="en-US" w:eastAsia="zh-CN" w:bidi="ar"/>
              </w:rPr>
              <w:t>规范性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部门（单位）本年度实际政府采购金额与年初政府采购预算的比率，用以反映和考核部门（单位）政府采购预算执行情况。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①政府采购预算执行率</w:t>
            </w:r>
            <w:r>
              <w:rPr>
                <w:rStyle w:val="14"/>
                <w:rFonts w:eastAsia="宋体"/>
                <w:lang w:val="en-US" w:eastAsia="zh-CN" w:bidi="ar"/>
              </w:rPr>
              <w:t>=</w:t>
            </w:r>
            <w:r>
              <w:rPr>
                <w:rStyle w:val="13"/>
                <w:lang w:val="en-US" w:eastAsia="zh-CN" w:bidi="ar"/>
              </w:rPr>
              <w:t>（实际政府采购金额</w:t>
            </w:r>
            <w:r>
              <w:rPr>
                <w:rStyle w:val="14"/>
                <w:rFonts w:eastAsia="宋体"/>
                <w:lang w:val="en-US" w:eastAsia="zh-CN" w:bidi="ar"/>
              </w:rPr>
              <w:t>/</w:t>
            </w:r>
            <w:r>
              <w:rPr>
                <w:rStyle w:val="13"/>
                <w:lang w:val="en-US" w:eastAsia="zh-CN" w:bidi="ar"/>
              </w:rPr>
              <w:t>政府采购预算数）</w:t>
            </w:r>
            <w:r>
              <w:rPr>
                <w:rStyle w:val="14"/>
                <w:rFonts w:eastAsia="宋体"/>
                <w:lang w:val="en-US" w:eastAsia="zh-CN" w:bidi="ar"/>
              </w:rPr>
              <w:t>×100%</w:t>
            </w:r>
            <w:r>
              <w:rPr>
                <w:rStyle w:val="13"/>
                <w:lang w:val="en-US" w:eastAsia="zh-CN" w:bidi="ar"/>
              </w:rPr>
              <w:t>；</w:t>
            </w:r>
            <w:r>
              <w:rPr>
                <w:rStyle w:val="14"/>
                <w:rFonts w:eastAsia="宋体"/>
                <w:lang w:val="en-US" w:eastAsia="zh-CN" w:bidi="ar"/>
              </w:rPr>
              <w:br w:type="textWrapping"/>
            </w:r>
            <w:r>
              <w:rPr>
                <w:rStyle w:val="13"/>
                <w:lang w:val="en-US" w:eastAsia="zh-CN" w:bidi="ar"/>
              </w:rPr>
              <w:t>政府采购预算：采购机关根据事业发展计划和行政任务编制的、并经过规定程序批准的年度政府采购计划。</w:t>
            </w:r>
            <w:r>
              <w:rPr>
                <w:rStyle w:val="14"/>
                <w:rFonts w:eastAsia="宋体"/>
                <w:lang w:val="en-US" w:eastAsia="zh-CN" w:bidi="ar"/>
              </w:rPr>
              <w:br w:type="textWrapping"/>
            </w:r>
            <w:r>
              <w:rPr>
                <w:rStyle w:val="13"/>
                <w:lang w:val="en-US" w:eastAsia="zh-CN" w:bidi="ar"/>
              </w:rPr>
              <w:t>该项得分，完成本年度采购计划的，政府采购执行率≤</w:t>
            </w:r>
            <w:r>
              <w:rPr>
                <w:rStyle w:val="14"/>
                <w:rFonts w:eastAsia="宋体"/>
                <w:lang w:val="en-US" w:eastAsia="zh-CN" w:bidi="ar"/>
              </w:rPr>
              <w:t>100%</w:t>
            </w:r>
            <w:r>
              <w:rPr>
                <w:rStyle w:val="13"/>
                <w:lang w:val="en-US" w:eastAsia="zh-CN" w:bidi="ar"/>
              </w:rPr>
              <w:t>，计</w:t>
            </w:r>
            <w:r>
              <w:rPr>
                <w:rStyle w:val="14"/>
                <w:rFonts w:eastAsia="宋体"/>
                <w:lang w:val="en-US" w:eastAsia="zh-CN" w:bidi="ar"/>
              </w:rPr>
              <w:t>1</w:t>
            </w:r>
            <w:r>
              <w:rPr>
                <w:rStyle w:val="13"/>
                <w:lang w:val="en-US" w:eastAsia="zh-CN" w:bidi="ar"/>
              </w:rPr>
              <w:t>分，每超过</w:t>
            </w:r>
            <w:r>
              <w:rPr>
                <w:rStyle w:val="14"/>
                <w:rFonts w:eastAsia="宋体"/>
                <w:lang w:val="en-US" w:eastAsia="zh-CN" w:bidi="ar"/>
              </w:rPr>
              <w:t>1%</w:t>
            </w:r>
            <w:r>
              <w:rPr>
                <w:rStyle w:val="13"/>
                <w:lang w:val="en-US" w:eastAsia="zh-CN" w:bidi="ar"/>
              </w:rPr>
              <w:t>扣</w:t>
            </w:r>
            <w:r>
              <w:rPr>
                <w:rStyle w:val="14"/>
                <w:rFonts w:eastAsia="宋体"/>
                <w:lang w:val="en-US" w:eastAsia="zh-CN" w:bidi="ar"/>
              </w:rPr>
              <w:t>0.1</w:t>
            </w:r>
            <w:r>
              <w:rPr>
                <w:rStyle w:val="13"/>
                <w:lang w:val="en-US" w:eastAsia="zh-CN" w:bidi="ar"/>
              </w:rPr>
              <w:t>分，扣完为止；</w:t>
            </w:r>
            <w:r>
              <w:rPr>
                <w:rStyle w:val="14"/>
                <w:rFonts w:eastAsia="宋体"/>
                <w:lang w:val="en-US" w:eastAsia="zh-CN" w:bidi="ar"/>
              </w:rPr>
              <w:br w:type="textWrapping"/>
            </w:r>
            <w:r>
              <w:rPr>
                <w:rStyle w:val="13"/>
                <w:lang w:val="en-US" w:eastAsia="zh-CN" w:bidi="ar"/>
              </w:rPr>
              <w:t>②所有项目依法采购，无规避政府采购或化整为零进行政府采购的行为，并履行验收手续，计0.5分，否则不得分；</w:t>
            </w:r>
            <w:r>
              <w:rPr>
                <w:rStyle w:val="14"/>
                <w:rFonts w:eastAsia="宋体"/>
                <w:lang w:val="en-US" w:eastAsia="zh-CN" w:bidi="ar"/>
              </w:rPr>
              <w:br w:type="textWrapping"/>
            </w:r>
            <w:r>
              <w:rPr>
                <w:rStyle w:val="13"/>
                <w:lang w:val="en-US" w:eastAsia="zh-CN" w:bidi="ar"/>
              </w:rPr>
              <w:t>③预算单位建立了政府采购内控制度，计0.5分，否则不得分。</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财政部门批复的本年度部门（单位）预算；本年度部门（单位）决算报表；《政府采购法》。</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13"/>
                <w:lang w:val="en-US" w:eastAsia="zh-CN" w:bidi="ar"/>
              </w:rPr>
              <w:t>预算</w:t>
            </w:r>
            <w:r>
              <w:rPr>
                <w:rStyle w:val="14"/>
                <w:rFonts w:eastAsia="宋体"/>
                <w:lang w:val="en-US" w:eastAsia="zh-CN" w:bidi="ar"/>
              </w:rPr>
              <w:br w:type="textWrapping"/>
            </w:r>
            <w:r>
              <w:rPr>
                <w:rStyle w:val="13"/>
                <w:lang w:val="en-US" w:eastAsia="zh-CN" w:bidi="ar"/>
              </w:rPr>
              <w:t>管理</w:t>
            </w:r>
            <w:r>
              <w:rPr>
                <w:rStyle w:val="14"/>
                <w:rFonts w:eastAsia="宋体"/>
                <w:lang w:val="en-US" w:eastAsia="zh-CN" w:bidi="ar"/>
              </w:rPr>
              <w:br w:type="textWrapping"/>
            </w:r>
            <w:r>
              <w:rPr>
                <w:rStyle w:val="13"/>
                <w:lang w:val="en-US" w:eastAsia="zh-CN" w:bidi="ar"/>
              </w:rPr>
              <w:t>（</w:t>
            </w:r>
            <w:r>
              <w:rPr>
                <w:rStyle w:val="14"/>
                <w:rFonts w:eastAsia="宋体"/>
                <w:lang w:val="en-US" w:eastAsia="zh-CN" w:bidi="ar"/>
              </w:rPr>
              <w:t>29</w:t>
            </w:r>
            <w:r>
              <w:rPr>
                <w:rStyle w:val="13"/>
                <w:lang w:val="en-US" w:eastAsia="zh-CN" w:bidi="ar"/>
              </w:rPr>
              <w:t>分）</w:t>
            </w: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管理制度</w:t>
            </w:r>
            <w:r>
              <w:rPr>
                <w:rStyle w:val="14"/>
                <w:rFonts w:eastAsia="宋体"/>
                <w:lang w:val="en-US" w:eastAsia="zh-CN" w:bidi="ar"/>
              </w:rPr>
              <w:br w:type="textWrapping"/>
            </w:r>
            <w:r>
              <w:rPr>
                <w:rStyle w:val="13"/>
                <w:lang w:val="en-US" w:eastAsia="zh-CN" w:bidi="ar"/>
              </w:rPr>
              <w:t>健全性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部门（单位）为加强预算管理、规范财务行为而制定的管理制度是否健全完整，用以反映和考核部门（单位）预算管理制度对完成主要职责或促进事业发展的保障情况。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①是否已制定或具有预算资金管理办法、内部财务管理制度、会计核算制度等管理制度；</w:t>
            </w:r>
            <w:r>
              <w:rPr>
                <w:rStyle w:val="14"/>
                <w:rFonts w:eastAsia="宋体"/>
                <w:lang w:val="en-US" w:eastAsia="zh-CN" w:bidi="ar"/>
              </w:rPr>
              <w:br w:type="textWrapping"/>
            </w:r>
            <w:r>
              <w:rPr>
                <w:rStyle w:val="13"/>
                <w:lang w:val="en-US" w:eastAsia="zh-CN" w:bidi="ar"/>
              </w:rPr>
              <w:t>②相关管理制度是否合法、合规、完整；</w:t>
            </w:r>
            <w:r>
              <w:rPr>
                <w:rStyle w:val="14"/>
                <w:rFonts w:eastAsia="宋体"/>
                <w:lang w:val="en-US" w:eastAsia="zh-CN" w:bidi="ar"/>
              </w:rPr>
              <w:br w:type="textWrapping"/>
            </w:r>
            <w:r>
              <w:rPr>
                <w:rStyle w:val="13"/>
                <w:lang w:val="en-US" w:eastAsia="zh-CN" w:bidi="ar"/>
              </w:rPr>
              <w:t>③相关管理制度是否得到有效执行。</w:t>
            </w:r>
            <w:r>
              <w:rPr>
                <w:rStyle w:val="14"/>
                <w:rFonts w:eastAsia="宋体"/>
                <w:lang w:val="en-US" w:eastAsia="zh-CN" w:bidi="ar"/>
              </w:rPr>
              <w:br w:type="textWrapping"/>
            </w:r>
            <w:r>
              <w:rPr>
                <w:rStyle w:val="13"/>
                <w:lang w:val="en-US" w:eastAsia="zh-CN" w:bidi="ar"/>
              </w:rPr>
              <w:t>④会计人员、机构是否按规定设置；</w:t>
            </w:r>
            <w:r>
              <w:rPr>
                <w:rStyle w:val="14"/>
                <w:rFonts w:eastAsia="宋体"/>
                <w:lang w:val="en-US" w:eastAsia="zh-CN" w:bidi="ar"/>
              </w:rPr>
              <w:br w:type="textWrapping"/>
            </w:r>
            <w:r>
              <w:rPr>
                <w:rStyle w:val="13"/>
                <w:lang w:val="en-US" w:eastAsia="zh-CN" w:bidi="ar"/>
              </w:rPr>
              <w:t>⑤会计基础工作是否健全；</w:t>
            </w:r>
            <w:r>
              <w:rPr>
                <w:rStyle w:val="14"/>
                <w:rFonts w:eastAsia="宋体"/>
                <w:lang w:val="en-US" w:eastAsia="zh-CN" w:bidi="ar"/>
              </w:rPr>
              <w:br w:type="textWrapping"/>
            </w:r>
            <w:r>
              <w:rPr>
                <w:rStyle w:val="13"/>
                <w:lang w:val="en-US" w:eastAsia="zh-CN" w:bidi="ar"/>
              </w:rPr>
              <w:t>⑥会计档案是否符合规定要求；</w:t>
            </w:r>
            <w:r>
              <w:rPr>
                <w:rStyle w:val="14"/>
                <w:rFonts w:eastAsia="宋体"/>
                <w:lang w:val="en-US" w:eastAsia="zh-CN" w:bidi="ar"/>
              </w:rPr>
              <w:br w:type="textWrapping"/>
            </w:r>
            <w:r>
              <w:rPr>
                <w:rStyle w:val="13"/>
                <w:lang w:val="en-US" w:eastAsia="zh-CN" w:bidi="ar"/>
              </w:rPr>
              <w:t>⑦项目管理是否规范（包括项目立项、申报、招投标、合同或协议要素、制度建立、按时完工等）。</w:t>
            </w:r>
            <w:r>
              <w:rPr>
                <w:rStyle w:val="14"/>
                <w:rFonts w:eastAsia="宋体"/>
                <w:lang w:val="en-US" w:eastAsia="zh-CN" w:bidi="ar"/>
              </w:rPr>
              <w:br w:type="textWrapping"/>
            </w:r>
            <w:r>
              <w:rPr>
                <w:rStyle w:val="13"/>
                <w:lang w:val="en-US" w:eastAsia="zh-CN" w:bidi="ar"/>
              </w:rPr>
              <w:t>以上情况每发现一例不符合要求的扣</w:t>
            </w:r>
            <w:r>
              <w:rPr>
                <w:rStyle w:val="14"/>
                <w:rFonts w:eastAsia="宋体"/>
                <w:lang w:val="en-US" w:eastAsia="zh-CN" w:bidi="ar"/>
              </w:rPr>
              <w:t>1</w:t>
            </w:r>
            <w:r>
              <w:rPr>
                <w:rStyle w:val="13"/>
                <w:lang w:val="en-US" w:eastAsia="zh-CN" w:bidi="ar"/>
              </w:rPr>
              <w:t>分，扣完为止。</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部门（单位）管理制度。</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资金使用</w:t>
            </w:r>
            <w:r>
              <w:rPr>
                <w:rStyle w:val="14"/>
                <w:rFonts w:eastAsia="宋体"/>
                <w:lang w:val="en-US" w:eastAsia="zh-CN" w:bidi="ar"/>
              </w:rPr>
              <w:br w:type="textWrapping"/>
            </w:r>
            <w:r>
              <w:rPr>
                <w:rStyle w:val="13"/>
                <w:lang w:val="en-US" w:eastAsia="zh-CN" w:bidi="ar"/>
              </w:rPr>
              <w:t>合规性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7</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资金使用符合相关的财务管理制度规定，用以反映和考核项目资金的规范运行情况。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①符合国家财经法规和财务管理制度以及有关专项资金管理办法的规定，计</w:t>
            </w:r>
            <w:r>
              <w:rPr>
                <w:rStyle w:val="14"/>
                <w:rFonts w:eastAsia="宋体"/>
                <w:lang w:val="en-US" w:eastAsia="zh-CN" w:bidi="ar"/>
              </w:rPr>
              <w:t>1</w:t>
            </w:r>
            <w:r>
              <w:rPr>
                <w:rStyle w:val="13"/>
                <w:lang w:val="en-US" w:eastAsia="zh-CN" w:bidi="ar"/>
              </w:rPr>
              <w:t>分，</w:t>
            </w:r>
            <w:r>
              <w:rPr>
                <w:rStyle w:val="14"/>
                <w:rFonts w:eastAsia="宋体"/>
                <w:lang w:val="en-US" w:eastAsia="zh-CN" w:bidi="ar"/>
              </w:rPr>
              <w:t>1</w:t>
            </w:r>
            <w:r>
              <w:rPr>
                <w:rStyle w:val="13"/>
                <w:lang w:val="en-US" w:eastAsia="zh-CN" w:bidi="ar"/>
              </w:rPr>
              <w:t>例不符合扣</w:t>
            </w:r>
            <w:r>
              <w:rPr>
                <w:rStyle w:val="14"/>
                <w:rFonts w:eastAsia="宋体"/>
                <w:lang w:val="en-US" w:eastAsia="zh-CN" w:bidi="ar"/>
              </w:rPr>
              <w:t>0.5</w:t>
            </w:r>
            <w:r>
              <w:rPr>
                <w:rStyle w:val="13"/>
                <w:lang w:val="en-US" w:eastAsia="zh-CN" w:bidi="ar"/>
              </w:rPr>
              <w:t>分；</w:t>
            </w:r>
            <w:r>
              <w:rPr>
                <w:rStyle w:val="14"/>
                <w:rFonts w:eastAsia="宋体"/>
                <w:lang w:val="en-US" w:eastAsia="zh-CN" w:bidi="ar"/>
              </w:rPr>
              <w:br w:type="textWrapping"/>
            </w:r>
            <w:r>
              <w:rPr>
                <w:rStyle w:val="13"/>
                <w:lang w:val="en-US" w:eastAsia="zh-CN" w:bidi="ar"/>
              </w:rPr>
              <w:t>②资金的支付有完整的审批程序和手续，计</w:t>
            </w:r>
            <w:r>
              <w:rPr>
                <w:rStyle w:val="14"/>
                <w:rFonts w:eastAsia="宋体"/>
                <w:lang w:val="en-US" w:eastAsia="zh-CN" w:bidi="ar"/>
              </w:rPr>
              <w:t>1</w:t>
            </w:r>
            <w:r>
              <w:rPr>
                <w:rStyle w:val="13"/>
                <w:lang w:val="en-US" w:eastAsia="zh-CN" w:bidi="ar"/>
              </w:rPr>
              <w:t>分，</w:t>
            </w:r>
            <w:r>
              <w:rPr>
                <w:rStyle w:val="14"/>
                <w:rFonts w:eastAsia="宋体"/>
                <w:lang w:val="en-US" w:eastAsia="zh-CN" w:bidi="ar"/>
              </w:rPr>
              <w:t>1</w:t>
            </w:r>
            <w:r>
              <w:rPr>
                <w:rStyle w:val="13"/>
                <w:lang w:val="en-US" w:eastAsia="zh-CN" w:bidi="ar"/>
              </w:rPr>
              <w:t>例不符合扣</w:t>
            </w:r>
            <w:r>
              <w:rPr>
                <w:rStyle w:val="14"/>
                <w:rFonts w:eastAsia="宋体"/>
                <w:lang w:val="en-US" w:eastAsia="zh-CN" w:bidi="ar"/>
              </w:rPr>
              <w:t>0.5</w:t>
            </w:r>
            <w:r>
              <w:rPr>
                <w:rStyle w:val="13"/>
                <w:lang w:val="en-US" w:eastAsia="zh-CN" w:bidi="ar"/>
              </w:rPr>
              <w:t>分；</w:t>
            </w:r>
            <w:r>
              <w:rPr>
                <w:rStyle w:val="14"/>
                <w:rFonts w:eastAsia="宋体"/>
                <w:lang w:val="en-US" w:eastAsia="zh-CN" w:bidi="ar"/>
              </w:rPr>
              <w:br w:type="textWrapping"/>
            </w:r>
            <w:r>
              <w:rPr>
                <w:rStyle w:val="13"/>
                <w:lang w:val="en-US" w:eastAsia="zh-CN" w:bidi="ar"/>
              </w:rPr>
              <w:t>③重大项目开支和大额资金使用经过单位党组集体研究决策，计</w:t>
            </w:r>
            <w:r>
              <w:rPr>
                <w:rStyle w:val="14"/>
                <w:rFonts w:eastAsia="宋体"/>
                <w:lang w:val="en-US" w:eastAsia="zh-CN" w:bidi="ar"/>
              </w:rPr>
              <w:t>1</w:t>
            </w:r>
            <w:r>
              <w:rPr>
                <w:rStyle w:val="13"/>
                <w:lang w:val="en-US" w:eastAsia="zh-CN" w:bidi="ar"/>
              </w:rPr>
              <w:t>分，</w:t>
            </w:r>
            <w:r>
              <w:rPr>
                <w:rStyle w:val="14"/>
                <w:rFonts w:eastAsia="宋体"/>
                <w:lang w:val="en-US" w:eastAsia="zh-CN" w:bidi="ar"/>
              </w:rPr>
              <w:t>1</w:t>
            </w:r>
            <w:r>
              <w:rPr>
                <w:rStyle w:val="13"/>
                <w:lang w:val="en-US" w:eastAsia="zh-CN" w:bidi="ar"/>
              </w:rPr>
              <w:t>例不符合扣</w:t>
            </w:r>
            <w:r>
              <w:rPr>
                <w:rStyle w:val="14"/>
                <w:rFonts w:eastAsia="宋体"/>
                <w:lang w:val="en-US" w:eastAsia="zh-CN" w:bidi="ar"/>
              </w:rPr>
              <w:t>0.5</w:t>
            </w:r>
            <w:r>
              <w:rPr>
                <w:rStyle w:val="13"/>
                <w:lang w:val="en-US" w:eastAsia="zh-CN" w:bidi="ar"/>
              </w:rPr>
              <w:t>分；</w:t>
            </w:r>
            <w:r>
              <w:rPr>
                <w:rStyle w:val="14"/>
                <w:rFonts w:eastAsia="宋体"/>
                <w:lang w:val="en-US" w:eastAsia="zh-CN" w:bidi="ar"/>
              </w:rPr>
              <w:br w:type="textWrapping"/>
            </w:r>
            <w:r>
              <w:rPr>
                <w:rStyle w:val="13"/>
                <w:lang w:val="en-US" w:eastAsia="zh-CN" w:bidi="ar"/>
              </w:rPr>
              <w:t>④符合项目预算批复或合同规定的用途，计</w:t>
            </w:r>
            <w:r>
              <w:rPr>
                <w:rStyle w:val="14"/>
                <w:rFonts w:eastAsia="宋体"/>
                <w:lang w:val="en-US" w:eastAsia="zh-CN" w:bidi="ar"/>
              </w:rPr>
              <w:t>1</w:t>
            </w:r>
            <w:r>
              <w:rPr>
                <w:rStyle w:val="13"/>
                <w:lang w:val="en-US" w:eastAsia="zh-CN" w:bidi="ar"/>
              </w:rPr>
              <w:t>分，</w:t>
            </w:r>
            <w:r>
              <w:rPr>
                <w:rStyle w:val="14"/>
                <w:rFonts w:eastAsia="宋体"/>
                <w:lang w:val="en-US" w:eastAsia="zh-CN" w:bidi="ar"/>
              </w:rPr>
              <w:t>1</w:t>
            </w:r>
            <w:r>
              <w:rPr>
                <w:rStyle w:val="13"/>
                <w:lang w:val="en-US" w:eastAsia="zh-CN" w:bidi="ar"/>
              </w:rPr>
              <w:t>例不符合扣</w:t>
            </w:r>
            <w:r>
              <w:rPr>
                <w:rStyle w:val="14"/>
                <w:rFonts w:eastAsia="宋体"/>
                <w:lang w:val="en-US" w:eastAsia="zh-CN" w:bidi="ar"/>
              </w:rPr>
              <w:t>0.5</w:t>
            </w:r>
            <w:r>
              <w:rPr>
                <w:rStyle w:val="13"/>
                <w:lang w:val="en-US" w:eastAsia="zh-CN" w:bidi="ar"/>
              </w:rPr>
              <w:t>分；</w:t>
            </w:r>
            <w:r>
              <w:rPr>
                <w:rStyle w:val="14"/>
                <w:rFonts w:eastAsia="宋体"/>
                <w:lang w:val="en-US" w:eastAsia="zh-CN" w:bidi="ar"/>
              </w:rPr>
              <w:br w:type="textWrapping"/>
            </w:r>
            <w:r>
              <w:rPr>
                <w:rStyle w:val="13"/>
                <w:lang w:val="en-US" w:eastAsia="zh-CN" w:bidi="ar"/>
              </w:rPr>
              <w:t>⑤没有截留、挤占、挪用、虚列支出等情况，计</w:t>
            </w:r>
            <w:r>
              <w:rPr>
                <w:rStyle w:val="14"/>
                <w:rFonts w:eastAsia="宋体"/>
                <w:lang w:val="en-US" w:eastAsia="zh-CN" w:bidi="ar"/>
              </w:rPr>
              <w:t>1</w:t>
            </w:r>
            <w:r>
              <w:rPr>
                <w:rStyle w:val="13"/>
                <w:lang w:val="en-US" w:eastAsia="zh-CN" w:bidi="ar"/>
              </w:rPr>
              <w:t>分，发生</w:t>
            </w:r>
            <w:r>
              <w:rPr>
                <w:rStyle w:val="14"/>
                <w:rFonts w:eastAsia="宋体"/>
                <w:lang w:val="en-US" w:eastAsia="zh-CN" w:bidi="ar"/>
              </w:rPr>
              <w:t>1</w:t>
            </w:r>
            <w:r>
              <w:rPr>
                <w:rStyle w:val="13"/>
                <w:lang w:val="en-US" w:eastAsia="zh-CN" w:bidi="ar"/>
              </w:rPr>
              <w:t>例不符合本指标的现象</w:t>
            </w:r>
            <w:r>
              <w:rPr>
                <w:rStyle w:val="14"/>
                <w:rFonts w:eastAsia="宋体"/>
                <w:lang w:val="en-US" w:eastAsia="zh-CN" w:bidi="ar"/>
              </w:rPr>
              <w:t>7</w:t>
            </w:r>
            <w:r>
              <w:rPr>
                <w:rStyle w:val="13"/>
                <w:lang w:val="en-US" w:eastAsia="zh-CN" w:bidi="ar"/>
              </w:rPr>
              <w:t>分全扣；</w:t>
            </w:r>
            <w:r>
              <w:rPr>
                <w:rStyle w:val="14"/>
                <w:rFonts w:eastAsia="宋体"/>
                <w:lang w:val="en-US" w:eastAsia="zh-CN" w:bidi="ar"/>
              </w:rPr>
              <w:br w:type="textWrapping"/>
            </w:r>
            <w:r>
              <w:rPr>
                <w:rStyle w:val="13"/>
                <w:lang w:val="en-US" w:eastAsia="zh-CN" w:bidi="ar"/>
              </w:rPr>
              <w:t>⑥原始凭证的取得真实有效，计</w:t>
            </w:r>
            <w:r>
              <w:rPr>
                <w:rStyle w:val="14"/>
                <w:rFonts w:eastAsia="宋体"/>
                <w:lang w:val="en-US" w:eastAsia="zh-CN" w:bidi="ar"/>
              </w:rPr>
              <w:t>1</w:t>
            </w:r>
            <w:r>
              <w:rPr>
                <w:rStyle w:val="13"/>
                <w:lang w:val="en-US" w:eastAsia="zh-CN" w:bidi="ar"/>
              </w:rPr>
              <w:t>分，</w:t>
            </w:r>
            <w:r>
              <w:rPr>
                <w:rStyle w:val="14"/>
                <w:rFonts w:eastAsia="宋体"/>
                <w:lang w:val="en-US" w:eastAsia="zh-CN" w:bidi="ar"/>
              </w:rPr>
              <w:t>1</w:t>
            </w:r>
            <w:r>
              <w:rPr>
                <w:rStyle w:val="13"/>
                <w:lang w:val="en-US" w:eastAsia="zh-CN" w:bidi="ar"/>
              </w:rPr>
              <w:t>例不符合扣</w:t>
            </w:r>
            <w:r>
              <w:rPr>
                <w:rStyle w:val="14"/>
                <w:rFonts w:eastAsia="宋体"/>
                <w:lang w:val="en-US" w:eastAsia="zh-CN" w:bidi="ar"/>
              </w:rPr>
              <w:t>0.5</w:t>
            </w:r>
            <w:r>
              <w:rPr>
                <w:rStyle w:val="13"/>
                <w:lang w:val="en-US" w:eastAsia="zh-CN" w:bidi="ar"/>
              </w:rPr>
              <w:t>分；</w:t>
            </w:r>
            <w:r>
              <w:rPr>
                <w:rStyle w:val="14"/>
                <w:rFonts w:eastAsia="宋体"/>
                <w:lang w:val="en-US" w:eastAsia="zh-CN" w:bidi="ar"/>
              </w:rPr>
              <w:br w:type="textWrapping"/>
            </w:r>
            <w:r>
              <w:rPr>
                <w:rStyle w:val="13"/>
                <w:lang w:val="en-US" w:eastAsia="zh-CN" w:bidi="ar"/>
              </w:rPr>
              <w:t>⑦无超标准发放津补贴、奖金、无用公款支付应个人支付的款项，计</w:t>
            </w:r>
            <w:r>
              <w:rPr>
                <w:rStyle w:val="14"/>
                <w:rFonts w:eastAsia="宋体"/>
                <w:lang w:val="en-US" w:eastAsia="zh-CN" w:bidi="ar"/>
              </w:rPr>
              <w:t>1</w:t>
            </w:r>
            <w:r>
              <w:rPr>
                <w:rStyle w:val="13"/>
                <w:lang w:val="en-US" w:eastAsia="zh-CN" w:bidi="ar"/>
              </w:rPr>
              <w:t>分，</w:t>
            </w:r>
            <w:r>
              <w:rPr>
                <w:rStyle w:val="14"/>
                <w:rFonts w:eastAsia="宋体"/>
                <w:lang w:val="en-US" w:eastAsia="zh-CN" w:bidi="ar"/>
              </w:rPr>
              <w:t>1</w:t>
            </w:r>
            <w:r>
              <w:rPr>
                <w:rStyle w:val="13"/>
                <w:lang w:val="en-US" w:eastAsia="zh-CN" w:bidi="ar"/>
              </w:rPr>
              <w:t>例不符合扣</w:t>
            </w:r>
            <w:r>
              <w:rPr>
                <w:rStyle w:val="14"/>
                <w:rFonts w:eastAsia="宋体"/>
                <w:lang w:val="en-US" w:eastAsia="zh-CN" w:bidi="ar"/>
              </w:rPr>
              <w:t>0.5</w:t>
            </w:r>
            <w:r>
              <w:rPr>
                <w:rStyle w:val="13"/>
                <w:lang w:val="en-US" w:eastAsia="zh-CN" w:bidi="ar"/>
              </w:rPr>
              <w:t>分。</w:t>
            </w:r>
            <w:r>
              <w:rPr>
                <w:rStyle w:val="13"/>
                <w:lang w:val="en-US" w:eastAsia="zh-CN" w:bidi="ar"/>
              </w:rPr>
              <w:br w:type="textWrapping"/>
            </w:r>
            <w:r>
              <w:rPr>
                <w:rStyle w:val="13"/>
                <w:lang w:val="en-US" w:eastAsia="zh-CN" w:bidi="ar"/>
              </w:rPr>
              <w:t>⑧如评级单位评价年度出现严重的违纪违法事件，评价等级在原来的基础上下调一个等级。</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财务管理制度、资金管理制度、资金分配办法、支出凭证、预算批复、合同、验收资料等。</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5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信息</w:t>
            </w:r>
            <w:r>
              <w:rPr>
                <w:rStyle w:val="14"/>
                <w:rFonts w:eastAsia="宋体"/>
                <w:lang w:val="en-US" w:eastAsia="zh-CN" w:bidi="ar"/>
              </w:rPr>
              <w:br w:type="textWrapping"/>
            </w:r>
            <w:r>
              <w:rPr>
                <w:rStyle w:val="13"/>
                <w:lang w:val="en-US" w:eastAsia="zh-CN" w:bidi="ar"/>
              </w:rPr>
              <w:t>公开性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部门（单位）是否按照政府信息公开有关规定公开相关预决算信息，基础信息是否完善，用以反映和考核部门预决算管理的公开透明，基础信息对预算管理工作的支撑情况。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①无涉密情况的预算单位按规定及时、准确、完整的公开预决算和绩效管理信息，计</w:t>
            </w:r>
            <w:r>
              <w:rPr>
                <w:rStyle w:val="14"/>
                <w:rFonts w:eastAsia="宋体"/>
                <w:lang w:val="en-US" w:eastAsia="zh-CN" w:bidi="ar"/>
              </w:rPr>
              <w:t>1</w:t>
            </w:r>
            <w:r>
              <w:rPr>
                <w:rStyle w:val="13"/>
                <w:lang w:val="en-US" w:eastAsia="zh-CN" w:bidi="ar"/>
              </w:rPr>
              <w:t>分，否则，酌情扣分；</w:t>
            </w:r>
            <w:r>
              <w:rPr>
                <w:rStyle w:val="14"/>
                <w:rFonts w:eastAsia="宋体"/>
                <w:lang w:val="en-US" w:eastAsia="zh-CN" w:bidi="ar"/>
              </w:rPr>
              <w:br w:type="textWrapping"/>
            </w:r>
            <w:r>
              <w:rPr>
                <w:rStyle w:val="13"/>
                <w:lang w:val="en-US" w:eastAsia="zh-CN" w:bidi="ar"/>
              </w:rPr>
              <w:t>②基础数据信息和会计信息资料真实、准确、完整，计</w:t>
            </w:r>
            <w:r>
              <w:rPr>
                <w:rStyle w:val="14"/>
                <w:rFonts w:eastAsia="宋体"/>
                <w:lang w:val="en-US" w:eastAsia="zh-CN" w:bidi="ar"/>
              </w:rPr>
              <w:t>1</w:t>
            </w:r>
            <w:r>
              <w:rPr>
                <w:rStyle w:val="13"/>
                <w:lang w:val="en-US" w:eastAsia="zh-CN" w:bidi="ar"/>
              </w:rPr>
              <w:t>分，否则，酌情扣分。</w:t>
            </w:r>
            <w:r>
              <w:rPr>
                <w:rStyle w:val="13"/>
                <w:lang w:val="en-US" w:eastAsia="zh-CN" w:bidi="ar"/>
              </w:rPr>
              <w:br w:type="textWrapping"/>
            </w:r>
            <w:r>
              <w:rPr>
                <w:rStyle w:val="13"/>
                <w:lang w:val="en-US" w:eastAsia="zh-CN" w:bidi="ar"/>
              </w:rPr>
              <w:t>③按规定及时、准确、完整的公开部门（单位）整体支出自评报告和专项资金支出自评报告及对应评分表的，计2分；否则，酌情扣分；</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部门（单位）预决算公开资料、基础数据信息和会计信息资料、财政部门批复的本年度部门（单位）预算；本年度部门（单位）决算报表。</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非税收入</w:t>
            </w:r>
            <w:r>
              <w:rPr>
                <w:rStyle w:val="14"/>
                <w:rFonts w:eastAsia="宋体"/>
                <w:lang w:val="en-US" w:eastAsia="zh-CN" w:bidi="ar"/>
              </w:rPr>
              <w:t xml:space="preserve"> </w:t>
            </w:r>
            <w:r>
              <w:rPr>
                <w:rStyle w:val="14"/>
                <w:rFonts w:eastAsia="宋体"/>
                <w:lang w:val="en-US" w:eastAsia="zh-CN" w:bidi="ar"/>
              </w:rPr>
              <w:br w:type="textWrapping"/>
            </w:r>
            <w:r>
              <w:rPr>
                <w:rStyle w:val="13"/>
                <w:lang w:val="en-US" w:eastAsia="zh-CN" w:bidi="ar"/>
              </w:rPr>
              <w:t>管理</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反映部门非税收入的使用、管理情况。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①实行收支两条线，计</w:t>
            </w:r>
            <w:r>
              <w:rPr>
                <w:rStyle w:val="14"/>
                <w:rFonts w:eastAsia="宋体"/>
                <w:lang w:val="en-US" w:eastAsia="zh-CN" w:bidi="ar"/>
              </w:rPr>
              <w:t>0.5</w:t>
            </w:r>
            <w:r>
              <w:rPr>
                <w:rStyle w:val="13"/>
                <w:lang w:val="en-US" w:eastAsia="zh-CN" w:bidi="ar"/>
              </w:rPr>
              <w:t>分，否则，计</w:t>
            </w:r>
            <w:r>
              <w:rPr>
                <w:rStyle w:val="14"/>
                <w:rFonts w:eastAsia="宋体"/>
                <w:lang w:val="en-US" w:eastAsia="zh-CN" w:bidi="ar"/>
              </w:rPr>
              <w:t>0</w:t>
            </w:r>
            <w:r>
              <w:rPr>
                <w:rStyle w:val="13"/>
                <w:lang w:val="en-US" w:eastAsia="zh-CN" w:bidi="ar"/>
              </w:rPr>
              <w:t>分；</w:t>
            </w:r>
            <w:r>
              <w:rPr>
                <w:rStyle w:val="14"/>
                <w:rFonts w:eastAsia="宋体"/>
                <w:lang w:val="en-US" w:eastAsia="zh-CN" w:bidi="ar"/>
              </w:rPr>
              <w:br w:type="textWrapping"/>
            </w:r>
            <w:r>
              <w:rPr>
                <w:rStyle w:val="13"/>
                <w:lang w:val="en-US" w:eastAsia="zh-CN" w:bidi="ar"/>
              </w:rPr>
              <w:t>②未发生截留、坐支或转移，计</w:t>
            </w:r>
            <w:r>
              <w:rPr>
                <w:rStyle w:val="14"/>
                <w:rFonts w:eastAsia="宋体"/>
                <w:lang w:val="en-US" w:eastAsia="zh-CN" w:bidi="ar"/>
              </w:rPr>
              <w:t>0.5</w:t>
            </w:r>
            <w:r>
              <w:rPr>
                <w:rStyle w:val="13"/>
                <w:lang w:val="en-US" w:eastAsia="zh-CN" w:bidi="ar"/>
              </w:rPr>
              <w:t>分，否则，计</w:t>
            </w:r>
            <w:r>
              <w:rPr>
                <w:rStyle w:val="14"/>
                <w:rFonts w:eastAsia="宋体"/>
                <w:lang w:val="en-US" w:eastAsia="zh-CN" w:bidi="ar"/>
              </w:rPr>
              <w:t>0</w:t>
            </w:r>
            <w:r>
              <w:rPr>
                <w:rStyle w:val="13"/>
                <w:lang w:val="en-US" w:eastAsia="zh-CN" w:bidi="ar"/>
              </w:rPr>
              <w:t>分。</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本年度部门（单位）决算报表。</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5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绩效自评</w:t>
            </w:r>
            <w:r>
              <w:rPr>
                <w:rStyle w:val="14"/>
                <w:rFonts w:eastAsia="宋体"/>
                <w:lang w:val="en-US" w:eastAsia="zh-CN" w:bidi="ar"/>
              </w:rPr>
              <w:br w:type="textWrapping"/>
            </w:r>
            <w:r>
              <w:rPr>
                <w:rStyle w:val="13"/>
                <w:lang w:val="en-US" w:eastAsia="zh-CN" w:bidi="ar"/>
              </w:rPr>
              <w:t>管理情况</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w:t>
            </w:r>
          </w:p>
        </w:tc>
        <w:tc>
          <w:tcPr>
            <w:tcW w:w="2570"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部门（单位）绩效自评管理情况。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4"/>
                <w:rFonts w:eastAsia="宋体"/>
                <w:lang w:val="en-US" w:eastAsia="zh-CN" w:bidi="ar"/>
              </w:rPr>
              <w:br w:type="textWrapping"/>
            </w:r>
            <w:r>
              <w:rPr>
                <w:rStyle w:val="13"/>
                <w:lang w:val="en-US" w:eastAsia="zh-CN" w:bidi="ar"/>
              </w:rPr>
              <w:t>①是否按要求开展部门（单位）整体支出绩效自评和专项资金支出自评工作。</w:t>
            </w:r>
            <w:r>
              <w:rPr>
                <w:rStyle w:val="14"/>
                <w:rFonts w:eastAsia="宋体"/>
                <w:lang w:val="en-US" w:eastAsia="zh-CN" w:bidi="ar"/>
              </w:rPr>
              <w:br w:type="textWrapping"/>
            </w:r>
            <w:r>
              <w:rPr>
                <w:rStyle w:val="13"/>
                <w:lang w:val="en-US" w:eastAsia="zh-CN" w:bidi="ar"/>
              </w:rPr>
              <w:t>②是否及时报送绩效自评报告；</w:t>
            </w:r>
            <w:r>
              <w:rPr>
                <w:rStyle w:val="14"/>
                <w:rFonts w:eastAsia="宋体"/>
                <w:lang w:val="en-US" w:eastAsia="zh-CN" w:bidi="ar"/>
              </w:rPr>
              <w:br w:type="textWrapping"/>
            </w:r>
            <w:r>
              <w:rPr>
                <w:rStyle w:val="13"/>
                <w:lang w:val="en-US" w:eastAsia="zh-CN" w:bidi="ar"/>
              </w:rPr>
              <w:t>③绩效自评报告是否完整，数据是否全面、真实、准确，绩效指标是否细化量化和科学合理；</w:t>
            </w:r>
            <w:r>
              <w:rPr>
                <w:rStyle w:val="14"/>
                <w:rFonts w:eastAsia="宋体"/>
                <w:lang w:val="en-US" w:eastAsia="zh-CN" w:bidi="ar"/>
              </w:rPr>
              <w:br w:type="textWrapping"/>
            </w:r>
            <w:r>
              <w:rPr>
                <w:rStyle w:val="13"/>
                <w:lang w:val="en-US" w:eastAsia="zh-CN" w:bidi="ar"/>
              </w:rPr>
              <w:t>④绩效自评反映的问题是否具体，意见是否可行，自评发现的问题是否整改；</w:t>
            </w:r>
            <w:r>
              <w:rPr>
                <w:rStyle w:val="14"/>
                <w:rFonts w:eastAsia="宋体"/>
                <w:lang w:val="en-US" w:eastAsia="zh-CN" w:bidi="ar"/>
              </w:rPr>
              <w:br w:type="textWrapping"/>
            </w:r>
            <w:r>
              <w:rPr>
                <w:rStyle w:val="13"/>
                <w:lang w:val="en-US" w:eastAsia="zh-CN" w:bidi="ar"/>
              </w:rPr>
              <w:t>该项得分，①、②、③、④各计</w:t>
            </w:r>
            <w:r>
              <w:rPr>
                <w:rStyle w:val="14"/>
                <w:rFonts w:eastAsia="宋体"/>
                <w:lang w:val="en-US" w:eastAsia="zh-CN" w:bidi="ar"/>
              </w:rPr>
              <w:t>1</w:t>
            </w:r>
            <w:r>
              <w:rPr>
                <w:rStyle w:val="13"/>
                <w:lang w:val="en-US" w:eastAsia="zh-CN" w:bidi="ar"/>
              </w:rPr>
              <w:t>分。</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部门（单位）绩效管理制度；工作协同机制；现场绩效评价实际情况；自评报告及相关文件。</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4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重点绩效</w:t>
            </w:r>
            <w:r>
              <w:rPr>
                <w:rStyle w:val="14"/>
                <w:rFonts w:eastAsia="宋体"/>
                <w:lang w:val="en-US" w:eastAsia="zh-CN" w:bidi="ar"/>
              </w:rPr>
              <w:br w:type="textWrapping"/>
            </w:r>
            <w:r>
              <w:rPr>
                <w:rStyle w:val="13"/>
                <w:lang w:val="en-US" w:eastAsia="zh-CN" w:bidi="ar"/>
              </w:rPr>
              <w:t>评价整改</w:t>
            </w:r>
            <w:r>
              <w:rPr>
                <w:rStyle w:val="14"/>
                <w:rFonts w:eastAsia="宋体"/>
                <w:lang w:val="en-US" w:eastAsia="zh-CN" w:bidi="ar"/>
              </w:rPr>
              <w:br w:type="textWrapping"/>
            </w:r>
            <w:r>
              <w:rPr>
                <w:rStyle w:val="13"/>
                <w:lang w:val="en-US" w:eastAsia="zh-CN" w:bidi="ar"/>
              </w:rPr>
              <w:t>情况</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w:t>
            </w:r>
          </w:p>
        </w:tc>
        <w:tc>
          <w:tcPr>
            <w:tcW w:w="2570"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部门（单位）上轮评价问题整改情况。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上轮重点评价问题全部整改，计3分；上轮重点评价问题部分整改，计</w:t>
            </w:r>
            <w:r>
              <w:rPr>
                <w:rStyle w:val="14"/>
                <w:rFonts w:eastAsia="宋体"/>
                <w:lang w:val="en-US" w:eastAsia="zh-CN" w:bidi="ar"/>
              </w:rPr>
              <w:t>1</w:t>
            </w:r>
            <w:r>
              <w:rPr>
                <w:rStyle w:val="13"/>
                <w:lang w:val="en-US" w:eastAsia="zh-CN" w:bidi="ar"/>
              </w:rPr>
              <w:t>分；上轮重点评价问题未整改且无整改情况说明的不计分。</w:t>
            </w:r>
          </w:p>
        </w:tc>
        <w:tc>
          <w:tcPr>
            <w:tcW w:w="2115"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部门（单位）上轮绩效评价报告及对应的整改资料。</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80"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13"/>
                <w:lang w:val="en-US" w:eastAsia="zh-CN" w:bidi="ar"/>
              </w:rPr>
              <w:t>资产</w:t>
            </w:r>
            <w:r>
              <w:rPr>
                <w:rStyle w:val="14"/>
                <w:rFonts w:eastAsia="宋体"/>
                <w:lang w:val="en-US" w:eastAsia="zh-CN" w:bidi="ar"/>
              </w:rPr>
              <w:br w:type="textWrapping"/>
            </w:r>
            <w:r>
              <w:rPr>
                <w:rStyle w:val="13"/>
                <w:lang w:val="en-US" w:eastAsia="zh-CN" w:bidi="ar"/>
              </w:rPr>
              <w:t>管理</w:t>
            </w:r>
            <w:r>
              <w:rPr>
                <w:rStyle w:val="14"/>
                <w:rFonts w:eastAsia="宋体"/>
                <w:lang w:val="en-US" w:eastAsia="zh-CN" w:bidi="ar"/>
              </w:rPr>
              <w:br w:type="textWrapping"/>
            </w:r>
            <w:r>
              <w:rPr>
                <w:rStyle w:val="13"/>
                <w:lang w:val="en-US" w:eastAsia="zh-CN" w:bidi="ar"/>
              </w:rPr>
              <w:t>（5分）</w:t>
            </w: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资产管理</w:t>
            </w:r>
            <w:r>
              <w:rPr>
                <w:rStyle w:val="14"/>
                <w:rFonts w:eastAsia="宋体"/>
                <w:lang w:val="en-US" w:eastAsia="zh-CN" w:bidi="ar"/>
              </w:rPr>
              <w:br w:type="textWrapping"/>
            </w:r>
            <w:r>
              <w:rPr>
                <w:rStyle w:val="13"/>
                <w:lang w:val="en-US" w:eastAsia="zh-CN" w:bidi="ar"/>
              </w:rPr>
              <w:t>制度健全性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部门（单位）为加强资产管理、规范资产管理行为而制定的管理制度是否健全完整，用以反映和考核部门资产管理制度对完成主要职责或促进社会发展的保障情况。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t>①已制定合法、合规、完整的资产管理制度，计</w:t>
            </w:r>
            <w:r>
              <w:rPr>
                <w:rStyle w:val="14"/>
                <w:rFonts w:eastAsia="宋体"/>
                <w:lang w:val="en-US" w:eastAsia="zh-CN" w:bidi="ar"/>
              </w:rPr>
              <w:t>0.5</w:t>
            </w:r>
            <w:r>
              <w:rPr>
                <w:rStyle w:val="13"/>
                <w:lang w:val="en-US" w:eastAsia="zh-CN" w:bidi="ar"/>
              </w:rPr>
              <w:t>分，否则不得分；</w:t>
            </w:r>
            <w:r>
              <w:rPr>
                <w:rStyle w:val="14"/>
                <w:rFonts w:eastAsia="宋体"/>
                <w:lang w:val="en-US" w:eastAsia="zh-CN" w:bidi="ar"/>
              </w:rPr>
              <w:br w:type="textWrapping"/>
            </w:r>
            <w:r>
              <w:rPr>
                <w:rStyle w:val="13"/>
                <w:lang w:val="en-US" w:eastAsia="zh-CN" w:bidi="ar"/>
              </w:rPr>
              <w:t>②相关资产管理制度得到有效执行，计</w:t>
            </w:r>
            <w:r>
              <w:rPr>
                <w:rStyle w:val="14"/>
                <w:rFonts w:eastAsia="宋体"/>
                <w:lang w:val="en-US" w:eastAsia="zh-CN" w:bidi="ar"/>
              </w:rPr>
              <w:t>0.5</w:t>
            </w:r>
            <w:r>
              <w:rPr>
                <w:rStyle w:val="13"/>
                <w:lang w:val="en-US" w:eastAsia="zh-CN" w:bidi="ar"/>
              </w:rPr>
              <w:t>分，否则不得分；</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部门（单位）资产管理制度；采购资产相关资料。</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资产管理</w:t>
            </w:r>
            <w:r>
              <w:rPr>
                <w:rStyle w:val="14"/>
                <w:rFonts w:eastAsia="宋体"/>
                <w:lang w:val="en-US" w:eastAsia="zh-CN" w:bidi="ar"/>
              </w:rPr>
              <w:br w:type="textWrapping"/>
            </w:r>
            <w:r>
              <w:rPr>
                <w:rStyle w:val="13"/>
                <w:lang w:val="en-US" w:eastAsia="zh-CN" w:bidi="ar"/>
              </w:rPr>
              <w:t>安全性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部门（单位）的资产是否保存完整、使用合规、配置合理、处置规范、收入及时足额上缴，用以反映和考核部门（单位）资产安全运行情况。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①资产配置合理符合标准、保管完整，账务管理规范，定期盘点并有台账，账实相符的，计</w:t>
            </w:r>
            <w:r>
              <w:rPr>
                <w:rStyle w:val="14"/>
                <w:rFonts w:eastAsia="宋体"/>
                <w:lang w:val="en-US" w:eastAsia="zh-CN" w:bidi="ar"/>
              </w:rPr>
              <w:t>0.5</w:t>
            </w:r>
            <w:r>
              <w:rPr>
                <w:rStyle w:val="13"/>
                <w:lang w:val="en-US" w:eastAsia="zh-CN" w:bidi="ar"/>
              </w:rPr>
              <w:t>分，发现一例不符，扣</w:t>
            </w:r>
            <w:r>
              <w:rPr>
                <w:rStyle w:val="14"/>
                <w:rFonts w:eastAsia="宋体"/>
                <w:lang w:val="en-US" w:eastAsia="zh-CN" w:bidi="ar"/>
              </w:rPr>
              <w:t>0.1</w:t>
            </w:r>
            <w:r>
              <w:rPr>
                <w:rStyle w:val="13"/>
                <w:lang w:val="en-US" w:eastAsia="zh-CN" w:bidi="ar"/>
              </w:rPr>
              <w:t>分，扣完为止；</w:t>
            </w:r>
            <w:r>
              <w:rPr>
                <w:rStyle w:val="14"/>
                <w:rFonts w:eastAsia="宋体"/>
                <w:lang w:val="en-US" w:eastAsia="zh-CN" w:bidi="ar"/>
              </w:rPr>
              <w:br w:type="textWrapping"/>
            </w:r>
            <w:r>
              <w:rPr>
                <w:rStyle w:val="13"/>
                <w:lang w:val="en-US" w:eastAsia="zh-CN" w:bidi="ar"/>
              </w:rPr>
              <w:t>②资产处置规范，计</w:t>
            </w:r>
            <w:r>
              <w:rPr>
                <w:rStyle w:val="14"/>
                <w:rFonts w:eastAsia="宋体"/>
                <w:lang w:val="en-US" w:eastAsia="zh-CN" w:bidi="ar"/>
              </w:rPr>
              <w:t>0.5</w:t>
            </w:r>
            <w:r>
              <w:rPr>
                <w:rStyle w:val="13"/>
                <w:lang w:val="en-US" w:eastAsia="zh-CN" w:bidi="ar"/>
              </w:rPr>
              <w:t>分，发现一例不符，扣</w:t>
            </w:r>
            <w:r>
              <w:rPr>
                <w:rStyle w:val="14"/>
                <w:rFonts w:eastAsia="宋体"/>
                <w:lang w:val="en-US" w:eastAsia="zh-CN" w:bidi="ar"/>
              </w:rPr>
              <w:t>0.1</w:t>
            </w:r>
            <w:r>
              <w:rPr>
                <w:rStyle w:val="13"/>
                <w:lang w:val="en-US" w:eastAsia="zh-CN" w:bidi="ar"/>
              </w:rPr>
              <w:t>分，扣完为止；</w:t>
            </w:r>
            <w:r>
              <w:rPr>
                <w:rStyle w:val="14"/>
                <w:rFonts w:eastAsia="宋体"/>
                <w:lang w:val="en-US" w:eastAsia="zh-CN" w:bidi="ar"/>
              </w:rPr>
              <w:br w:type="textWrapping"/>
            </w:r>
            <w:r>
              <w:rPr>
                <w:rStyle w:val="13"/>
                <w:lang w:val="en-US" w:eastAsia="zh-CN" w:bidi="ar"/>
              </w:rPr>
              <w:t>③资产有偿使用或处置收入及时足额上缴，计</w:t>
            </w:r>
            <w:r>
              <w:rPr>
                <w:rStyle w:val="14"/>
                <w:rFonts w:eastAsia="宋体"/>
                <w:lang w:val="en-US" w:eastAsia="zh-CN" w:bidi="ar"/>
              </w:rPr>
              <w:t>0.5</w:t>
            </w:r>
            <w:r>
              <w:rPr>
                <w:rStyle w:val="13"/>
                <w:lang w:val="en-US" w:eastAsia="zh-CN" w:bidi="ar"/>
              </w:rPr>
              <w:t>分，发现未上缴，本项不得分；</w:t>
            </w:r>
            <w:r>
              <w:rPr>
                <w:rStyle w:val="14"/>
                <w:rFonts w:eastAsia="宋体"/>
                <w:lang w:val="en-US" w:eastAsia="zh-CN" w:bidi="ar"/>
              </w:rPr>
              <w:br w:type="textWrapping"/>
            </w:r>
            <w:r>
              <w:rPr>
                <w:rStyle w:val="13"/>
                <w:lang w:val="en-US" w:eastAsia="zh-CN" w:bidi="ar"/>
              </w:rPr>
              <w:t>④资产购置履行政府采购手续，计</w:t>
            </w:r>
            <w:r>
              <w:rPr>
                <w:rStyle w:val="14"/>
                <w:rFonts w:eastAsia="宋体"/>
                <w:lang w:val="en-US" w:eastAsia="zh-CN" w:bidi="ar"/>
              </w:rPr>
              <w:t>0.3</w:t>
            </w:r>
            <w:r>
              <w:rPr>
                <w:rStyle w:val="13"/>
                <w:lang w:val="en-US" w:eastAsia="zh-CN" w:bidi="ar"/>
              </w:rPr>
              <w:t>分，发现一例不符，扣</w:t>
            </w:r>
            <w:r>
              <w:rPr>
                <w:rStyle w:val="14"/>
                <w:rFonts w:eastAsia="宋体"/>
                <w:lang w:val="en-US" w:eastAsia="zh-CN" w:bidi="ar"/>
              </w:rPr>
              <w:t>0.1</w:t>
            </w:r>
            <w:r>
              <w:rPr>
                <w:rStyle w:val="13"/>
                <w:lang w:val="en-US" w:eastAsia="zh-CN" w:bidi="ar"/>
              </w:rPr>
              <w:t>分，扣完为止；外租资产全部走合规程序，计</w:t>
            </w:r>
            <w:r>
              <w:rPr>
                <w:rStyle w:val="14"/>
                <w:rFonts w:eastAsia="宋体"/>
                <w:lang w:val="en-US" w:eastAsia="zh-CN" w:bidi="ar"/>
              </w:rPr>
              <w:t>0.2</w:t>
            </w:r>
            <w:r>
              <w:rPr>
                <w:rStyle w:val="13"/>
                <w:lang w:val="en-US" w:eastAsia="zh-CN" w:bidi="ar"/>
              </w:rPr>
              <w:t>分，发现一例不合规，扣</w:t>
            </w:r>
            <w:r>
              <w:rPr>
                <w:rStyle w:val="14"/>
                <w:rFonts w:eastAsia="宋体"/>
                <w:lang w:val="en-US" w:eastAsia="zh-CN" w:bidi="ar"/>
              </w:rPr>
              <w:t>0.1</w:t>
            </w:r>
            <w:r>
              <w:rPr>
                <w:rStyle w:val="13"/>
                <w:lang w:val="en-US" w:eastAsia="zh-CN" w:bidi="ar"/>
              </w:rPr>
              <w:t>分，扣完为止；</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财政部门批复的本年度部门（单位）预算；资产账；部门（单位）岗位人员配置、资产配置、资产处置审批资料；政府采购手续及资料等。</w:t>
            </w:r>
          </w:p>
        </w:tc>
        <w:tc>
          <w:tcPr>
            <w:tcW w:w="586"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35" w:hRule="atLeast"/>
          <w:jc w:val="center"/>
        </w:trPr>
        <w:tc>
          <w:tcPr>
            <w:tcW w:w="873"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固定资产</w:t>
            </w:r>
            <w:r>
              <w:rPr>
                <w:rStyle w:val="14"/>
                <w:rFonts w:eastAsia="宋体"/>
                <w:lang w:val="en-US" w:eastAsia="zh-CN" w:bidi="ar"/>
              </w:rPr>
              <w:br w:type="textWrapping"/>
            </w:r>
            <w:r>
              <w:rPr>
                <w:rStyle w:val="13"/>
                <w:lang w:val="en-US" w:eastAsia="zh-CN" w:bidi="ar"/>
              </w:rPr>
              <w:t>保管和使用情况</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掌握预算单位固定资产配置管理使用情况。</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①建了固定资产台账实行编码管理，且编码与实物完全匹配计</w:t>
            </w:r>
            <w:r>
              <w:rPr>
                <w:rStyle w:val="14"/>
                <w:rFonts w:eastAsia="宋体"/>
                <w:lang w:val="en-US" w:eastAsia="zh-CN" w:bidi="ar"/>
              </w:rPr>
              <w:t>1</w:t>
            </w:r>
            <w:r>
              <w:rPr>
                <w:rStyle w:val="13"/>
                <w:lang w:val="en-US" w:eastAsia="zh-CN" w:bidi="ar"/>
              </w:rPr>
              <w:t>分，否则不得分；</w:t>
            </w:r>
            <w:r>
              <w:rPr>
                <w:rStyle w:val="14"/>
                <w:rFonts w:eastAsia="宋体"/>
                <w:lang w:val="en-US" w:eastAsia="zh-CN" w:bidi="ar"/>
              </w:rPr>
              <w:br w:type="textWrapping"/>
            </w:r>
            <w:r>
              <w:rPr>
                <w:rStyle w:val="13"/>
                <w:lang w:val="en-US" w:eastAsia="zh-CN" w:bidi="ar"/>
              </w:rPr>
              <w:t>②建立了固定资产增减变化审批程序的计0.5分，否则不得分；</w:t>
            </w:r>
            <w:r>
              <w:rPr>
                <w:rStyle w:val="14"/>
                <w:rFonts w:eastAsia="宋体"/>
                <w:lang w:val="en-US" w:eastAsia="zh-CN" w:bidi="ar"/>
              </w:rPr>
              <w:br w:type="textWrapping"/>
            </w:r>
            <w:r>
              <w:rPr>
                <w:rStyle w:val="13"/>
                <w:lang w:val="en-US" w:eastAsia="zh-CN" w:bidi="ar"/>
              </w:rPr>
              <w:t>③固定资产无闲置浪费现象计0.5分，发现一处扣</w:t>
            </w:r>
            <w:r>
              <w:rPr>
                <w:rStyle w:val="14"/>
                <w:rFonts w:eastAsia="宋体"/>
                <w:lang w:val="en-US" w:eastAsia="zh-CN" w:bidi="ar"/>
              </w:rPr>
              <w:t>0.1</w:t>
            </w:r>
            <w:r>
              <w:rPr>
                <w:rStyle w:val="13"/>
                <w:lang w:val="en-US" w:eastAsia="zh-CN" w:bidi="ar"/>
              </w:rPr>
              <w:t>分，扣完为止。</w:t>
            </w:r>
          </w:p>
        </w:tc>
        <w:tc>
          <w:tcPr>
            <w:tcW w:w="211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部门（单位）固定资产实际使用情况；固定资产账。</w:t>
            </w: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5" w:hRule="atLeast"/>
          <w:jc w:val="center"/>
        </w:trPr>
        <w:tc>
          <w:tcPr>
            <w:tcW w:w="873" w:type="dxa"/>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产出</w:t>
            </w:r>
            <w:r>
              <w:rPr>
                <w:rStyle w:val="14"/>
                <w:rFonts w:eastAsia="宋体"/>
                <w:lang w:val="en-US" w:eastAsia="zh-CN" w:bidi="ar"/>
              </w:rPr>
              <w:br w:type="textWrapping"/>
            </w:r>
            <w:r>
              <w:rPr>
                <w:rStyle w:val="13"/>
                <w:lang w:val="en-US" w:eastAsia="zh-CN" w:bidi="ar"/>
              </w:rPr>
              <w:t>（</w:t>
            </w:r>
            <w:r>
              <w:rPr>
                <w:rStyle w:val="14"/>
                <w:rFonts w:eastAsia="宋体"/>
                <w:lang w:val="en-US" w:eastAsia="zh-CN" w:bidi="ar"/>
              </w:rPr>
              <w:t>22</w:t>
            </w:r>
            <w:r>
              <w:rPr>
                <w:rStyle w:val="13"/>
                <w:lang w:val="en-US" w:eastAsia="zh-CN" w:bidi="ar"/>
              </w:rPr>
              <w:t>分）</w:t>
            </w:r>
          </w:p>
        </w:tc>
        <w:tc>
          <w:tcPr>
            <w:tcW w:w="870" w:type="dxa"/>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职责履行（</w:t>
            </w:r>
            <w:r>
              <w:rPr>
                <w:rStyle w:val="14"/>
                <w:rFonts w:eastAsia="宋体"/>
                <w:lang w:val="en-US" w:eastAsia="zh-CN" w:bidi="ar"/>
              </w:rPr>
              <w:t>22</w:t>
            </w:r>
            <w:r>
              <w:rPr>
                <w:rStyle w:val="13"/>
                <w:lang w:val="en-US" w:eastAsia="zh-CN" w:bidi="ar"/>
              </w:rPr>
              <w:t>分）</w:t>
            </w: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部门整体</w:t>
            </w:r>
            <w:r>
              <w:rPr>
                <w:rStyle w:val="14"/>
                <w:rFonts w:eastAsia="宋体"/>
                <w:lang w:val="en-US" w:eastAsia="zh-CN" w:bidi="ar"/>
              </w:rPr>
              <w:t xml:space="preserve"> </w:t>
            </w:r>
            <w:r>
              <w:rPr>
                <w:rStyle w:val="14"/>
                <w:rFonts w:eastAsia="宋体"/>
                <w:lang w:val="en-US" w:eastAsia="zh-CN" w:bidi="ar"/>
              </w:rPr>
              <w:br w:type="textWrapping"/>
            </w:r>
            <w:r>
              <w:rPr>
                <w:rStyle w:val="13"/>
                <w:lang w:val="en-US" w:eastAsia="zh-CN" w:bidi="ar"/>
              </w:rPr>
              <w:t>工作质量</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反映部门党委政府绩效考核评估等级</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3"/>
                <w:lang w:val="en-US" w:eastAsia="zh-CN" w:bidi="ar"/>
              </w:rPr>
              <w:br w:type="textWrapping"/>
            </w:r>
            <w:r>
              <w:rPr>
                <w:rStyle w:val="13"/>
                <w:lang w:val="en-US" w:eastAsia="zh-CN" w:bidi="ar"/>
              </w:rPr>
              <w:t>以市委、市政府绩效效考核评估结果为依据：优秀，计</w:t>
            </w:r>
            <w:r>
              <w:rPr>
                <w:rStyle w:val="14"/>
                <w:rFonts w:eastAsia="宋体"/>
                <w:lang w:val="en-US" w:eastAsia="zh-CN" w:bidi="ar"/>
              </w:rPr>
              <w:t>6</w:t>
            </w:r>
            <w:r>
              <w:rPr>
                <w:rStyle w:val="13"/>
                <w:lang w:val="en-US" w:eastAsia="zh-CN" w:bidi="ar"/>
              </w:rPr>
              <w:t>分；良好，</w:t>
            </w:r>
            <w:r>
              <w:rPr>
                <w:rStyle w:val="14"/>
                <w:rFonts w:eastAsia="宋体"/>
                <w:lang w:val="en-US" w:eastAsia="zh-CN" w:bidi="ar"/>
              </w:rPr>
              <w:t>4</w:t>
            </w:r>
            <w:r>
              <w:rPr>
                <w:rStyle w:val="13"/>
                <w:lang w:val="en-US" w:eastAsia="zh-CN" w:bidi="ar"/>
              </w:rPr>
              <w:t>分；合格，</w:t>
            </w:r>
            <w:r>
              <w:rPr>
                <w:rStyle w:val="14"/>
                <w:rFonts w:eastAsia="宋体"/>
                <w:lang w:val="en-US" w:eastAsia="zh-CN" w:bidi="ar"/>
              </w:rPr>
              <w:t>2</w:t>
            </w:r>
            <w:r>
              <w:rPr>
                <w:rStyle w:val="13"/>
                <w:lang w:val="en-US" w:eastAsia="zh-CN" w:bidi="ar"/>
              </w:rPr>
              <w:t>分；不合格，</w:t>
            </w:r>
            <w:r>
              <w:rPr>
                <w:rStyle w:val="14"/>
                <w:rFonts w:eastAsia="宋体"/>
                <w:lang w:val="en-US" w:eastAsia="zh-CN" w:bidi="ar"/>
              </w:rPr>
              <w:t>0</w:t>
            </w:r>
            <w:r>
              <w:rPr>
                <w:rStyle w:val="13"/>
                <w:lang w:val="en-US" w:eastAsia="zh-CN" w:bidi="ar"/>
              </w:rPr>
              <w:t>分。</w:t>
            </w:r>
          </w:p>
        </w:tc>
        <w:tc>
          <w:tcPr>
            <w:tcW w:w="2115"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0" w:hRule="atLeast"/>
          <w:jc w:val="center"/>
        </w:trPr>
        <w:tc>
          <w:tcPr>
            <w:tcW w:w="873"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870"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实际</w:t>
            </w:r>
            <w:r>
              <w:rPr>
                <w:rStyle w:val="16"/>
                <w:rFonts w:eastAsia="宋体"/>
                <w:lang w:val="en-US" w:eastAsia="zh-CN" w:bidi="ar"/>
              </w:rPr>
              <w:br w:type="textWrapping"/>
            </w:r>
            <w:r>
              <w:rPr>
                <w:rStyle w:val="15"/>
                <w:lang w:val="en-US" w:eastAsia="zh-CN" w:bidi="ar"/>
              </w:rPr>
              <w:t>完成率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部门履行职责而实际完成工作数与计划工作数的比率，用以反映和考核部门履职工作任务目标的实现程度。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6"/>
                <w:rFonts w:eastAsia="宋体"/>
                <w:lang w:val="en-US" w:eastAsia="zh-CN" w:bidi="ar"/>
              </w:rPr>
              <w:br w:type="textWrapping"/>
            </w:r>
            <w:r>
              <w:rPr>
                <w:rStyle w:val="15"/>
                <w:lang w:val="en-US" w:eastAsia="zh-CN" w:bidi="ar"/>
              </w:rPr>
              <w:t>实际完成率</w:t>
            </w:r>
            <w:r>
              <w:rPr>
                <w:rStyle w:val="16"/>
                <w:rFonts w:eastAsia="宋体"/>
                <w:lang w:val="en-US" w:eastAsia="zh-CN" w:bidi="ar"/>
              </w:rPr>
              <w:t>=</w:t>
            </w:r>
            <w:r>
              <w:rPr>
                <w:rStyle w:val="15"/>
                <w:lang w:val="en-US" w:eastAsia="zh-CN" w:bidi="ar"/>
              </w:rPr>
              <w:t>（实际完成工作数</w:t>
            </w:r>
            <w:r>
              <w:rPr>
                <w:rStyle w:val="16"/>
                <w:rFonts w:eastAsia="宋体"/>
                <w:lang w:val="en-US" w:eastAsia="zh-CN" w:bidi="ar"/>
              </w:rPr>
              <w:t>/</w:t>
            </w:r>
            <w:r>
              <w:rPr>
                <w:rStyle w:val="15"/>
                <w:lang w:val="en-US" w:eastAsia="zh-CN" w:bidi="ar"/>
              </w:rPr>
              <w:t>计划工作数）</w:t>
            </w:r>
            <w:r>
              <w:rPr>
                <w:rStyle w:val="16"/>
                <w:rFonts w:eastAsia="宋体"/>
                <w:lang w:val="en-US" w:eastAsia="zh-CN" w:bidi="ar"/>
              </w:rPr>
              <w:t>×100%</w:t>
            </w:r>
            <w:r>
              <w:rPr>
                <w:rStyle w:val="15"/>
                <w:lang w:val="en-US" w:eastAsia="zh-CN" w:bidi="ar"/>
              </w:rPr>
              <w:t>。实际完成工作数：一定时期（年度或规划期）内部门实际完成工作任务的数量。计划工作数：部门整体绩效目标确定的一定时期（年度或规划期）内预计完成工作任务的数量。</w:t>
            </w:r>
            <w:r>
              <w:rPr>
                <w:rStyle w:val="16"/>
                <w:rFonts w:eastAsia="宋体"/>
                <w:lang w:val="en-US" w:eastAsia="zh-CN" w:bidi="ar"/>
              </w:rPr>
              <w:br w:type="textWrapping"/>
            </w:r>
            <w:r>
              <w:rPr>
                <w:rStyle w:val="15"/>
                <w:lang w:val="en-US" w:eastAsia="zh-CN" w:bidi="ar"/>
              </w:rPr>
              <w:t>该项得分</w:t>
            </w:r>
            <w:r>
              <w:rPr>
                <w:rStyle w:val="16"/>
                <w:rFonts w:eastAsia="宋体"/>
                <w:lang w:val="en-US" w:eastAsia="zh-CN" w:bidi="ar"/>
              </w:rPr>
              <w:t>=</w:t>
            </w:r>
            <w:r>
              <w:rPr>
                <w:rStyle w:val="15"/>
                <w:lang w:val="en-US" w:eastAsia="zh-CN" w:bidi="ar"/>
              </w:rPr>
              <w:t>完成率</w:t>
            </w:r>
            <w:r>
              <w:rPr>
                <w:rStyle w:val="16"/>
                <w:rFonts w:eastAsia="宋体"/>
                <w:lang w:val="en-US" w:eastAsia="zh-CN" w:bidi="ar"/>
              </w:rPr>
              <w:t>×4</w:t>
            </w:r>
            <w:r>
              <w:rPr>
                <w:rStyle w:val="15"/>
                <w:lang w:val="en-US" w:eastAsia="zh-CN" w:bidi="ar"/>
              </w:rPr>
              <w:t>分。</w:t>
            </w:r>
          </w:p>
        </w:tc>
        <w:tc>
          <w:tcPr>
            <w:tcW w:w="2115"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0" w:hRule="atLeast"/>
          <w:jc w:val="center"/>
        </w:trPr>
        <w:tc>
          <w:tcPr>
            <w:tcW w:w="873"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870"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完成</w:t>
            </w:r>
            <w:r>
              <w:rPr>
                <w:rStyle w:val="16"/>
                <w:rFonts w:eastAsia="宋体"/>
                <w:lang w:val="en-US" w:eastAsia="zh-CN" w:bidi="ar"/>
              </w:rPr>
              <w:br w:type="textWrapping"/>
            </w:r>
            <w:r>
              <w:rPr>
                <w:rStyle w:val="15"/>
                <w:lang w:val="en-US" w:eastAsia="zh-CN" w:bidi="ar"/>
              </w:rPr>
              <w:t>及时性</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部门在规定时限内及时完成的实际工作数与计划工作数的比率，用以反映和考核部门履职实效目标的实现程度。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5"/>
                <w:lang w:val="en-US" w:eastAsia="zh-CN" w:bidi="ar"/>
              </w:rPr>
              <w:br w:type="textWrapping"/>
            </w:r>
            <w:r>
              <w:rPr>
                <w:rStyle w:val="15"/>
                <w:lang w:val="en-US" w:eastAsia="zh-CN" w:bidi="ar"/>
              </w:rPr>
              <w:t>完成及时率</w:t>
            </w:r>
            <w:r>
              <w:rPr>
                <w:rStyle w:val="16"/>
                <w:rFonts w:eastAsia="宋体"/>
                <w:lang w:val="en-US" w:eastAsia="zh-CN" w:bidi="ar"/>
              </w:rPr>
              <w:t>=</w:t>
            </w:r>
            <w:r>
              <w:rPr>
                <w:rStyle w:val="15"/>
                <w:lang w:val="en-US" w:eastAsia="zh-CN" w:bidi="ar"/>
              </w:rPr>
              <w:t>（及时完成实际工作数</w:t>
            </w:r>
            <w:r>
              <w:rPr>
                <w:rStyle w:val="16"/>
                <w:rFonts w:eastAsia="宋体"/>
                <w:lang w:val="en-US" w:eastAsia="zh-CN" w:bidi="ar"/>
              </w:rPr>
              <w:t>/</w:t>
            </w:r>
            <w:r>
              <w:rPr>
                <w:rStyle w:val="15"/>
                <w:lang w:val="en-US" w:eastAsia="zh-CN" w:bidi="ar"/>
              </w:rPr>
              <w:t>计划工作数）</w:t>
            </w:r>
            <w:r>
              <w:rPr>
                <w:rStyle w:val="16"/>
                <w:rFonts w:eastAsia="宋体"/>
                <w:lang w:val="en-US" w:eastAsia="zh-CN" w:bidi="ar"/>
              </w:rPr>
              <w:t>×100%</w:t>
            </w:r>
            <w:r>
              <w:rPr>
                <w:rStyle w:val="15"/>
                <w:lang w:val="en-US" w:eastAsia="zh-CN" w:bidi="ar"/>
              </w:rPr>
              <w:t>。及时完成实际工作数：部门按照整体绩效目标确定的时限实际完成的工作任务数量。</w:t>
            </w:r>
            <w:r>
              <w:rPr>
                <w:rStyle w:val="16"/>
                <w:rFonts w:eastAsia="宋体"/>
                <w:lang w:val="en-US" w:eastAsia="zh-CN" w:bidi="ar"/>
              </w:rPr>
              <w:br w:type="textWrapping"/>
            </w:r>
            <w:r>
              <w:rPr>
                <w:rStyle w:val="15"/>
                <w:lang w:val="en-US" w:eastAsia="zh-CN" w:bidi="ar"/>
              </w:rPr>
              <w:t>该项得分</w:t>
            </w:r>
            <w:r>
              <w:rPr>
                <w:rStyle w:val="16"/>
                <w:rFonts w:eastAsia="宋体"/>
                <w:lang w:val="en-US" w:eastAsia="zh-CN" w:bidi="ar"/>
              </w:rPr>
              <w:t>=</w:t>
            </w:r>
            <w:r>
              <w:rPr>
                <w:rStyle w:val="15"/>
                <w:lang w:val="en-US" w:eastAsia="zh-CN" w:bidi="ar"/>
              </w:rPr>
              <w:t>完成及时率</w:t>
            </w:r>
            <w:r>
              <w:rPr>
                <w:rStyle w:val="16"/>
                <w:rFonts w:eastAsia="宋体"/>
                <w:lang w:val="en-US" w:eastAsia="zh-CN" w:bidi="ar"/>
              </w:rPr>
              <w:t>×4</w:t>
            </w:r>
            <w:r>
              <w:rPr>
                <w:rStyle w:val="15"/>
                <w:lang w:val="en-US" w:eastAsia="zh-CN" w:bidi="ar"/>
              </w:rPr>
              <w:t>分。</w:t>
            </w:r>
          </w:p>
        </w:tc>
        <w:tc>
          <w:tcPr>
            <w:tcW w:w="2115"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0" w:hRule="atLeast"/>
          <w:jc w:val="center"/>
        </w:trPr>
        <w:tc>
          <w:tcPr>
            <w:tcW w:w="873"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870"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质量</w:t>
            </w:r>
            <w:r>
              <w:rPr>
                <w:rStyle w:val="16"/>
                <w:rFonts w:eastAsia="宋体"/>
                <w:lang w:val="en-US" w:eastAsia="zh-CN" w:bidi="ar"/>
              </w:rPr>
              <w:br w:type="textWrapping"/>
            </w:r>
            <w:r>
              <w:rPr>
                <w:rStyle w:val="15"/>
                <w:lang w:val="en-US" w:eastAsia="zh-CN" w:bidi="ar"/>
              </w:rPr>
              <w:t>达标率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达到质量标准（绩效标准值）的实际工作数与计划工作数的比率</w:t>
            </w:r>
            <w:r>
              <w:rPr>
                <w:rStyle w:val="16"/>
                <w:rFonts w:eastAsia="宋体"/>
                <w:lang w:val="en-US" w:eastAsia="zh-CN" w:bidi="ar"/>
              </w:rPr>
              <w:t>,</w:t>
            </w:r>
            <w:r>
              <w:rPr>
                <w:rStyle w:val="15"/>
                <w:lang w:val="en-US" w:eastAsia="zh-CN" w:bidi="ar"/>
              </w:rPr>
              <w:t>用以反映和考核部门履职质量目标的实现程度。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6"/>
                <w:rFonts w:eastAsia="宋体"/>
                <w:lang w:val="en-US" w:eastAsia="zh-CN" w:bidi="ar"/>
              </w:rPr>
              <w:br w:type="textWrapping"/>
            </w:r>
            <w:r>
              <w:rPr>
                <w:rStyle w:val="15"/>
                <w:lang w:val="en-US" w:eastAsia="zh-CN" w:bidi="ar"/>
              </w:rPr>
              <w:t>质量达标率</w:t>
            </w:r>
            <w:r>
              <w:rPr>
                <w:rStyle w:val="16"/>
                <w:rFonts w:eastAsia="宋体"/>
                <w:lang w:val="en-US" w:eastAsia="zh-CN" w:bidi="ar"/>
              </w:rPr>
              <w:t>=</w:t>
            </w:r>
            <w:r>
              <w:rPr>
                <w:rStyle w:val="15"/>
                <w:lang w:val="en-US" w:eastAsia="zh-CN" w:bidi="ar"/>
              </w:rPr>
              <w:t>（质量达标实际工作数</w:t>
            </w:r>
            <w:r>
              <w:rPr>
                <w:rStyle w:val="16"/>
                <w:rFonts w:eastAsia="宋体"/>
                <w:lang w:val="en-US" w:eastAsia="zh-CN" w:bidi="ar"/>
              </w:rPr>
              <w:t>/</w:t>
            </w:r>
            <w:r>
              <w:rPr>
                <w:rStyle w:val="15"/>
                <w:lang w:val="en-US" w:eastAsia="zh-CN" w:bidi="ar"/>
              </w:rPr>
              <w:t>计划工作数）</w:t>
            </w:r>
            <w:r>
              <w:rPr>
                <w:rStyle w:val="16"/>
                <w:rFonts w:eastAsia="宋体"/>
                <w:lang w:val="en-US" w:eastAsia="zh-CN" w:bidi="ar"/>
              </w:rPr>
              <w:t>×100%</w:t>
            </w:r>
            <w:r>
              <w:rPr>
                <w:rStyle w:val="15"/>
                <w:lang w:val="en-US" w:eastAsia="zh-CN" w:bidi="ar"/>
              </w:rPr>
              <w:t>。质量达标实际工作数：一定时期（年度或规划期）内部门实际完成工作数中达到部门绩效目标要求（绩效标准值）的工作任务数量。</w:t>
            </w:r>
            <w:r>
              <w:rPr>
                <w:rStyle w:val="16"/>
                <w:rFonts w:eastAsia="宋体"/>
                <w:lang w:val="en-US" w:eastAsia="zh-CN" w:bidi="ar"/>
              </w:rPr>
              <w:br w:type="textWrapping"/>
            </w:r>
            <w:r>
              <w:rPr>
                <w:rStyle w:val="15"/>
                <w:lang w:val="en-US" w:eastAsia="zh-CN" w:bidi="ar"/>
              </w:rPr>
              <w:t>该项得分</w:t>
            </w:r>
            <w:r>
              <w:rPr>
                <w:rStyle w:val="16"/>
                <w:rFonts w:eastAsia="宋体"/>
                <w:lang w:val="en-US" w:eastAsia="zh-CN" w:bidi="ar"/>
              </w:rPr>
              <w:t>=</w:t>
            </w:r>
            <w:r>
              <w:rPr>
                <w:rStyle w:val="15"/>
                <w:lang w:val="en-US" w:eastAsia="zh-CN" w:bidi="ar"/>
              </w:rPr>
              <w:t>达标率</w:t>
            </w:r>
            <w:r>
              <w:rPr>
                <w:rStyle w:val="16"/>
                <w:rFonts w:eastAsia="宋体"/>
                <w:lang w:val="en-US" w:eastAsia="zh-CN" w:bidi="ar"/>
              </w:rPr>
              <w:t>×4</w:t>
            </w:r>
            <w:r>
              <w:rPr>
                <w:rStyle w:val="15"/>
                <w:lang w:val="en-US" w:eastAsia="zh-CN" w:bidi="ar"/>
              </w:rPr>
              <w:t>分。</w:t>
            </w:r>
          </w:p>
        </w:tc>
        <w:tc>
          <w:tcPr>
            <w:tcW w:w="2115"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65" w:hRule="atLeast"/>
          <w:jc w:val="center"/>
        </w:trPr>
        <w:tc>
          <w:tcPr>
            <w:tcW w:w="873"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870"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重点工作</w:t>
            </w:r>
            <w:r>
              <w:rPr>
                <w:rStyle w:val="16"/>
                <w:rFonts w:eastAsia="宋体"/>
                <w:lang w:val="en-US" w:eastAsia="zh-CN" w:bidi="ar"/>
              </w:rPr>
              <w:br w:type="textWrapping"/>
            </w:r>
            <w:r>
              <w:rPr>
                <w:rStyle w:val="15"/>
                <w:lang w:val="en-US" w:eastAsia="zh-CN" w:bidi="ar"/>
              </w:rPr>
              <w:t>办结率</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部门年度重点工作实际完成数与交办或下达数的比率，用以反映部门对重点工作的办理落实程度。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重点工作办结率</w:t>
            </w:r>
            <w:r>
              <w:rPr>
                <w:rStyle w:val="16"/>
                <w:rFonts w:eastAsia="宋体"/>
                <w:lang w:val="en-US" w:eastAsia="zh-CN" w:bidi="ar"/>
              </w:rPr>
              <w:t>=</w:t>
            </w:r>
            <w:r>
              <w:rPr>
                <w:rStyle w:val="15"/>
                <w:lang w:val="en-US" w:eastAsia="zh-CN" w:bidi="ar"/>
              </w:rPr>
              <w:t>（重点工作实际完成数</w:t>
            </w:r>
            <w:r>
              <w:rPr>
                <w:rStyle w:val="16"/>
                <w:rFonts w:eastAsia="宋体"/>
                <w:lang w:val="en-US" w:eastAsia="zh-CN" w:bidi="ar"/>
              </w:rPr>
              <w:t>/</w:t>
            </w:r>
            <w:r>
              <w:rPr>
                <w:rStyle w:val="15"/>
                <w:lang w:val="en-US" w:eastAsia="zh-CN" w:bidi="ar"/>
              </w:rPr>
              <w:t>交办或下达数）</w:t>
            </w:r>
            <w:r>
              <w:rPr>
                <w:rStyle w:val="16"/>
                <w:rFonts w:eastAsia="宋体"/>
                <w:lang w:val="en-US" w:eastAsia="zh-CN" w:bidi="ar"/>
              </w:rPr>
              <w:t>×100%</w:t>
            </w:r>
            <w:r>
              <w:rPr>
                <w:rStyle w:val="15"/>
                <w:lang w:val="en-US" w:eastAsia="zh-CN" w:bidi="ar"/>
              </w:rPr>
              <w:t>。</w:t>
            </w:r>
            <w:r>
              <w:rPr>
                <w:rStyle w:val="16"/>
                <w:rFonts w:eastAsia="宋体"/>
                <w:lang w:val="en-US" w:eastAsia="zh-CN" w:bidi="ar"/>
              </w:rPr>
              <w:br w:type="textWrapping"/>
            </w:r>
            <w:r>
              <w:rPr>
                <w:rStyle w:val="15"/>
                <w:lang w:val="en-US" w:eastAsia="zh-CN" w:bidi="ar"/>
              </w:rPr>
              <w:t>重点工作是指党委、政府、人大、相关部门交办或下达的工作任务。</w:t>
            </w:r>
            <w:r>
              <w:rPr>
                <w:rStyle w:val="16"/>
                <w:rFonts w:eastAsia="宋体"/>
                <w:lang w:val="en-US" w:eastAsia="zh-CN" w:bidi="ar"/>
              </w:rPr>
              <w:br w:type="textWrapping"/>
            </w:r>
            <w:r>
              <w:rPr>
                <w:rStyle w:val="15"/>
                <w:lang w:val="en-US" w:eastAsia="zh-CN" w:bidi="ar"/>
              </w:rPr>
              <w:t>该项得分</w:t>
            </w:r>
            <w:r>
              <w:rPr>
                <w:rStyle w:val="16"/>
                <w:rFonts w:eastAsia="宋体"/>
                <w:lang w:val="en-US" w:eastAsia="zh-CN" w:bidi="ar"/>
              </w:rPr>
              <w:t>=</w:t>
            </w:r>
            <w:r>
              <w:rPr>
                <w:rStyle w:val="15"/>
                <w:lang w:val="en-US" w:eastAsia="zh-CN" w:bidi="ar"/>
              </w:rPr>
              <w:t>办结率</w:t>
            </w:r>
            <w:r>
              <w:rPr>
                <w:rStyle w:val="16"/>
                <w:rFonts w:eastAsia="宋体"/>
                <w:lang w:val="en-US" w:eastAsia="zh-CN" w:bidi="ar"/>
              </w:rPr>
              <w:t>×4</w:t>
            </w:r>
            <w:r>
              <w:rPr>
                <w:rStyle w:val="15"/>
                <w:lang w:val="en-US" w:eastAsia="zh-CN" w:bidi="ar"/>
              </w:rPr>
              <w:t>分。</w:t>
            </w:r>
          </w:p>
        </w:tc>
        <w:tc>
          <w:tcPr>
            <w:tcW w:w="2115"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5" w:hRule="atLeast"/>
          <w:jc w:val="center"/>
        </w:trPr>
        <w:tc>
          <w:tcPr>
            <w:tcW w:w="873" w:type="dxa"/>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3"/>
                <w:lang w:val="en-US" w:eastAsia="zh-CN" w:bidi="ar"/>
              </w:rPr>
              <w:t>效果</w:t>
            </w:r>
            <w:r>
              <w:rPr>
                <w:rStyle w:val="14"/>
                <w:rFonts w:eastAsia="宋体"/>
                <w:lang w:val="en-US" w:eastAsia="zh-CN" w:bidi="ar"/>
              </w:rPr>
              <w:br w:type="textWrapping"/>
            </w:r>
            <w:r>
              <w:rPr>
                <w:rStyle w:val="13"/>
                <w:lang w:val="en-US" w:eastAsia="zh-CN" w:bidi="ar"/>
              </w:rPr>
              <w:t>（</w:t>
            </w:r>
            <w:r>
              <w:rPr>
                <w:rStyle w:val="14"/>
                <w:rFonts w:eastAsia="宋体"/>
                <w:lang w:val="en-US" w:eastAsia="zh-CN" w:bidi="ar"/>
              </w:rPr>
              <w:t>17</w:t>
            </w:r>
            <w:r>
              <w:rPr>
                <w:rStyle w:val="13"/>
                <w:lang w:val="en-US" w:eastAsia="zh-CN" w:bidi="ar"/>
              </w:rPr>
              <w:t>分）</w:t>
            </w:r>
          </w:p>
        </w:tc>
        <w:tc>
          <w:tcPr>
            <w:tcW w:w="870" w:type="dxa"/>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履职效益（</w:t>
            </w:r>
            <w:r>
              <w:rPr>
                <w:rStyle w:val="16"/>
                <w:rFonts w:eastAsia="宋体"/>
                <w:lang w:val="en-US" w:eastAsia="zh-CN" w:bidi="ar"/>
              </w:rPr>
              <w:t>17</w:t>
            </w:r>
            <w:r>
              <w:rPr>
                <w:rStyle w:val="15"/>
                <w:lang w:val="en-US" w:eastAsia="zh-CN" w:bidi="ar"/>
              </w:rPr>
              <w:t>分）</w:t>
            </w: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经济</w:t>
            </w:r>
            <w:r>
              <w:rPr>
                <w:rStyle w:val="16"/>
                <w:rFonts w:eastAsia="宋体"/>
                <w:lang w:val="en-US" w:eastAsia="zh-CN" w:bidi="ar"/>
              </w:rPr>
              <w:br w:type="textWrapping"/>
            </w:r>
            <w:r>
              <w:rPr>
                <w:rStyle w:val="15"/>
                <w:lang w:val="en-US" w:eastAsia="zh-CN" w:bidi="ar"/>
              </w:rPr>
              <w:t>效益</w:t>
            </w:r>
          </w:p>
        </w:tc>
        <w:tc>
          <w:tcPr>
            <w:tcW w:w="495" w:type="dxa"/>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w:t>
            </w:r>
          </w:p>
        </w:tc>
        <w:tc>
          <w:tcPr>
            <w:tcW w:w="2570" w:type="dxa"/>
            <w:vMerge w:val="restart"/>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部门履行职责对经济发展、社会发展、生态环境所带来的直接或间接影响。</w:t>
            </w:r>
          </w:p>
        </w:tc>
        <w:tc>
          <w:tcPr>
            <w:tcW w:w="5112" w:type="dxa"/>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5"/>
                <w:lang w:val="en-US" w:eastAsia="zh-CN" w:bidi="ar"/>
              </w:rPr>
              <w:t>此三项指标可根据部门实际并结合部门整体支出绩效目标设立情况有选择的进行评价。</w:t>
            </w:r>
            <w:r>
              <w:rPr>
                <w:rStyle w:val="16"/>
                <w:rFonts w:eastAsia="宋体"/>
                <w:lang w:val="en-US" w:eastAsia="zh-CN" w:bidi="ar"/>
              </w:rPr>
              <w:br w:type="textWrapping"/>
            </w:r>
            <w:r>
              <w:rPr>
                <w:rStyle w:val="15"/>
                <w:lang w:val="en-US" w:eastAsia="zh-CN" w:bidi="ar"/>
              </w:rPr>
              <w:t>该项得分</w:t>
            </w:r>
            <w:r>
              <w:rPr>
                <w:rStyle w:val="16"/>
                <w:rFonts w:eastAsia="宋体"/>
                <w:lang w:val="en-US" w:eastAsia="zh-CN" w:bidi="ar"/>
              </w:rPr>
              <w:t>=</w:t>
            </w:r>
            <w:r>
              <w:rPr>
                <w:rStyle w:val="15"/>
                <w:lang w:val="en-US" w:eastAsia="zh-CN" w:bidi="ar"/>
              </w:rPr>
              <w:t>依据评价内容相应计分。</w:t>
            </w:r>
          </w:p>
        </w:tc>
        <w:tc>
          <w:tcPr>
            <w:tcW w:w="2115"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5" w:hRule="atLeast"/>
          <w:jc w:val="center"/>
        </w:trPr>
        <w:tc>
          <w:tcPr>
            <w:tcW w:w="873"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870"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社会</w:t>
            </w:r>
            <w:r>
              <w:rPr>
                <w:rStyle w:val="16"/>
                <w:rFonts w:eastAsia="宋体"/>
                <w:lang w:val="en-US" w:eastAsia="zh-CN" w:bidi="ar"/>
              </w:rPr>
              <w:br w:type="textWrapping"/>
            </w:r>
            <w:r>
              <w:rPr>
                <w:rStyle w:val="15"/>
                <w:lang w:val="en-US" w:eastAsia="zh-CN" w:bidi="ar"/>
              </w:rPr>
              <w:t>效益</w:t>
            </w:r>
          </w:p>
        </w:tc>
        <w:tc>
          <w:tcPr>
            <w:tcW w:w="495"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2570" w:type="dxa"/>
            <w:vMerge w:val="continue"/>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112" w:type="dxa"/>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115"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5" w:hRule="atLeast"/>
          <w:jc w:val="center"/>
        </w:trPr>
        <w:tc>
          <w:tcPr>
            <w:tcW w:w="873"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870"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生态</w:t>
            </w:r>
            <w:r>
              <w:rPr>
                <w:rStyle w:val="16"/>
                <w:rFonts w:eastAsia="宋体"/>
                <w:lang w:val="en-US" w:eastAsia="zh-CN" w:bidi="ar"/>
              </w:rPr>
              <w:br w:type="textWrapping"/>
            </w:r>
            <w:r>
              <w:rPr>
                <w:rStyle w:val="15"/>
                <w:lang w:val="en-US" w:eastAsia="zh-CN" w:bidi="ar"/>
              </w:rPr>
              <w:t>效益</w:t>
            </w:r>
          </w:p>
        </w:tc>
        <w:tc>
          <w:tcPr>
            <w:tcW w:w="495"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2570" w:type="dxa"/>
            <w:vMerge w:val="continue"/>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112" w:type="dxa"/>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115" w:type="dxa"/>
            <w:tcBorders>
              <w:tl2br w:val="nil"/>
              <w:tr2bl w:val="nil"/>
            </w:tcBorders>
            <w:noWrap w:val="0"/>
            <w:vAlign w:val="center"/>
          </w:tcPr>
          <w:p>
            <w:pPr>
              <w:jc w:val="left"/>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70" w:hRule="atLeast"/>
          <w:jc w:val="center"/>
        </w:trPr>
        <w:tc>
          <w:tcPr>
            <w:tcW w:w="873"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870" w:type="dxa"/>
            <w:vMerge w:val="continue"/>
            <w:tcBorders>
              <w:tl2br w:val="nil"/>
              <w:tr2bl w:val="nil"/>
            </w:tcBorders>
            <w:noWrap w:val="0"/>
            <w:vAlign w:val="center"/>
          </w:tcPr>
          <w:p>
            <w:pPr>
              <w:jc w:val="center"/>
              <w:rPr>
                <w:rFonts w:hint="default" w:ascii="Times New Roman" w:hAnsi="Times New Roman" w:eastAsia="宋体" w:cs="Times New Roman"/>
                <w:i w:val="0"/>
                <w:iCs w:val="0"/>
                <w:color w:val="000000"/>
                <w:sz w:val="18"/>
                <w:szCs w:val="18"/>
                <w:u w:val="none"/>
              </w:rPr>
            </w:pPr>
          </w:p>
        </w:tc>
        <w:tc>
          <w:tcPr>
            <w:tcW w:w="10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社会公众或服务对象满意度</w:t>
            </w:r>
          </w:p>
        </w:tc>
        <w:tc>
          <w:tcPr>
            <w:tcW w:w="49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w:t>
            </w:r>
          </w:p>
        </w:tc>
        <w:tc>
          <w:tcPr>
            <w:tcW w:w="257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Style w:val="15"/>
                <w:lang w:val="en-US" w:eastAsia="zh-CN" w:bidi="ar"/>
              </w:rPr>
              <w:t>社会公众或部门的服务对象对部门履职效果的满意程度。</w:t>
            </w:r>
          </w:p>
        </w:tc>
        <w:tc>
          <w:tcPr>
            <w:tcW w:w="5112" w:type="dxa"/>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15"/>
                <w:lang w:val="en-US" w:eastAsia="zh-CN" w:bidi="ar"/>
              </w:rPr>
              <w:br w:type="textWrapping"/>
            </w:r>
            <w:r>
              <w:rPr>
                <w:rStyle w:val="15"/>
                <w:lang w:val="en-US" w:eastAsia="zh-CN" w:bidi="ar"/>
              </w:rPr>
              <w:t>社会公众或服务对象是指部门履行职责而影响到的部门、群体或个人。一般采取社会调查的方式</w:t>
            </w:r>
            <w:r>
              <w:rPr>
                <w:rStyle w:val="16"/>
                <w:rFonts w:eastAsia="宋体"/>
                <w:lang w:val="en-US" w:eastAsia="zh-CN" w:bidi="ar"/>
              </w:rPr>
              <w:t>(</w:t>
            </w:r>
            <w:r>
              <w:rPr>
                <w:rStyle w:val="15"/>
                <w:lang w:val="en-US" w:eastAsia="zh-CN" w:bidi="ar"/>
              </w:rPr>
              <w:t>不少于</w:t>
            </w:r>
            <w:r>
              <w:rPr>
                <w:rStyle w:val="16"/>
                <w:rFonts w:eastAsia="宋体"/>
                <w:lang w:val="en-US" w:eastAsia="zh-CN" w:bidi="ar"/>
              </w:rPr>
              <w:t>30</w:t>
            </w:r>
            <w:r>
              <w:rPr>
                <w:rStyle w:val="15"/>
                <w:lang w:val="en-US" w:eastAsia="zh-CN" w:bidi="ar"/>
              </w:rPr>
              <w:t>份</w:t>
            </w:r>
            <w:r>
              <w:rPr>
                <w:rStyle w:val="16"/>
                <w:rFonts w:eastAsia="宋体"/>
                <w:lang w:val="en-US" w:eastAsia="zh-CN" w:bidi="ar"/>
              </w:rPr>
              <w:t>)</w:t>
            </w:r>
            <w:r>
              <w:rPr>
                <w:rStyle w:val="15"/>
                <w:lang w:val="en-US" w:eastAsia="zh-CN" w:bidi="ar"/>
              </w:rPr>
              <w:t>。</w:t>
            </w:r>
            <w:r>
              <w:rPr>
                <w:rStyle w:val="16"/>
                <w:rFonts w:eastAsia="宋体"/>
                <w:lang w:val="en-US" w:eastAsia="zh-CN" w:bidi="ar"/>
              </w:rPr>
              <w:br w:type="textWrapping"/>
            </w:r>
            <w:r>
              <w:rPr>
                <w:rStyle w:val="15"/>
                <w:lang w:val="en-US" w:eastAsia="zh-CN" w:bidi="ar"/>
              </w:rPr>
              <w:t>该项得分</w:t>
            </w:r>
            <w:r>
              <w:rPr>
                <w:rStyle w:val="16"/>
                <w:rFonts w:eastAsia="宋体"/>
                <w:lang w:val="en-US" w:eastAsia="zh-CN" w:bidi="ar"/>
              </w:rPr>
              <w:t>=</w:t>
            </w:r>
            <w:r>
              <w:rPr>
                <w:rStyle w:val="15"/>
                <w:lang w:val="en-US" w:eastAsia="zh-CN" w:bidi="ar"/>
              </w:rPr>
              <w:t>满意率</w:t>
            </w:r>
            <w:r>
              <w:rPr>
                <w:rStyle w:val="16"/>
                <w:rFonts w:eastAsia="宋体"/>
                <w:lang w:val="en-US" w:eastAsia="zh-CN" w:bidi="ar"/>
              </w:rPr>
              <w:t>×8</w:t>
            </w:r>
            <w:r>
              <w:rPr>
                <w:rStyle w:val="15"/>
                <w:lang w:val="en-US" w:eastAsia="zh-CN" w:bidi="ar"/>
              </w:rPr>
              <w:t>分。</w:t>
            </w:r>
          </w:p>
        </w:tc>
        <w:tc>
          <w:tcPr>
            <w:tcW w:w="2115" w:type="dxa"/>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586" w:type="dxa"/>
            <w:tcBorders>
              <w:tl2br w:val="nil"/>
              <w:tr2bl w:val="nil"/>
            </w:tcBorders>
            <w:noWrap w:val="0"/>
            <w:vAlign w:val="center"/>
          </w:tcPr>
          <w:p>
            <w:pPr>
              <w:jc w:val="left"/>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0" w:hRule="atLeast"/>
          <w:jc w:val="center"/>
        </w:trPr>
        <w:tc>
          <w:tcPr>
            <w:tcW w:w="2793" w:type="dxa"/>
            <w:gridSpan w:val="3"/>
            <w:tcBorders>
              <w:tl2br w:val="nil"/>
              <w:tr2bl w:val="nil"/>
            </w:tcBorders>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Style w:val="17"/>
                <w:lang w:val="en-US" w:eastAsia="zh-CN" w:bidi="ar"/>
              </w:rPr>
              <w:t>合</w:t>
            </w:r>
            <w:r>
              <w:rPr>
                <w:rStyle w:val="18"/>
                <w:rFonts w:eastAsia="宋体"/>
                <w:lang w:val="en-US" w:eastAsia="zh-CN" w:bidi="ar"/>
              </w:rPr>
              <w:t xml:space="preserve">  </w:t>
            </w:r>
            <w:r>
              <w:rPr>
                <w:rStyle w:val="17"/>
                <w:lang w:val="en-US" w:eastAsia="zh-CN" w:bidi="ar"/>
              </w:rPr>
              <w:t>计</w:t>
            </w:r>
          </w:p>
        </w:tc>
        <w:tc>
          <w:tcPr>
            <w:tcW w:w="495" w:type="dxa"/>
            <w:tcBorders>
              <w:tl2br w:val="nil"/>
              <w:tr2bl w:val="nil"/>
            </w:tcBorders>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2570" w:type="dxa"/>
            <w:tcBorders>
              <w:tl2br w:val="nil"/>
              <w:tr2bl w:val="nil"/>
            </w:tcBorders>
            <w:noWrap/>
            <w:vAlign w:val="center"/>
          </w:tcPr>
          <w:p>
            <w:pPr>
              <w:rPr>
                <w:rFonts w:hint="default" w:ascii="Times New Roman" w:hAnsi="Times New Roman" w:eastAsia="宋体" w:cs="Times New Roman"/>
                <w:i w:val="0"/>
                <w:iCs w:val="0"/>
                <w:color w:val="000000"/>
                <w:sz w:val="18"/>
                <w:szCs w:val="18"/>
                <w:u w:val="none"/>
              </w:rPr>
            </w:pPr>
          </w:p>
        </w:tc>
        <w:tc>
          <w:tcPr>
            <w:tcW w:w="5112" w:type="dxa"/>
            <w:tcBorders>
              <w:tl2br w:val="nil"/>
              <w:tr2bl w:val="nil"/>
            </w:tcBorders>
            <w:noWrap/>
            <w:vAlign w:val="center"/>
          </w:tcPr>
          <w:p>
            <w:pPr>
              <w:jc w:val="both"/>
              <w:rPr>
                <w:rFonts w:hint="default" w:ascii="Times New Roman" w:hAnsi="Times New Roman" w:eastAsia="宋体" w:cs="Times New Roman"/>
                <w:i w:val="0"/>
                <w:iCs w:val="0"/>
                <w:color w:val="000000"/>
                <w:sz w:val="18"/>
                <w:szCs w:val="18"/>
                <w:u w:val="none"/>
              </w:rPr>
            </w:pPr>
          </w:p>
        </w:tc>
        <w:tc>
          <w:tcPr>
            <w:tcW w:w="2115" w:type="dxa"/>
            <w:tcBorders>
              <w:tl2br w:val="nil"/>
              <w:tr2bl w:val="nil"/>
            </w:tcBorders>
            <w:noWrap/>
            <w:vAlign w:val="center"/>
          </w:tcPr>
          <w:p>
            <w:pPr>
              <w:jc w:val="both"/>
              <w:rPr>
                <w:rFonts w:hint="default" w:ascii="Times New Roman" w:hAnsi="Times New Roman" w:eastAsia="宋体" w:cs="Times New Roman"/>
                <w:i w:val="0"/>
                <w:iCs w:val="0"/>
                <w:color w:val="000000"/>
                <w:sz w:val="18"/>
                <w:szCs w:val="18"/>
                <w:u w:val="none"/>
              </w:rPr>
            </w:pPr>
          </w:p>
        </w:tc>
        <w:tc>
          <w:tcPr>
            <w:tcW w:w="586" w:type="dxa"/>
            <w:tcBorders>
              <w:tl2br w:val="nil"/>
              <w:tr2bl w:val="nil"/>
            </w:tcBorders>
            <w:noWrap/>
            <w:vAlign w:val="center"/>
          </w:tcPr>
          <w:p>
            <w:pPr>
              <w:jc w:val="both"/>
              <w:rPr>
                <w:rFonts w:hint="default"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iCs w:val="0"/>
                <w:color w:val="000000"/>
                <w:sz w:val="18"/>
                <w:szCs w:val="18"/>
                <w:u w:val="none"/>
                <w:lang w:val="en-US" w:eastAsia="zh-CN"/>
              </w:rPr>
              <w:t>97.5</w:t>
            </w:r>
          </w:p>
        </w:tc>
      </w:tr>
    </w:tbl>
    <w:p>
      <w:pPr>
        <w:adjustRightInd w:val="0"/>
        <w:spacing w:line="600" w:lineRule="exact"/>
        <w:ind w:right="641"/>
        <w:rPr>
          <w:rFonts w:hint="eastAsia" w:ascii="黑体" w:eastAsia="黑体"/>
          <w:sz w:val="32"/>
          <w:szCs w:val="32"/>
        </w:rPr>
        <w:sectPr>
          <w:pgSz w:w="16837" w:h="11905" w:orient="landscape"/>
          <w:pgMar w:top="1417" w:right="1417" w:bottom="1417" w:left="1417" w:header="0" w:footer="0" w:gutter="0"/>
          <w:pgNumType w:start="1"/>
          <w:cols w:space="0" w:num="1"/>
          <w:rtlGutter w:val="0"/>
          <w:docGrid w:linePitch="636" w:charSpace="0"/>
        </w:sectPr>
      </w:pPr>
    </w:p>
    <w:p>
      <w:pPr>
        <w:pStyle w:val="6"/>
        <w:ind w:left="0" w:leftChars="0" w:firstLine="0" w:firstLineChars="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附件4</w:t>
      </w:r>
    </w:p>
    <w:p>
      <w:pPr>
        <w:pStyle w:val="6"/>
        <w:ind w:left="0" w:leftChars="0" w:firstLine="0" w:firstLineChars="0"/>
        <w:jc w:val="center"/>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2023年度部门整体支出绩效评价基础数据表</w:t>
      </w:r>
    </w:p>
    <w:tbl>
      <w:tblPr>
        <w:tblStyle w:val="7"/>
        <w:tblW w:w="927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805"/>
        <w:gridCol w:w="1335"/>
        <w:gridCol w:w="1080"/>
        <w:gridCol w:w="2160"/>
        <w:gridCol w:w="18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财政供养人员情况</w:t>
            </w:r>
          </w:p>
        </w:tc>
        <w:tc>
          <w:tcPr>
            <w:tcW w:w="241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编制数</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2023 年实际在职人数</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控制率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2805" w:type="dxa"/>
            <w:vMerge w:val="continue"/>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0"/>
                <w:szCs w:val="20"/>
                <w:u w:val="none"/>
              </w:rPr>
            </w:pPr>
          </w:p>
        </w:tc>
        <w:tc>
          <w:tcPr>
            <w:tcW w:w="241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b/>
                <w:bCs/>
                <w:i w:val="0"/>
                <w:iCs w:val="0"/>
                <w:color w:val="000000"/>
                <w:sz w:val="21"/>
                <w:szCs w:val="21"/>
                <w:u w:val="none"/>
                <w:lang w:val="en-US" w:eastAsia="zh-CN"/>
              </w:rPr>
            </w:pPr>
            <w:r>
              <w:rPr>
                <w:rFonts w:hint="eastAsia" w:ascii="仿宋" w:hAnsi="仿宋" w:eastAsia="仿宋" w:cs="仿宋"/>
                <w:b/>
                <w:bCs/>
                <w:i w:val="0"/>
                <w:iCs w:val="0"/>
                <w:color w:val="000000"/>
                <w:sz w:val="21"/>
                <w:szCs w:val="21"/>
                <w:u w:val="none"/>
                <w:lang w:val="en-US" w:eastAsia="zh-CN"/>
              </w:rPr>
              <w:t>6</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ind w:firstLine="448" w:firstLineChars="0"/>
              <w:rPr>
                <w:rFonts w:hint="eastAsia" w:ascii="仿宋" w:hAnsi="仿宋" w:eastAsia="仿宋" w:cs="仿宋"/>
                <w:b/>
                <w:bCs/>
                <w:i w:val="0"/>
                <w:iCs w:val="0"/>
                <w:color w:val="000000"/>
                <w:sz w:val="21"/>
                <w:szCs w:val="21"/>
                <w:u w:val="none"/>
                <w:lang w:val="en-US" w:eastAsia="zh-CN"/>
              </w:rPr>
            </w:pPr>
            <w:r>
              <w:rPr>
                <w:rFonts w:hint="eastAsia" w:ascii="仿宋" w:hAnsi="仿宋" w:eastAsia="仿宋" w:cs="仿宋"/>
                <w:b/>
                <w:bCs/>
                <w:i w:val="0"/>
                <w:iCs w:val="0"/>
                <w:color w:val="000000"/>
                <w:sz w:val="21"/>
                <w:szCs w:val="21"/>
                <w:u w:val="none"/>
                <w:lang w:val="en-US" w:eastAsia="zh-CN"/>
              </w:rPr>
              <w:t>6</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b/>
                <w:bCs/>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经费控制情况</w:t>
            </w:r>
          </w:p>
        </w:tc>
        <w:tc>
          <w:tcPr>
            <w:tcW w:w="241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2022年决算数</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2023 年预算数</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2023年决算数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三公经费</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3300</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3000</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00" w:firstLineChars="2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1、公务用车购置和维护经费</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00" w:firstLineChars="2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其中：  公车购置</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00" w:firstLineChars="2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公车运行维护</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00" w:firstLineChars="2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 、 出国经费</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00" w:firstLineChars="2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 、 公务接待</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3300</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3000</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项目支出：</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00" w:firstLineChars="2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1、业务工作专项(一个项目一行)</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00" w:firstLineChars="2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2、运行维护专项(一个项目一行)</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00" w:firstLineChars="2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 、县级专项资金（一个专项一行）</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800" w:firstLineChars="40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公用经费</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199703.42</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99000</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98106.66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其中：办公经费</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3276.42</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ind w:firstLine="361" w:firstLineChars="0"/>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1000</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      水费 、电费</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ind w:firstLine="210" w:firstLineChars="0"/>
              <w:rPr>
                <w:rFonts w:hint="default" w:ascii="仿宋" w:hAnsi="仿宋" w:eastAsia="仿宋" w:cs="仿宋"/>
                <w:i w:val="0"/>
                <w:iCs w:val="0"/>
                <w:color w:val="000000"/>
                <w:sz w:val="21"/>
                <w:szCs w:val="21"/>
                <w:u w:val="none"/>
                <w:lang w:val="en-US" w:eastAsia="zh-CN"/>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      差旅费</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46860</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40800</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ind w:firstLine="408" w:firstLineChars="0"/>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40700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      会议费 、培训费</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137967</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2300</w:t>
            </w: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2220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政府采购金额</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0"/>
                <w:szCs w:val="20"/>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部门基本支出预算调整</w:t>
            </w:r>
          </w:p>
        </w:tc>
        <w:tc>
          <w:tcPr>
            <w:tcW w:w="13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0"/>
                <w:szCs w:val="20"/>
                <w:u w:val="none"/>
              </w:rPr>
            </w:pP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c>
          <w:tcPr>
            <w:tcW w:w="189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95" w:hRule="atLeast"/>
          <w:jc w:val="center"/>
        </w:trPr>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厉行节约保障措施</w:t>
            </w:r>
          </w:p>
        </w:tc>
        <w:tc>
          <w:tcPr>
            <w:tcW w:w="6465"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通过各项规章制度管人管事，减少资金浪费，厉行节约，确保各项资金使用发挥有力作用，提高资金使用效益。</w:t>
            </w:r>
          </w:p>
        </w:tc>
      </w:tr>
    </w:tbl>
    <w:p>
      <w:pPr>
        <w:pStyle w:val="6"/>
        <w:ind w:left="0" w:leftChars="0"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说明：“项目支出”需要填报基本支出以外的所有项目支出情况，“公用经费”填报基本支出的一般商品和服务支出。</w:t>
      </w:r>
    </w:p>
    <w:p>
      <w:pPr>
        <w:pStyle w:val="6"/>
        <w:ind w:left="0" w:leftChars="0" w:firstLine="0" w:firstLineChars="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填表人：周梦玲 填报日期：2024.2.29  联系电话：1807394081 单位负责人签字：邓三强</w:t>
      </w:r>
    </w:p>
    <w:p>
      <w:pPr>
        <w:adjustRightInd w:val="0"/>
        <w:spacing w:line="600" w:lineRule="exact"/>
        <w:ind w:right="641"/>
        <w:rPr>
          <w:rFonts w:hint="eastAsia" w:ascii="黑体" w:eastAsia="黑体"/>
          <w:sz w:val="32"/>
          <w:szCs w:val="32"/>
        </w:rPr>
      </w:pPr>
    </w:p>
    <w:p>
      <w:pPr>
        <w:adjustRightInd w:val="0"/>
        <w:spacing w:line="600" w:lineRule="exact"/>
        <w:ind w:right="641"/>
        <w:rPr>
          <w:rFonts w:hint="eastAsia" w:ascii="黑体" w:eastAsia="黑体"/>
          <w:sz w:val="32"/>
          <w:szCs w:val="32"/>
        </w:rPr>
      </w:pPr>
    </w:p>
    <w:p>
      <w:pPr>
        <w:adjustRightInd w:val="0"/>
        <w:spacing w:line="600" w:lineRule="exact"/>
        <w:ind w:right="641"/>
        <w:rPr>
          <w:rFonts w:hint="eastAsia" w:ascii="黑体" w:eastAsia="黑体"/>
          <w:sz w:val="32"/>
          <w:szCs w:val="32"/>
        </w:rPr>
      </w:pPr>
    </w:p>
    <w:p>
      <w:pPr>
        <w:spacing w:line="0" w:lineRule="atLeast"/>
        <w:jc w:val="both"/>
        <w:rPr>
          <w:rFonts w:hint="eastAsia" w:eastAsia="方正小标宋_GBK"/>
          <w:kern w:val="0"/>
          <w:sz w:val="36"/>
          <w:szCs w:val="36"/>
          <w:lang w:val="en-US" w:eastAsia="zh-CN"/>
        </w:rPr>
      </w:pPr>
      <w:r>
        <w:rPr>
          <w:rFonts w:hint="eastAsia" w:eastAsia="方正小标宋_GBK"/>
          <w:kern w:val="0"/>
          <w:sz w:val="36"/>
          <w:szCs w:val="36"/>
          <w:lang w:eastAsia="zh-CN"/>
        </w:rPr>
        <w:t>附件</w:t>
      </w:r>
      <w:r>
        <w:rPr>
          <w:rFonts w:hint="eastAsia" w:eastAsia="方正小标宋_GBK"/>
          <w:kern w:val="0"/>
          <w:sz w:val="36"/>
          <w:szCs w:val="36"/>
          <w:lang w:val="en-US" w:eastAsia="zh-CN"/>
        </w:rPr>
        <w:t>5</w:t>
      </w:r>
    </w:p>
    <w:p>
      <w:pPr>
        <w:pStyle w:val="6"/>
        <w:ind w:left="0" w:leftChars="0" w:firstLine="0" w:firstLineChars="0"/>
        <w:jc w:val="center"/>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项目支出绩效自评报告</w:t>
      </w:r>
    </w:p>
    <w:p>
      <w:pPr>
        <w:pStyle w:val="6"/>
        <w:ind w:left="0" w:leftChars="0" w:firstLine="0" w:firstLineChars="0"/>
        <w:jc w:val="center"/>
        <w:rPr>
          <w:rFonts w:hint="eastAsia" w:ascii="黑体" w:hAnsi="黑体" w:eastAsia="黑体" w:cs="黑体"/>
          <w:sz w:val="32"/>
          <w:szCs w:val="32"/>
          <w:lang w:val="en-US" w:eastAsia="zh-CN"/>
        </w:rPr>
      </w:pPr>
    </w:p>
    <w:p>
      <w:pPr>
        <w:pStyle w:val="6"/>
        <w:ind w:left="0" w:leftChars="0" w:firstLine="0" w:firstLineChars="0"/>
        <w:jc w:val="center"/>
        <w:rPr>
          <w:rFonts w:hint="eastAsia" w:ascii="楷体" w:hAnsi="楷体" w:eastAsia="楷体" w:cs="楷体"/>
          <w:sz w:val="32"/>
          <w:szCs w:val="32"/>
          <w:lang w:val="en-US" w:eastAsia="zh-CN"/>
        </w:rPr>
      </w:pPr>
    </w:p>
    <w:p>
      <w:pPr>
        <w:pStyle w:val="6"/>
        <w:ind w:left="0" w:leftChars="0" w:firstLine="0" w:firstLineChars="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 </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一、项目支出概况</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（一）项目实施单位基本情况。没有项目。</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（二）项目资金基本情况没有项目。</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包括项目资金基本性质、用途和主要内容、涉及范围等。</w:t>
      </w:r>
    </w:p>
    <w:p>
      <w:pPr>
        <w:pStyle w:val="6"/>
        <w:keepNext w:val="0"/>
        <w:keepLines w:val="0"/>
        <w:pageBreakBefore w:val="0"/>
        <w:widowControl w:val="0"/>
        <w:numPr>
          <w:ilvl w:val="0"/>
          <w:numId w:val="6"/>
        </w:numPr>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项目资金绩效目标没有项目。</w:t>
      </w:r>
    </w:p>
    <w:p>
      <w:pPr>
        <w:pStyle w:val="6"/>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包括总体目标和年度目标。</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二、项目资金使用及管理情况</w:t>
      </w:r>
      <w:r>
        <w:rPr>
          <w:rFonts w:hint="eastAsia" w:ascii="楷体" w:hAnsi="楷体" w:eastAsia="楷体" w:cs="楷体"/>
          <w:b/>
          <w:bCs w:val="0"/>
          <w:sz w:val="32"/>
          <w:szCs w:val="32"/>
          <w:lang w:val="en-US" w:eastAsia="zh-CN"/>
        </w:rPr>
        <w:t>没有项目。</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（一）项目资金及自筹资金的安排落实、总投入等情况。</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（二）项目资金实际使用情况。</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（三）项目资金管理情况分析</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主要包括管理制度、办法的制订及执行情况。</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三、项目支出组织实施情况</w:t>
      </w:r>
      <w:r>
        <w:rPr>
          <w:rFonts w:hint="eastAsia" w:ascii="楷体" w:hAnsi="楷体" w:eastAsia="楷体" w:cs="楷体"/>
          <w:b/>
          <w:bCs w:val="0"/>
          <w:sz w:val="32"/>
          <w:szCs w:val="32"/>
          <w:lang w:val="en-US" w:eastAsia="zh-CN"/>
        </w:rPr>
        <w:t>没有项目。</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（一）资金使用管理情况</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主要包括项目资金及项目管理制度建设、日常检查监督管理等情况。</w:t>
      </w:r>
    </w:p>
    <w:p>
      <w:pPr>
        <w:pStyle w:val="6"/>
        <w:keepNext w:val="0"/>
        <w:keepLines w:val="0"/>
        <w:pageBreakBefore w:val="0"/>
        <w:widowControl w:val="0"/>
        <w:numPr>
          <w:ilvl w:val="0"/>
          <w:numId w:val="7"/>
        </w:numPr>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项目组织实施情况</w:t>
      </w:r>
    </w:p>
    <w:p>
      <w:pPr>
        <w:pStyle w:val="6"/>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主要包括项目招投标、调整、竣工验收等情况。</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四、项目支出绩效情况</w:t>
      </w:r>
      <w:r>
        <w:rPr>
          <w:rFonts w:hint="eastAsia" w:ascii="楷体" w:hAnsi="楷体" w:eastAsia="楷体" w:cs="楷体"/>
          <w:b/>
          <w:bCs w:val="0"/>
          <w:sz w:val="32"/>
          <w:szCs w:val="32"/>
          <w:lang w:val="en-US" w:eastAsia="zh-CN"/>
        </w:rPr>
        <w:t>没有项目。</w:t>
      </w:r>
      <w:bookmarkStart w:id="0" w:name="_GoBack"/>
      <w:bookmarkEnd w:id="0"/>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（一）项目支出决策情况</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（二）项目支出过程情况</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（三）项目支出产出情况</w:t>
      </w:r>
    </w:p>
    <w:p>
      <w:pPr>
        <w:pStyle w:val="6"/>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ascii="楷体" w:hAnsi="楷体" w:eastAsia="楷体" w:cs="楷体"/>
          <w:b/>
          <w:bCs w:val="0"/>
          <w:sz w:val="32"/>
          <w:szCs w:val="32"/>
          <w:lang w:val="en-US" w:eastAsia="zh-CN"/>
        </w:rPr>
      </w:pPr>
      <w:r>
        <w:rPr>
          <w:rFonts w:hint="eastAsia" w:ascii="楷体" w:hAnsi="楷体" w:eastAsia="楷体" w:cs="楷体"/>
          <w:b/>
          <w:bCs w:val="0"/>
          <w:sz w:val="32"/>
          <w:szCs w:val="32"/>
          <w:lang w:val="en-US" w:eastAsia="zh-CN"/>
        </w:rPr>
        <w:t>（四）项目支出效益情况</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五、主要经验做法、存在的问题及原因分析</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六、有关建议</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七、其他需要说明的问题</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报告应包括以下附件：</w:t>
      </w:r>
    </w:p>
    <w:p>
      <w:pPr>
        <w:pStyle w:val="6"/>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项目支出绩效自评表（一个项目支出一张表）</w:t>
      </w:r>
    </w:p>
    <w:p>
      <w:pPr>
        <w:spacing w:line="0" w:lineRule="atLeast"/>
        <w:jc w:val="both"/>
        <w:rPr>
          <w:rFonts w:hint="default" w:eastAsia="方正小标宋_GBK"/>
          <w:kern w:val="0"/>
          <w:sz w:val="36"/>
          <w:szCs w:val="36"/>
          <w:lang w:val="en-US" w:eastAsia="zh-CN"/>
        </w:rPr>
      </w:pPr>
      <w:r>
        <w:rPr>
          <w:rFonts w:hint="eastAsia" w:eastAsia="方正小标宋_GBK"/>
          <w:kern w:val="0"/>
          <w:sz w:val="36"/>
          <w:szCs w:val="36"/>
          <w:lang w:val="en-US" w:eastAsia="zh-CN"/>
        </w:rPr>
        <w:t>附件6</w:t>
      </w:r>
    </w:p>
    <w:p>
      <w:pPr>
        <w:spacing w:line="0" w:lineRule="atLeast"/>
        <w:jc w:val="center"/>
        <w:rPr>
          <w:rFonts w:eastAsia="方正小标宋_GBK"/>
          <w:kern w:val="0"/>
          <w:sz w:val="36"/>
          <w:szCs w:val="36"/>
        </w:rPr>
      </w:pPr>
      <w:r>
        <w:rPr>
          <w:rFonts w:hint="eastAsia" w:eastAsia="方正小标宋_GBK"/>
          <w:kern w:val="0"/>
          <w:sz w:val="36"/>
          <w:szCs w:val="36"/>
          <w:lang w:eastAsia="zh-CN"/>
        </w:rPr>
        <w:t>项目</w:t>
      </w:r>
      <w:r>
        <w:rPr>
          <w:rFonts w:hint="eastAsia" w:eastAsia="方正小标宋_GBK"/>
          <w:kern w:val="0"/>
          <w:sz w:val="36"/>
          <w:szCs w:val="36"/>
        </w:rPr>
        <w:t>支出绩效自评表</w:t>
      </w:r>
    </w:p>
    <w:p>
      <w:pPr>
        <w:widowControl/>
        <w:jc w:val="center"/>
        <w:rPr>
          <w:rFonts w:eastAsia="黑体"/>
          <w:sz w:val="32"/>
          <w:szCs w:val="32"/>
        </w:rPr>
      </w:pPr>
      <w:r>
        <w:rPr>
          <w:rFonts w:hint="eastAsia"/>
          <w:kern w:val="0"/>
          <w:sz w:val="22"/>
        </w:rPr>
        <w:t>（</w:t>
      </w:r>
      <w:r>
        <w:rPr>
          <w:rFonts w:hint="eastAsia"/>
          <w:kern w:val="0"/>
          <w:sz w:val="22"/>
          <w:lang w:val="en-US" w:eastAsia="zh-CN"/>
        </w:rPr>
        <w:t>2023</w:t>
      </w:r>
      <w:r>
        <w:rPr>
          <w:rFonts w:hint="eastAsia"/>
          <w:kern w:val="0"/>
          <w:sz w:val="22"/>
        </w:rPr>
        <w:t>年度）</w:t>
      </w:r>
    </w:p>
    <w:tbl>
      <w:tblPr>
        <w:tblStyle w:val="7"/>
        <w:tblW w:w="9322" w:type="dxa"/>
        <w:jc w:val="center"/>
        <w:tblLayout w:type="fixed"/>
        <w:tblCellMar>
          <w:top w:w="0" w:type="dxa"/>
          <w:left w:w="108" w:type="dxa"/>
          <w:bottom w:w="0" w:type="dxa"/>
          <w:right w:w="108" w:type="dxa"/>
        </w:tblCellMar>
      </w:tblPr>
      <w:tblGrid>
        <w:gridCol w:w="1057"/>
        <w:gridCol w:w="780"/>
        <w:gridCol w:w="1169"/>
        <w:gridCol w:w="1649"/>
        <w:gridCol w:w="1266"/>
        <w:gridCol w:w="1047"/>
        <w:gridCol w:w="536"/>
        <w:gridCol w:w="400"/>
        <w:gridCol w:w="259"/>
        <w:gridCol w:w="1159"/>
      </w:tblGrid>
      <w:tr>
        <w:tblPrEx>
          <w:tblCellMar>
            <w:top w:w="0" w:type="dxa"/>
            <w:left w:w="108" w:type="dxa"/>
            <w:bottom w:w="0" w:type="dxa"/>
            <w:right w:w="108" w:type="dxa"/>
          </w:tblCellMar>
        </w:tblPrEx>
        <w:trPr>
          <w:trHeight w:val="393" w:hRule="atLeast"/>
          <w:jc w:val="center"/>
        </w:trPr>
        <w:tc>
          <w:tcPr>
            <w:tcW w:w="1057"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项目支</w:t>
            </w:r>
          </w:p>
          <w:p>
            <w:pPr>
              <w:widowControl/>
              <w:spacing w:line="0" w:lineRule="atLeast"/>
              <w:jc w:val="center"/>
              <w:rPr>
                <w:rFonts w:eastAsia="仿宋_GB2312"/>
                <w:kern w:val="0"/>
                <w:szCs w:val="21"/>
              </w:rPr>
            </w:pPr>
            <w:r>
              <w:rPr>
                <w:rFonts w:hint="eastAsia" w:eastAsia="仿宋_GB2312"/>
                <w:kern w:val="0"/>
                <w:szCs w:val="21"/>
              </w:rPr>
              <w:t>出名称</w:t>
            </w:r>
          </w:p>
        </w:tc>
        <w:tc>
          <w:tcPr>
            <w:tcW w:w="8265" w:type="dxa"/>
            <w:gridSpan w:val="9"/>
            <w:tcBorders>
              <w:top w:val="single" w:color="auto" w:sz="4" w:space="0"/>
              <w:left w:val="nil"/>
              <w:bottom w:val="single" w:color="auto" w:sz="4" w:space="0"/>
              <w:right w:val="single" w:color="000000" w:sz="4" w:space="0"/>
            </w:tcBorders>
            <w:vAlign w:val="center"/>
          </w:tcPr>
          <w:p>
            <w:pPr>
              <w:widowControl/>
              <w:spacing w:line="0" w:lineRule="atLeast"/>
              <w:jc w:val="center"/>
              <w:rPr>
                <w:rFonts w:hint="eastAsia" w:eastAsia="仿宋_GB2312"/>
                <w:kern w:val="0"/>
                <w:szCs w:val="21"/>
                <w:lang w:val="en-US" w:eastAsia="zh-CN"/>
              </w:rPr>
            </w:pPr>
            <w:r>
              <w:rPr>
                <w:rFonts w:hint="eastAsia" w:eastAsia="仿宋_GB2312"/>
                <w:kern w:val="0"/>
                <w:szCs w:val="21"/>
                <w:lang w:val="en-US" w:eastAsia="zh-CN"/>
              </w:rPr>
              <w:t>无项目</w:t>
            </w:r>
          </w:p>
        </w:tc>
      </w:tr>
      <w:tr>
        <w:tblPrEx>
          <w:tblCellMar>
            <w:top w:w="0" w:type="dxa"/>
            <w:left w:w="108" w:type="dxa"/>
            <w:bottom w:w="0" w:type="dxa"/>
            <w:right w:w="108" w:type="dxa"/>
          </w:tblCellMar>
        </w:tblPrEx>
        <w:trPr>
          <w:trHeight w:val="340" w:hRule="atLeast"/>
          <w:jc w:val="center"/>
        </w:trPr>
        <w:tc>
          <w:tcPr>
            <w:tcW w:w="1057" w:type="dxa"/>
            <w:tcBorders>
              <w:top w:val="nil"/>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主管部门</w:t>
            </w:r>
          </w:p>
        </w:tc>
        <w:tc>
          <w:tcPr>
            <w:tcW w:w="4864" w:type="dxa"/>
            <w:gridSpan w:val="4"/>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000000" w:sz="4" w:space="0"/>
            </w:tcBorders>
            <w:vAlign w:val="center"/>
          </w:tcPr>
          <w:p>
            <w:pPr>
              <w:widowControl/>
              <w:spacing w:line="0" w:lineRule="atLeast"/>
              <w:jc w:val="center"/>
              <w:rPr>
                <w:rFonts w:eastAsia="仿宋_GB2312"/>
                <w:kern w:val="0"/>
                <w:szCs w:val="21"/>
              </w:rPr>
            </w:pPr>
            <w:r>
              <w:rPr>
                <w:rFonts w:hint="eastAsia" w:eastAsia="仿宋_GB2312"/>
                <w:kern w:val="0"/>
                <w:szCs w:val="21"/>
              </w:rPr>
              <w:t>实施单位</w:t>
            </w:r>
          </w:p>
        </w:tc>
        <w:tc>
          <w:tcPr>
            <w:tcW w:w="2354" w:type="dxa"/>
            <w:gridSpan w:val="4"/>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73" w:hRule="atLeast"/>
          <w:jc w:val="center"/>
        </w:trPr>
        <w:tc>
          <w:tcPr>
            <w:tcW w:w="1057" w:type="dxa"/>
            <w:vMerge w:val="restart"/>
            <w:tcBorders>
              <w:top w:val="nil"/>
              <w:left w:val="single" w:color="auto" w:sz="4" w:space="0"/>
              <w:bottom w:val="single" w:color="000000"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项目资金</w:t>
            </w:r>
            <w:r>
              <w:rPr>
                <w:rFonts w:eastAsia="仿宋_GB2312"/>
                <w:kern w:val="0"/>
                <w:szCs w:val="21"/>
              </w:rPr>
              <w:br w:type="textWrapping"/>
            </w:r>
            <w:r>
              <w:rPr>
                <w:rFonts w:hint="eastAsia" w:eastAsia="仿宋_GB2312"/>
                <w:kern w:val="0"/>
                <w:szCs w:val="21"/>
              </w:rPr>
              <w:t>（万元）</w:t>
            </w:r>
          </w:p>
        </w:tc>
        <w:tc>
          <w:tcPr>
            <w:tcW w:w="1949"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64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年初预算数</w:t>
            </w:r>
          </w:p>
        </w:tc>
        <w:tc>
          <w:tcPr>
            <w:tcW w:w="126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全年预算数</w:t>
            </w:r>
          </w:p>
        </w:tc>
        <w:tc>
          <w:tcPr>
            <w:tcW w:w="1047" w:type="dxa"/>
            <w:tcBorders>
              <w:top w:val="nil"/>
              <w:left w:val="nil"/>
              <w:bottom w:val="single" w:color="auto" w:sz="4" w:space="0"/>
              <w:right w:val="single" w:color="auto" w:sz="4" w:space="0"/>
            </w:tcBorders>
            <w:vAlign w:val="center"/>
          </w:tcPr>
          <w:p>
            <w:pPr>
              <w:spacing w:line="0" w:lineRule="atLeast"/>
              <w:ind w:left="-28" w:leftChars="-62" w:right="-101" w:rightChars="-48" w:hanging="102" w:hangingChars="49"/>
              <w:jc w:val="center"/>
              <w:rPr>
                <w:rFonts w:eastAsia="仿宋_GB2312"/>
                <w:szCs w:val="21"/>
              </w:rPr>
            </w:pPr>
            <w:r>
              <w:rPr>
                <w:rFonts w:hint="eastAsia" w:eastAsia="仿宋_GB2312"/>
                <w:szCs w:val="21"/>
              </w:rPr>
              <w:t>全年执行数</w:t>
            </w:r>
          </w:p>
        </w:tc>
        <w:tc>
          <w:tcPr>
            <w:tcW w:w="536" w:type="dxa"/>
            <w:tcBorders>
              <w:top w:val="nil"/>
              <w:left w:val="nil"/>
              <w:bottom w:val="single" w:color="auto" w:sz="4" w:space="0"/>
              <w:right w:val="single" w:color="auto" w:sz="4" w:space="0"/>
            </w:tcBorders>
            <w:vAlign w:val="center"/>
          </w:tcPr>
          <w:p>
            <w:pPr>
              <w:spacing w:line="0" w:lineRule="atLeast"/>
              <w:ind w:leftChars="-54" w:hanging="113" w:hangingChars="54"/>
              <w:jc w:val="center"/>
              <w:rPr>
                <w:rFonts w:eastAsia="仿宋_GB2312"/>
                <w:szCs w:val="21"/>
              </w:rPr>
            </w:pPr>
            <w:r>
              <w:rPr>
                <w:rFonts w:hint="eastAsia" w:eastAsia="仿宋_GB2312"/>
                <w:szCs w:val="21"/>
              </w:rPr>
              <w:t>分值</w:t>
            </w:r>
          </w:p>
        </w:tc>
        <w:tc>
          <w:tcPr>
            <w:tcW w:w="659" w:type="dxa"/>
            <w:gridSpan w:val="2"/>
            <w:tcBorders>
              <w:top w:val="nil"/>
              <w:left w:val="nil"/>
              <w:bottom w:val="single" w:color="auto" w:sz="4" w:space="0"/>
              <w:right w:val="single" w:color="auto" w:sz="4" w:space="0"/>
            </w:tcBorders>
            <w:vAlign w:val="center"/>
          </w:tcPr>
          <w:p>
            <w:pPr>
              <w:spacing w:line="0" w:lineRule="atLeast"/>
              <w:ind w:left="-84" w:leftChars="-52" w:right="-128" w:rightChars="-61" w:hanging="25" w:hangingChars="12"/>
              <w:jc w:val="center"/>
              <w:rPr>
                <w:rFonts w:eastAsia="仿宋_GB2312"/>
                <w:szCs w:val="21"/>
              </w:rPr>
            </w:pPr>
            <w:r>
              <w:rPr>
                <w:rFonts w:hint="eastAsia" w:eastAsia="仿宋_GB2312"/>
                <w:szCs w:val="21"/>
              </w:rPr>
              <w:t>执行率</w:t>
            </w:r>
          </w:p>
        </w:tc>
        <w:tc>
          <w:tcPr>
            <w:tcW w:w="1159" w:type="dxa"/>
            <w:tcBorders>
              <w:top w:val="nil"/>
              <w:left w:val="nil"/>
              <w:bottom w:val="single" w:color="auto" w:sz="4" w:space="0"/>
              <w:right w:val="single" w:color="auto" w:sz="4" w:space="0"/>
            </w:tcBorders>
            <w:vAlign w:val="center"/>
          </w:tcPr>
          <w:p>
            <w:pPr>
              <w:spacing w:line="0" w:lineRule="atLeast"/>
              <w:jc w:val="center"/>
              <w:rPr>
                <w:rFonts w:eastAsia="仿宋_GB2312"/>
                <w:szCs w:val="21"/>
              </w:rPr>
            </w:pPr>
            <w:r>
              <w:rPr>
                <w:rFonts w:hint="eastAsia" w:eastAsia="仿宋_GB2312"/>
                <w:szCs w:val="21"/>
              </w:rPr>
              <w:t>得分</w:t>
            </w:r>
          </w:p>
        </w:tc>
      </w:tr>
      <w:tr>
        <w:tblPrEx>
          <w:tblCellMar>
            <w:top w:w="0" w:type="dxa"/>
            <w:left w:w="108" w:type="dxa"/>
            <w:bottom w:w="0" w:type="dxa"/>
            <w:right w:w="108" w:type="dxa"/>
          </w:tblCellMar>
        </w:tblPrEx>
        <w:trPr>
          <w:trHeight w:val="340" w:hRule="atLeast"/>
          <w:jc w:val="center"/>
        </w:trPr>
        <w:tc>
          <w:tcPr>
            <w:tcW w:w="1057" w:type="dxa"/>
            <w:vMerge w:val="continue"/>
            <w:tcBorders>
              <w:top w:val="nil"/>
              <w:left w:val="single" w:color="auto" w:sz="4" w:space="0"/>
              <w:bottom w:val="single" w:color="000000" w:sz="4" w:space="0"/>
              <w:right w:val="single" w:color="auto" w:sz="4" w:space="0"/>
            </w:tcBorders>
            <w:vAlign w:val="center"/>
          </w:tcPr>
          <w:p>
            <w:pPr>
              <w:widowControl/>
              <w:spacing w:line="0" w:lineRule="atLeast"/>
              <w:jc w:val="left"/>
              <w:rPr>
                <w:rFonts w:eastAsia="仿宋_GB2312"/>
                <w:kern w:val="0"/>
                <w:szCs w:val="21"/>
              </w:rPr>
            </w:pPr>
          </w:p>
        </w:tc>
        <w:tc>
          <w:tcPr>
            <w:tcW w:w="1949"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年度资金总额　</w:t>
            </w:r>
          </w:p>
        </w:tc>
        <w:tc>
          <w:tcPr>
            <w:tcW w:w="164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26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r>
              <w:rPr>
                <w:rFonts w:eastAsia="仿宋_GB2312"/>
                <w:kern w:val="0"/>
                <w:szCs w:val="21"/>
              </w:rPr>
              <w:t>10</w:t>
            </w:r>
          </w:p>
        </w:tc>
        <w:tc>
          <w:tcPr>
            <w:tcW w:w="659" w:type="dxa"/>
            <w:gridSpan w:val="2"/>
            <w:tcBorders>
              <w:top w:val="nil"/>
              <w:left w:val="nil"/>
              <w:bottom w:val="single" w:color="auto" w:sz="4" w:space="0"/>
              <w:right w:val="single" w:color="auto" w:sz="4" w:space="0"/>
            </w:tcBorders>
            <w:vAlign w:val="center"/>
          </w:tcPr>
          <w:p>
            <w:pPr>
              <w:widowControl/>
              <w:spacing w:line="0" w:lineRule="atLeast"/>
              <w:jc w:val="center"/>
              <w:rPr>
                <w:rFonts w:eastAsia="仿宋_GB2312"/>
                <w:kern w:val="0"/>
                <w:szCs w:val="21"/>
              </w:rPr>
            </w:pPr>
          </w:p>
        </w:tc>
        <w:tc>
          <w:tcPr>
            <w:tcW w:w="115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nil"/>
              <w:left w:val="single" w:color="auto" w:sz="4" w:space="0"/>
              <w:bottom w:val="single" w:color="000000" w:sz="4" w:space="0"/>
              <w:right w:val="single" w:color="auto" w:sz="4" w:space="0"/>
            </w:tcBorders>
            <w:vAlign w:val="center"/>
          </w:tcPr>
          <w:p>
            <w:pPr>
              <w:widowControl/>
              <w:spacing w:line="0" w:lineRule="atLeast"/>
              <w:jc w:val="left"/>
              <w:rPr>
                <w:rFonts w:eastAsia="仿宋_GB2312"/>
                <w:kern w:val="0"/>
                <w:szCs w:val="21"/>
              </w:rPr>
            </w:pPr>
          </w:p>
        </w:tc>
        <w:tc>
          <w:tcPr>
            <w:tcW w:w="1949"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其中：当年财政拨款　</w:t>
            </w:r>
          </w:p>
        </w:tc>
        <w:tc>
          <w:tcPr>
            <w:tcW w:w="164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26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659" w:type="dxa"/>
            <w:gridSpan w:val="2"/>
            <w:tcBorders>
              <w:top w:val="nil"/>
              <w:left w:val="nil"/>
              <w:bottom w:val="single" w:color="auto" w:sz="4" w:space="0"/>
              <w:right w:val="single" w:color="auto" w:sz="4" w:space="0"/>
            </w:tcBorders>
            <w:vAlign w:val="center"/>
          </w:tcPr>
          <w:p>
            <w:pPr>
              <w:widowControl/>
              <w:spacing w:line="0" w:lineRule="atLeast"/>
              <w:jc w:val="center"/>
              <w:rPr>
                <w:rFonts w:eastAsia="仿宋_GB2312"/>
                <w:kern w:val="0"/>
                <w:szCs w:val="21"/>
              </w:rPr>
            </w:pPr>
          </w:p>
        </w:tc>
        <w:tc>
          <w:tcPr>
            <w:tcW w:w="115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nil"/>
              <w:left w:val="single" w:color="auto" w:sz="4" w:space="0"/>
              <w:bottom w:val="single" w:color="000000" w:sz="4" w:space="0"/>
              <w:right w:val="single" w:color="auto" w:sz="4" w:space="0"/>
            </w:tcBorders>
            <w:vAlign w:val="center"/>
          </w:tcPr>
          <w:p>
            <w:pPr>
              <w:widowControl/>
              <w:spacing w:line="0" w:lineRule="atLeast"/>
              <w:jc w:val="left"/>
              <w:rPr>
                <w:rFonts w:eastAsia="仿宋_GB2312"/>
                <w:kern w:val="0"/>
                <w:szCs w:val="21"/>
              </w:rPr>
            </w:pPr>
          </w:p>
        </w:tc>
        <w:tc>
          <w:tcPr>
            <w:tcW w:w="1949"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上年结转资金　</w:t>
            </w:r>
          </w:p>
        </w:tc>
        <w:tc>
          <w:tcPr>
            <w:tcW w:w="164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26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659" w:type="dxa"/>
            <w:gridSpan w:val="2"/>
            <w:tcBorders>
              <w:top w:val="nil"/>
              <w:left w:val="nil"/>
              <w:bottom w:val="single" w:color="auto" w:sz="4" w:space="0"/>
              <w:right w:val="single" w:color="auto" w:sz="4" w:space="0"/>
            </w:tcBorders>
            <w:vAlign w:val="center"/>
          </w:tcPr>
          <w:p>
            <w:pPr>
              <w:widowControl/>
              <w:spacing w:line="0" w:lineRule="atLeast"/>
              <w:jc w:val="center"/>
              <w:rPr>
                <w:rFonts w:eastAsia="仿宋_GB2312"/>
                <w:kern w:val="0"/>
                <w:szCs w:val="21"/>
              </w:rPr>
            </w:pPr>
          </w:p>
        </w:tc>
        <w:tc>
          <w:tcPr>
            <w:tcW w:w="115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nil"/>
              <w:left w:val="single" w:color="auto" w:sz="4" w:space="0"/>
              <w:bottom w:val="single" w:color="000000" w:sz="4" w:space="0"/>
              <w:right w:val="single" w:color="auto" w:sz="4" w:space="0"/>
            </w:tcBorders>
            <w:vAlign w:val="center"/>
          </w:tcPr>
          <w:p>
            <w:pPr>
              <w:widowControl/>
              <w:spacing w:line="0" w:lineRule="atLeast"/>
              <w:jc w:val="left"/>
              <w:rPr>
                <w:rFonts w:eastAsia="仿宋_GB2312"/>
                <w:kern w:val="0"/>
                <w:szCs w:val="21"/>
              </w:rPr>
            </w:pPr>
          </w:p>
        </w:tc>
        <w:tc>
          <w:tcPr>
            <w:tcW w:w="1949" w:type="dxa"/>
            <w:gridSpan w:val="2"/>
            <w:tcBorders>
              <w:top w:val="nil"/>
              <w:left w:val="nil"/>
              <w:bottom w:val="single" w:color="auto" w:sz="4" w:space="0"/>
              <w:right w:val="single" w:color="auto" w:sz="4" w:space="0"/>
            </w:tcBorders>
            <w:vAlign w:val="center"/>
          </w:tcPr>
          <w:p>
            <w:pPr>
              <w:widowControl/>
              <w:spacing w:line="0" w:lineRule="atLeast"/>
              <w:ind w:firstLine="630" w:firstLineChars="300"/>
              <w:jc w:val="left"/>
              <w:rPr>
                <w:rFonts w:eastAsia="仿宋_GB2312"/>
                <w:kern w:val="0"/>
                <w:szCs w:val="21"/>
              </w:rPr>
            </w:pPr>
            <w:r>
              <w:rPr>
                <w:rFonts w:hint="eastAsia" w:eastAsia="仿宋_GB2312"/>
                <w:kern w:val="0"/>
                <w:szCs w:val="21"/>
              </w:rPr>
              <w:t>其他资金</w:t>
            </w:r>
          </w:p>
        </w:tc>
        <w:tc>
          <w:tcPr>
            <w:tcW w:w="164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26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659"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15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restart"/>
            <w:tcBorders>
              <w:top w:val="nil"/>
              <w:left w:val="single" w:color="auto" w:sz="4" w:space="0"/>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年度总</w:t>
            </w:r>
          </w:p>
          <w:p>
            <w:pPr>
              <w:widowControl/>
              <w:spacing w:line="0" w:lineRule="atLeast"/>
              <w:jc w:val="center"/>
              <w:rPr>
                <w:rFonts w:eastAsia="仿宋_GB2312"/>
                <w:kern w:val="0"/>
                <w:szCs w:val="21"/>
              </w:rPr>
            </w:pPr>
            <w:r>
              <w:rPr>
                <w:rFonts w:hint="eastAsia" w:eastAsia="仿宋_GB2312"/>
                <w:kern w:val="0"/>
                <w:szCs w:val="21"/>
              </w:rPr>
              <w:t>体目标</w:t>
            </w:r>
          </w:p>
        </w:tc>
        <w:tc>
          <w:tcPr>
            <w:tcW w:w="4864" w:type="dxa"/>
            <w:gridSpan w:val="4"/>
            <w:tcBorders>
              <w:top w:val="single" w:color="auto" w:sz="4" w:space="0"/>
              <w:left w:val="nil"/>
              <w:bottom w:val="single" w:color="auto" w:sz="4" w:space="0"/>
              <w:right w:val="single" w:color="000000" w:sz="4" w:space="0"/>
            </w:tcBorders>
            <w:vAlign w:val="center"/>
          </w:tcPr>
          <w:p>
            <w:pPr>
              <w:widowControl/>
              <w:spacing w:line="0" w:lineRule="atLeast"/>
              <w:jc w:val="center"/>
              <w:rPr>
                <w:rFonts w:eastAsia="仿宋_GB2312"/>
                <w:kern w:val="0"/>
                <w:szCs w:val="21"/>
              </w:rPr>
            </w:pPr>
            <w:r>
              <w:rPr>
                <w:rFonts w:hint="eastAsia" w:eastAsia="仿宋_GB2312"/>
                <w:kern w:val="0"/>
                <w:szCs w:val="21"/>
              </w:rPr>
              <w:t>预期目标</w:t>
            </w:r>
          </w:p>
        </w:tc>
        <w:tc>
          <w:tcPr>
            <w:tcW w:w="3401" w:type="dxa"/>
            <w:gridSpan w:val="5"/>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实际完成情况　</w:t>
            </w:r>
          </w:p>
        </w:tc>
      </w:tr>
      <w:tr>
        <w:tblPrEx>
          <w:tblCellMar>
            <w:top w:w="0" w:type="dxa"/>
            <w:left w:w="108" w:type="dxa"/>
            <w:bottom w:w="0" w:type="dxa"/>
            <w:right w:w="108" w:type="dxa"/>
          </w:tblCellMar>
        </w:tblPrEx>
        <w:trPr>
          <w:trHeight w:val="715" w:hRule="atLeast"/>
          <w:jc w:val="center"/>
        </w:trPr>
        <w:tc>
          <w:tcPr>
            <w:tcW w:w="1057" w:type="dxa"/>
            <w:vMerge w:val="continue"/>
            <w:tcBorders>
              <w:top w:val="nil"/>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4864" w:type="dxa"/>
            <w:gridSpan w:val="4"/>
            <w:tcBorders>
              <w:top w:val="single" w:color="auto" w:sz="4" w:space="0"/>
              <w:left w:val="nil"/>
              <w:bottom w:val="single" w:color="auto" w:sz="4" w:space="0"/>
              <w:right w:val="single" w:color="000000" w:sz="4" w:space="0"/>
            </w:tcBorders>
            <w:vAlign w:val="center"/>
          </w:tcPr>
          <w:p>
            <w:pPr>
              <w:widowControl/>
              <w:spacing w:line="0" w:lineRule="atLeast"/>
              <w:jc w:val="center"/>
              <w:rPr>
                <w:rFonts w:eastAsia="仿宋_GB2312"/>
                <w:kern w:val="0"/>
                <w:szCs w:val="21"/>
              </w:rPr>
            </w:pPr>
            <w:r>
              <w:rPr>
                <w:rFonts w:hint="eastAsia" w:eastAsia="仿宋_GB2312"/>
                <w:kern w:val="0"/>
                <w:szCs w:val="21"/>
              </w:rPr>
              <w:t>　　</w:t>
            </w:r>
          </w:p>
        </w:tc>
        <w:tc>
          <w:tcPr>
            <w:tcW w:w="3401" w:type="dxa"/>
            <w:gridSpan w:val="5"/>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77" w:hRule="atLeast"/>
          <w:jc w:val="center"/>
        </w:trPr>
        <w:tc>
          <w:tcPr>
            <w:tcW w:w="105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绩</w:t>
            </w:r>
          </w:p>
          <w:p>
            <w:pPr>
              <w:widowControl/>
              <w:spacing w:line="0" w:lineRule="atLeast"/>
              <w:jc w:val="center"/>
              <w:rPr>
                <w:rFonts w:eastAsia="仿宋_GB2312"/>
                <w:kern w:val="0"/>
                <w:szCs w:val="21"/>
              </w:rPr>
            </w:pPr>
            <w:r>
              <w:rPr>
                <w:rFonts w:hint="eastAsia" w:eastAsia="仿宋_GB2312"/>
                <w:kern w:val="0"/>
                <w:szCs w:val="21"/>
              </w:rPr>
              <w:t>效</w:t>
            </w:r>
          </w:p>
          <w:p>
            <w:pPr>
              <w:widowControl/>
              <w:spacing w:line="0" w:lineRule="atLeast"/>
              <w:jc w:val="center"/>
              <w:rPr>
                <w:rFonts w:eastAsia="仿宋_GB2312"/>
                <w:kern w:val="0"/>
                <w:szCs w:val="21"/>
              </w:rPr>
            </w:pPr>
            <w:r>
              <w:rPr>
                <w:rFonts w:hint="eastAsia" w:eastAsia="仿宋_GB2312"/>
                <w:kern w:val="0"/>
                <w:szCs w:val="21"/>
              </w:rPr>
              <w:t>指</w:t>
            </w:r>
          </w:p>
          <w:p>
            <w:pPr>
              <w:widowControl/>
              <w:spacing w:line="0" w:lineRule="atLeast"/>
              <w:jc w:val="center"/>
              <w:rPr>
                <w:rFonts w:eastAsia="仿宋_GB2312"/>
                <w:kern w:val="0"/>
                <w:szCs w:val="21"/>
              </w:rPr>
            </w:pPr>
            <w:r>
              <w:rPr>
                <w:rFonts w:hint="eastAsia" w:eastAsia="仿宋_GB2312"/>
                <w:kern w:val="0"/>
                <w:szCs w:val="21"/>
              </w:rPr>
              <w:t>标</w:t>
            </w:r>
          </w:p>
        </w:tc>
        <w:tc>
          <w:tcPr>
            <w:tcW w:w="780" w:type="dxa"/>
            <w:tcBorders>
              <w:top w:val="single" w:color="auto" w:sz="4" w:space="0"/>
              <w:left w:val="nil"/>
              <w:bottom w:val="single" w:color="auto" w:sz="4" w:space="0"/>
              <w:right w:val="single" w:color="auto" w:sz="4" w:space="0"/>
            </w:tcBorders>
            <w:vAlign w:val="center"/>
          </w:tcPr>
          <w:p>
            <w:pPr>
              <w:widowControl/>
              <w:spacing w:line="0" w:lineRule="atLeast"/>
              <w:ind w:left="-11" w:leftChars="-46" w:right="-111" w:rightChars="-53" w:hanging="86" w:hangingChars="46"/>
              <w:jc w:val="center"/>
              <w:rPr>
                <w:rFonts w:eastAsia="仿宋_GB2312"/>
                <w:w w:val="90"/>
                <w:kern w:val="0"/>
                <w:szCs w:val="21"/>
              </w:rPr>
            </w:pPr>
            <w:r>
              <w:rPr>
                <w:rFonts w:hint="eastAsia" w:eastAsia="仿宋_GB2312"/>
                <w:w w:val="90"/>
                <w:kern w:val="0"/>
                <w:szCs w:val="21"/>
              </w:rPr>
              <w:t>一级指标</w:t>
            </w:r>
          </w:p>
        </w:tc>
        <w:tc>
          <w:tcPr>
            <w:tcW w:w="1169" w:type="dxa"/>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w w:val="90"/>
                <w:kern w:val="0"/>
                <w:szCs w:val="21"/>
              </w:rPr>
            </w:pPr>
            <w:r>
              <w:rPr>
                <w:rFonts w:hint="eastAsia" w:eastAsia="仿宋_GB2312"/>
                <w:w w:val="90"/>
                <w:kern w:val="0"/>
                <w:szCs w:val="21"/>
              </w:rPr>
              <w:t>二级指标</w:t>
            </w: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w w:val="90"/>
                <w:kern w:val="0"/>
                <w:szCs w:val="21"/>
              </w:rPr>
            </w:pPr>
            <w:r>
              <w:rPr>
                <w:rFonts w:hint="eastAsia" w:eastAsia="仿宋_GB2312"/>
                <w:w w:val="90"/>
                <w:kern w:val="0"/>
                <w:szCs w:val="21"/>
              </w:rPr>
              <w:t>三级指标</w:t>
            </w: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w w:val="90"/>
                <w:kern w:val="0"/>
                <w:szCs w:val="21"/>
              </w:rPr>
            </w:pPr>
            <w:r>
              <w:rPr>
                <w:rFonts w:hint="eastAsia" w:eastAsia="仿宋_GB2312"/>
                <w:w w:val="90"/>
                <w:kern w:val="0"/>
                <w:szCs w:val="21"/>
              </w:rPr>
              <w:t>年度指标值</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ind w:left="-9" w:leftChars="-41" w:right="-92" w:rightChars="-44" w:hanging="77" w:hangingChars="41"/>
              <w:jc w:val="center"/>
              <w:rPr>
                <w:rFonts w:eastAsia="仿宋_GB2312"/>
                <w:w w:val="90"/>
                <w:kern w:val="0"/>
                <w:szCs w:val="21"/>
              </w:rPr>
            </w:pPr>
            <w:r>
              <w:rPr>
                <w:rFonts w:hint="eastAsia" w:eastAsia="仿宋_GB2312"/>
                <w:w w:val="90"/>
                <w:kern w:val="0"/>
                <w:szCs w:val="21"/>
              </w:rPr>
              <w:t>实际完成值</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ind w:left="-11" w:leftChars="-51" w:right="-118" w:rightChars="-56" w:hanging="96" w:hangingChars="51"/>
              <w:jc w:val="center"/>
              <w:rPr>
                <w:rFonts w:eastAsia="仿宋_GB2312"/>
                <w:w w:val="90"/>
                <w:kern w:val="0"/>
                <w:szCs w:val="21"/>
              </w:rPr>
            </w:pPr>
            <w:r>
              <w:rPr>
                <w:rFonts w:hint="eastAsia" w:eastAsia="仿宋_GB2312"/>
                <w:w w:val="90"/>
                <w:kern w:val="0"/>
                <w:szCs w:val="21"/>
              </w:rPr>
              <w:t>分值</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ind w:left="-92" w:leftChars="-44" w:right="-99" w:rightChars="-47" w:firstLine="7" w:firstLineChars="4"/>
              <w:jc w:val="center"/>
              <w:rPr>
                <w:rFonts w:eastAsia="仿宋_GB2312"/>
                <w:w w:val="90"/>
                <w:kern w:val="0"/>
                <w:szCs w:val="21"/>
              </w:rPr>
            </w:pPr>
            <w:r>
              <w:rPr>
                <w:rFonts w:hint="eastAsia" w:eastAsia="仿宋_GB2312"/>
                <w:w w:val="90"/>
                <w:kern w:val="0"/>
                <w:szCs w:val="21"/>
              </w:rPr>
              <w:t>得分</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w w:val="90"/>
                <w:kern w:val="0"/>
                <w:szCs w:val="21"/>
              </w:rPr>
            </w:pPr>
            <w:r>
              <w:rPr>
                <w:rFonts w:hint="eastAsia" w:eastAsia="仿宋_GB2312"/>
                <w:w w:val="90"/>
                <w:kern w:val="0"/>
                <w:szCs w:val="21"/>
              </w:rPr>
              <w:t>偏差原因分析及改进措施</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restart"/>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产出</w:t>
            </w:r>
          </w:p>
          <w:p>
            <w:pPr>
              <w:widowControl/>
              <w:spacing w:line="0" w:lineRule="atLeast"/>
              <w:jc w:val="center"/>
              <w:rPr>
                <w:rFonts w:eastAsia="仿宋_GB2312"/>
                <w:kern w:val="0"/>
                <w:szCs w:val="21"/>
              </w:rPr>
            </w:pPr>
            <w:r>
              <w:rPr>
                <w:rFonts w:hint="eastAsia" w:eastAsia="仿宋_GB2312"/>
                <w:kern w:val="0"/>
                <w:szCs w:val="21"/>
              </w:rPr>
              <w:t>指标</w:t>
            </w:r>
          </w:p>
          <w:p>
            <w:pPr>
              <w:widowControl/>
              <w:spacing w:line="0" w:lineRule="atLeast"/>
              <w:jc w:val="center"/>
              <w:rPr>
                <w:rFonts w:eastAsia="仿宋_GB2312"/>
                <w:kern w:val="0"/>
                <w:szCs w:val="21"/>
              </w:rPr>
            </w:pPr>
            <w:r>
              <w:rPr>
                <w:rFonts w:eastAsia="仿宋_GB2312"/>
                <w:kern w:val="0"/>
                <w:szCs w:val="21"/>
              </w:rPr>
              <w:t>(50</w:t>
            </w:r>
            <w:r>
              <w:rPr>
                <w:rFonts w:hint="eastAsia" w:eastAsia="仿宋_GB2312"/>
                <w:kern w:val="0"/>
                <w:szCs w:val="21"/>
              </w:rPr>
              <w:t>分</w:t>
            </w:r>
            <w:r>
              <w:rPr>
                <w:rFonts w:eastAsia="仿宋_GB2312"/>
                <w:kern w:val="0"/>
                <w:szCs w:val="21"/>
              </w:rPr>
              <w:t>)</w:t>
            </w:r>
          </w:p>
        </w:tc>
        <w:tc>
          <w:tcPr>
            <w:tcW w:w="1169" w:type="dxa"/>
            <w:vMerge w:val="restart"/>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数量指标</w:t>
            </w: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restart"/>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质量指标</w:t>
            </w: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restart"/>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时效指标</w:t>
            </w: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restart"/>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成本指标</w:t>
            </w: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restart"/>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效益</w:t>
            </w:r>
          </w:p>
          <w:p>
            <w:pPr>
              <w:widowControl/>
              <w:spacing w:line="0" w:lineRule="atLeast"/>
              <w:jc w:val="center"/>
              <w:rPr>
                <w:rFonts w:eastAsia="仿宋_GB2312"/>
                <w:kern w:val="0"/>
                <w:szCs w:val="21"/>
              </w:rPr>
            </w:pPr>
            <w:r>
              <w:rPr>
                <w:rFonts w:hint="eastAsia" w:eastAsia="仿宋_GB2312"/>
                <w:kern w:val="0"/>
                <w:szCs w:val="21"/>
              </w:rPr>
              <w:t>指标</w:t>
            </w:r>
          </w:p>
          <w:p>
            <w:pPr>
              <w:widowControl/>
              <w:spacing w:line="0" w:lineRule="atLeast"/>
              <w:jc w:val="left"/>
              <w:rPr>
                <w:rFonts w:eastAsia="仿宋_GB2312"/>
                <w:kern w:val="0"/>
                <w:szCs w:val="21"/>
              </w:rPr>
            </w:pPr>
            <w:r>
              <w:rPr>
                <w:rFonts w:hint="eastAsia" w:eastAsia="仿宋_GB2312"/>
                <w:kern w:val="0"/>
                <w:szCs w:val="21"/>
              </w:rPr>
              <w:t>（</w:t>
            </w:r>
            <w:r>
              <w:rPr>
                <w:rFonts w:eastAsia="仿宋_GB2312"/>
                <w:kern w:val="0"/>
                <w:szCs w:val="21"/>
              </w:rPr>
              <w:t>30</w:t>
            </w:r>
            <w:r>
              <w:rPr>
                <w:rFonts w:hint="eastAsia" w:eastAsia="仿宋_GB2312"/>
                <w:kern w:val="0"/>
                <w:szCs w:val="21"/>
              </w:rPr>
              <w:t>分）　</w:t>
            </w:r>
          </w:p>
        </w:tc>
        <w:tc>
          <w:tcPr>
            <w:tcW w:w="1169" w:type="dxa"/>
            <w:vMerge w:val="restart"/>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经济效</w:t>
            </w:r>
          </w:p>
          <w:p>
            <w:pPr>
              <w:widowControl/>
              <w:spacing w:line="0" w:lineRule="atLeast"/>
              <w:jc w:val="center"/>
              <w:rPr>
                <w:rFonts w:eastAsia="仿宋_GB2312"/>
                <w:kern w:val="0"/>
                <w:szCs w:val="21"/>
              </w:rPr>
            </w:pPr>
            <w:r>
              <w:rPr>
                <w:rFonts w:hint="eastAsia" w:eastAsia="仿宋_GB2312"/>
                <w:kern w:val="0"/>
                <w:szCs w:val="21"/>
              </w:rPr>
              <w:t>益指标</w:t>
            </w: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restart"/>
            <w:tcBorders>
              <w:top w:val="single" w:color="auto" w:sz="4" w:space="0"/>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社会效</w:t>
            </w:r>
          </w:p>
          <w:p>
            <w:pPr>
              <w:widowControl/>
              <w:spacing w:line="0" w:lineRule="atLeast"/>
              <w:jc w:val="center"/>
              <w:rPr>
                <w:rFonts w:eastAsia="仿宋_GB2312"/>
                <w:kern w:val="0"/>
                <w:szCs w:val="21"/>
              </w:rPr>
            </w:pPr>
            <w:r>
              <w:rPr>
                <w:rFonts w:hint="eastAsia" w:eastAsia="仿宋_GB2312"/>
                <w:kern w:val="0"/>
                <w:szCs w:val="21"/>
              </w:rPr>
              <w:t>益指标</w:t>
            </w: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生态效</w:t>
            </w:r>
          </w:p>
          <w:p>
            <w:pPr>
              <w:widowControl/>
              <w:spacing w:line="0" w:lineRule="atLeast"/>
              <w:jc w:val="center"/>
              <w:rPr>
                <w:rFonts w:eastAsia="仿宋_GB2312"/>
                <w:kern w:val="0"/>
                <w:szCs w:val="21"/>
              </w:rPr>
            </w:pPr>
            <w:r>
              <w:rPr>
                <w:rFonts w:hint="eastAsia" w:eastAsia="仿宋_GB2312"/>
                <w:kern w:val="0"/>
                <w:szCs w:val="21"/>
              </w:rPr>
              <w:t>益指标</w:t>
            </w:r>
          </w:p>
        </w:tc>
        <w:tc>
          <w:tcPr>
            <w:tcW w:w="1649"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可持续影响指标</w:t>
            </w:r>
          </w:p>
        </w:tc>
        <w:tc>
          <w:tcPr>
            <w:tcW w:w="1649"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single" w:color="auto" w:sz="4" w:space="0"/>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restart"/>
            <w:tcBorders>
              <w:top w:val="nil"/>
              <w:left w:val="nil"/>
              <w:bottom w:val="single" w:color="auto" w:sz="4" w:space="0"/>
              <w:right w:val="single" w:color="auto" w:sz="4" w:space="0"/>
            </w:tcBorders>
            <w:vAlign w:val="center"/>
          </w:tcPr>
          <w:p>
            <w:pPr>
              <w:widowControl/>
              <w:spacing w:line="0" w:lineRule="atLeast"/>
              <w:ind w:leftChars="-66" w:right="-94" w:rightChars="-45" w:hanging="138" w:hangingChars="66"/>
              <w:jc w:val="center"/>
              <w:rPr>
                <w:rFonts w:eastAsia="仿宋_GB2312"/>
                <w:kern w:val="0"/>
                <w:szCs w:val="21"/>
              </w:rPr>
            </w:pPr>
            <w:r>
              <w:rPr>
                <w:rFonts w:hint="eastAsia" w:eastAsia="仿宋_GB2312"/>
                <w:kern w:val="0"/>
                <w:szCs w:val="21"/>
              </w:rPr>
              <w:t>满意度指标</w:t>
            </w:r>
          </w:p>
          <w:p>
            <w:pPr>
              <w:widowControl/>
              <w:spacing w:line="0" w:lineRule="atLeast"/>
              <w:ind w:leftChars="-66" w:right="-94" w:rightChars="-45" w:hanging="138" w:hangingChars="66"/>
              <w:jc w:val="center"/>
              <w:rPr>
                <w:rFonts w:eastAsia="仿宋_GB2312"/>
                <w:kern w:val="0"/>
                <w:szCs w:val="21"/>
              </w:rPr>
            </w:pPr>
            <w:r>
              <w:rPr>
                <w:rFonts w:hint="eastAsia" w:eastAsia="仿宋_GB2312"/>
                <w:kern w:val="0"/>
                <w:szCs w:val="21"/>
              </w:rPr>
              <w:t>（</w:t>
            </w:r>
            <w:r>
              <w:rPr>
                <w:rFonts w:eastAsia="仿宋_GB2312"/>
                <w:kern w:val="0"/>
                <w:szCs w:val="21"/>
              </w:rPr>
              <w:t>10</w:t>
            </w:r>
            <w:r>
              <w:rPr>
                <w:rFonts w:hint="eastAsia" w:eastAsia="仿宋_GB2312"/>
                <w:kern w:val="0"/>
                <w:szCs w:val="21"/>
              </w:rPr>
              <w:t>分）</w:t>
            </w:r>
          </w:p>
        </w:tc>
        <w:tc>
          <w:tcPr>
            <w:tcW w:w="1169" w:type="dxa"/>
            <w:vMerge w:val="restart"/>
            <w:tcBorders>
              <w:top w:val="nil"/>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hint="eastAsia" w:eastAsia="仿宋_GB2312"/>
                <w:kern w:val="0"/>
                <w:szCs w:val="21"/>
              </w:rPr>
              <w:t>服务对象满意度指标</w:t>
            </w:r>
          </w:p>
        </w:tc>
        <w:tc>
          <w:tcPr>
            <w:tcW w:w="164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26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683" w:hRule="atLeast"/>
          <w:jc w:val="center"/>
        </w:trPr>
        <w:tc>
          <w:tcPr>
            <w:tcW w:w="105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780" w:type="dxa"/>
            <w:vMerge w:val="continue"/>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169" w:type="dxa"/>
            <w:vMerge w:val="continue"/>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p>
        </w:tc>
        <w:tc>
          <w:tcPr>
            <w:tcW w:w="1649"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eastAsia="仿宋_GB2312"/>
                <w:kern w:val="0"/>
                <w:szCs w:val="21"/>
              </w:rPr>
              <w:t>……</w:t>
            </w:r>
          </w:p>
        </w:tc>
        <w:tc>
          <w:tcPr>
            <w:tcW w:w="126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047"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536"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400"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6968" w:type="dxa"/>
            <w:gridSpan w:val="6"/>
            <w:tcBorders>
              <w:top w:val="single" w:color="auto" w:sz="4" w:space="0"/>
              <w:left w:val="single" w:color="auto" w:sz="4" w:space="0"/>
              <w:bottom w:val="single" w:color="auto" w:sz="4" w:space="0"/>
              <w:right w:val="single" w:color="000000" w:sz="4" w:space="0"/>
            </w:tcBorders>
            <w:vAlign w:val="center"/>
          </w:tcPr>
          <w:p>
            <w:pPr>
              <w:widowControl/>
              <w:spacing w:line="0" w:lineRule="atLeast"/>
              <w:jc w:val="center"/>
              <w:rPr>
                <w:rFonts w:eastAsia="仿宋_GB2312"/>
                <w:kern w:val="0"/>
                <w:szCs w:val="21"/>
              </w:rPr>
            </w:pPr>
            <w:r>
              <w:rPr>
                <w:rFonts w:hint="eastAsia" w:eastAsia="仿宋_GB2312"/>
                <w:kern w:val="0"/>
                <w:szCs w:val="21"/>
              </w:rPr>
              <w:t>总分</w:t>
            </w:r>
          </w:p>
        </w:tc>
        <w:tc>
          <w:tcPr>
            <w:tcW w:w="536" w:type="dxa"/>
            <w:tcBorders>
              <w:top w:val="nil"/>
              <w:left w:val="nil"/>
              <w:bottom w:val="single" w:color="auto" w:sz="4" w:space="0"/>
              <w:right w:val="single" w:color="auto" w:sz="4" w:space="0"/>
            </w:tcBorders>
            <w:vAlign w:val="center"/>
          </w:tcPr>
          <w:p>
            <w:pPr>
              <w:widowControl/>
              <w:spacing w:line="0" w:lineRule="atLeast"/>
              <w:jc w:val="center"/>
              <w:rPr>
                <w:rFonts w:eastAsia="仿宋_GB2312"/>
                <w:kern w:val="0"/>
                <w:szCs w:val="21"/>
              </w:rPr>
            </w:pPr>
            <w:r>
              <w:rPr>
                <w:rFonts w:eastAsia="仿宋_GB2312"/>
                <w:kern w:val="0"/>
                <w:szCs w:val="21"/>
              </w:rPr>
              <w:t>100</w:t>
            </w:r>
          </w:p>
        </w:tc>
        <w:tc>
          <w:tcPr>
            <w:tcW w:w="400" w:type="dxa"/>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c>
          <w:tcPr>
            <w:tcW w:w="1418" w:type="dxa"/>
            <w:gridSpan w:val="2"/>
            <w:tcBorders>
              <w:top w:val="nil"/>
              <w:left w:val="nil"/>
              <w:bottom w:val="single" w:color="auto" w:sz="4" w:space="0"/>
              <w:right w:val="single" w:color="auto" w:sz="4" w:space="0"/>
            </w:tcBorders>
            <w:vAlign w:val="center"/>
          </w:tcPr>
          <w:p>
            <w:pPr>
              <w:widowControl/>
              <w:spacing w:line="0" w:lineRule="atLeast"/>
              <w:jc w:val="left"/>
              <w:rPr>
                <w:rFonts w:eastAsia="仿宋_GB2312"/>
                <w:kern w:val="0"/>
                <w:szCs w:val="21"/>
              </w:rPr>
            </w:pPr>
            <w:r>
              <w:rPr>
                <w:rFonts w:hint="eastAsia" w:eastAsia="仿宋_GB2312"/>
                <w:kern w:val="0"/>
                <w:szCs w:val="21"/>
              </w:rPr>
              <w:t>　</w:t>
            </w:r>
          </w:p>
        </w:tc>
      </w:tr>
    </w:tbl>
    <w:p>
      <w:pPr>
        <w:pStyle w:val="6"/>
        <w:ind w:left="0" w:leftChars="0" w:firstLine="0" w:firstLineChars="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填表人：周梦玲 填报日期：2024.2.29  联系电话：1807394081 单位负责人签字：邓三强</w:t>
      </w:r>
    </w:p>
    <w:p>
      <w:pPr>
        <w:spacing w:before="120" w:beforeLines="50"/>
        <w:rPr>
          <w:rFonts w:ascii="Times New Roman" w:hAnsi="Times New Roman" w:eastAsia="仿宋_GB2312"/>
          <w:sz w:val="24"/>
        </w:rPr>
      </w:pPr>
    </w:p>
    <w:p>
      <w:pPr>
        <w:ind w:left="10" w:leftChars="5" w:firstLine="406" w:firstLineChars="127"/>
        <w:jc w:val="left"/>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snapToGrid/>
        <w:spacing w:line="600" w:lineRule="exact"/>
        <w:ind w:left="10" w:leftChars="5" w:firstLine="406" w:firstLineChars="127"/>
        <w:jc w:val="left"/>
        <w:textAlignment w:val="auto"/>
        <w:rPr>
          <w:rFonts w:ascii="仿宋" w:hAnsi="仿宋" w:eastAsia="仿宋" w:cs="仿宋"/>
          <w:sz w:val="32"/>
          <w:szCs w:val="32"/>
        </w:rPr>
      </w:pPr>
      <w:r>
        <w:rPr>
          <w:rFonts w:hint="eastAsia" w:ascii="仿宋" w:hAnsi="仿宋" w:eastAsia="仿宋" w:cs="仿宋"/>
          <w:sz w:val="32"/>
          <w:szCs w:val="32"/>
        </w:rPr>
        <w:t>其中，绩效目标自评表填报注意事项如下：</w:t>
      </w:r>
    </w:p>
    <w:p>
      <w:pPr>
        <w:keepNext w:val="0"/>
        <w:keepLines w:val="0"/>
        <w:pageBreakBefore w:val="0"/>
        <w:widowControl w:val="0"/>
        <w:numPr>
          <w:ilvl w:val="0"/>
          <w:numId w:val="8"/>
        </w:numPr>
        <w:kinsoku/>
        <w:wordWrap/>
        <w:overflowPunct/>
        <w:topLinePunct w:val="0"/>
        <w:autoSpaceDE/>
        <w:autoSpaceDN/>
        <w:bidi w:val="0"/>
        <w:snapToGrid/>
        <w:spacing w:line="600" w:lineRule="exact"/>
        <w:ind w:left="10" w:leftChars="5" w:firstLine="406" w:firstLineChars="127"/>
        <w:jc w:val="left"/>
        <w:textAlignment w:val="auto"/>
        <w:rPr>
          <w:rFonts w:ascii="仿宋" w:hAnsi="仿宋" w:eastAsia="仿宋" w:cs="仿宋"/>
          <w:sz w:val="32"/>
          <w:szCs w:val="32"/>
        </w:rPr>
      </w:pPr>
      <w:r>
        <w:rPr>
          <w:rFonts w:hint="eastAsia" w:ascii="仿宋" w:hAnsi="仿宋" w:eastAsia="仿宋" w:cs="仿宋"/>
          <w:sz w:val="32"/>
          <w:szCs w:val="32"/>
        </w:rPr>
        <w:t>一级指标分值设置为：产出指标50分、效益指标30分、满意度指标10分、预算资金执行率10分，上述权重可根据项目实际情况进行适当调整，但加总后应等于100分。预算资金申请单位可根据各项指标重要程度确定三级指标的分值。得分最高不能超过该指标分值上限。</w:t>
      </w:r>
    </w:p>
    <w:p>
      <w:pPr>
        <w:keepNext w:val="0"/>
        <w:keepLines w:val="0"/>
        <w:pageBreakBefore w:val="0"/>
        <w:widowControl w:val="0"/>
        <w:numPr>
          <w:ilvl w:val="0"/>
          <w:numId w:val="8"/>
        </w:numPr>
        <w:kinsoku/>
        <w:wordWrap/>
        <w:overflowPunct/>
        <w:topLinePunct w:val="0"/>
        <w:autoSpaceDE/>
        <w:autoSpaceDN/>
        <w:bidi w:val="0"/>
        <w:snapToGrid/>
        <w:spacing w:line="600" w:lineRule="exact"/>
        <w:ind w:left="10" w:leftChars="5" w:firstLine="406" w:firstLineChars="127"/>
        <w:jc w:val="left"/>
        <w:textAlignment w:val="auto"/>
        <w:rPr>
          <w:rFonts w:ascii="仿宋" w:hAnsi="仿宋" w:eastAsia="仿宋" w:cs="仿宋"/>
          <w:sz w:val="32"/>
          <w:szCs w:val="32"/>
        </w:rPr>
      </w:pPr>
      <w:r>
        <w:rPr>
          <w:rFonts w:hint="eastAsia" w:ascii="仿宋" w:hAnsi="仿宋" w:eastAsia="仿宋" w:cs="仿宋"/>
          <w:sz w:val="32"/>
          <w:szCs w:val="32"/>
        </w:rPr>
        <w:t>定性指标根据指标完成情况分为：达成预期指标、部分达成预期指标具有一定效果、未达成预期指标且效果较差三档，分别按照该指标对应分值区间100%-80%（含80%）、80%-60%（含60%）、60-0%合理确定得分。</w:t>
      </w:r>
    </w:p>
    <w:p>
      <w:pPr>
        <w:keepNext w:val="0"/>
        <w:keepLines w:val="0"/>
        <w:pageBreakBefore w:val="0"/>
        <w:widowControl w:val="0"/>
        <w:numPr>
          <w:ilvl w:val="0"/>
          <w:numId w:val="8"/>
        </w:numPr>
        <w:kinsoku/>
        <w:wordWrap/>
        <w:overflowPunct/>
        <w:topLinePunct w:val="0"/>
        <w:autoSpaceDE/>
        <w:autoSpaceDN/>
        <w:bidi w:val="0"/>
        <w:snapToGrid/>
        <w:spacing w:line="600" w:lineRule="exact"/>
        <w:ind w:left="10" w:leftChars="5" w:firstLine="406" w:firstLineChars="127"/>
        <w:jc w:val="left"/>
        <w:textAlignment w:val="auto"/>
        <w:rPr>
          <w:rFonts w:ascii="仿宋" w:hAnsi="仿宋" w:eastAsia="仿宋" w:cs="仿宋"/>
          <w:sz w:val="32"/>
          <w:szCs w:val="32"/>
        </w:rPr>
      </w:pPr>
      <w:r>
        <w:rPr>
          <w:rFonts w:hint="eastAsia" w:ascii="仿宋" w:hAnsi="仿宋" w:eastAsia="仿宋" w:cs="仿宋"/>
          <w:sz w:val="32"/>
          <w:szCs w:val="32"/>
        </w:rPr>
        <w:t>定量指标若为正向指标（即指标值为</w:t>
      </w:r>
      <w:r>
        <w:rPr>
          <w:rFonts w:ascii="Arial" w:hAnsi="Arial" w:eastAsia="仿宋" w:cs="Arial"/>
          <w:sz w:val="32"/>
          <w:szCs w:val="32"/>
        </w:rPr>
        <w:t>≥</w:t>
      </w:r>
      <w:r>
        <w:rPr>
          <w:rFonts w:hint="eastAsia" w:ascii="仿宋" w:hAnsi="仿宋" w:eastAsia="仿宋" w:cs="仿宋"/>
          <w:sz w:val="32"/>
          <w:szCs w:val="32"/>
        </w:rPr>
        <w:t>*），则得分计算方法应用全年实际值/年度指标值*该指标分值；若定量指标为反向指标（即指标值</w:t>
      </w:r>
      <w:r>
        <w:rPr>
          <w:rFonts w:ascii="Arial" w:hAnsi="Arial" w:eastAsia="仿宋" w:cs="Arial"/>
          <w:sz w:val="32"/>
          <w:szCs w:val="32"/>
        </w:rPr>
        <w:t>≤</w:t>
      </w:r>
      <w:r>
        <w:rPr>
          <w:rFonts w:hint="eastAsia" w:ascii="仿宋" w:hAnsi="仿宋" w:eastAsia="仿宋" w:cs="仿宋"/>
          <w:sz w:val="32"/>
          <w:szCs w:val="32"/>
        </w:rPr>
        <w:t>*），则得分计算方法应用年度指标值/全年实际值*该指标分值；定量指标得分最高不得超过该指标分值上限。</w:t>
      </w:r>
    </w:p>
    <w:p>
      <w:pPr>
        <w:keepNext w:val="0"/>
        <w:keepLines w:val="0"/>
        <w:pageBreakBefore w:val="0"/>
        <w:widowControl w:val="0"/>
        <w:kinsoku/>
        <w:wordWrap/>
        <w:overflowPunct/>
        <w:topLinePunct w:val="0"/>
        <w:autoSpaceDE/>
        <w:autoSpaceDN/>
        <w:bidi w:val="0"/>
        <w:snapToGrid/>
        <w:spacing w:line="600" w:lineRule="exact"/>
        <w:ind w:left="277" w:leftChars="132"/>
        <w:jc w:val="left"/>
        <w:textAlignment w:val="auto"/>
        <w:rPr>
          <w:rFonts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val="0"/>
        <w:snapToGrid/>
        <w:spacing w:line="600" w:lineRule="exact"/>
        <w:ind w:right="641"/>
        <w:textAlignment w:val="auto"/>
        <w:rPr>
          <w:rFonts w:hint="eastAsia" w:ascii="黑体" w:eastAsia="黑体"/>
          <w:sz w:val="32"/>
          <w:szCs w:val="32"/>
        </w:rPr>
      </w:pPr>
    </w:p>
    <w:p>
      <w:pPr>
        <w:rPr>
          <w:rFonts w:ascii="仿宋" w:hAnsi="仿宋" w:eastAsia="仿宋" w:cs="仿宋"/>
          <w:sz w:val="32"/>
          <w:szCs w:val="32"/>
        </w:rPr>
      </w:pPr>
    </w:p>
    <w:sectPr>
      <w:pgSz w:w="11905" w:h="16837"/>
      <w:pgMar w:top="1417" w:right="1417" w:bottom="1417" w:left="1417" w:header="0" w:footer="0" w:gutter="0"/>
      <w:pgNumType w:start="1"/>
      <w:cols w:space="0" w:num="1"/>
      <w:rtlGutter w:val="0"/>
      <w:docGrid w:linePitch="6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82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57058033"/>
      <w:docPartObj>
        <w:docPartGallery w:val="autotext"/>
      </w:docPartObj>
    </w:sdtPr>
    <w:sdtContent>
      <w:p>
        <w:pPr>
          <w:pStyle w:val="3"/>
          <w:jc w:val="center"/>
        </w:pPr>
        <w:r>
          <w:fldChar w:fldCharType="begin"/>
        </w:r>
        <w:r>
          <w:instrText xml:space="preserve">PAGE   \* MERGEFORMAT</w:instrText>
        </w:r>
        <w:r>
          <w:fldChar w:fldCharType="separate"/>
        </w:r>
        <w:r>
          <w:rPr>
            <w:lang w:val="zh-CN"/>
          </w:rPr>
          <w:t>3</w:t>
        </w:r>
        <w:r>
          <w:fldChar w:fldCharType="end"/>
        </w:r>
      </w:p>
    </w:sdtContent>
  </w:sdt>
  <w:p>
    <w:pPr>
      <w:pStyle w:val="3"/>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05CCA1"/>
    <w:multiLevelType w:val="singleLevel"/>
    <w:tmpl w:val="D005CCA1"/>
    <w:lvl w:ilvl="0" w:tentative="0">
      <w:start w:val="3"/>
      <w:numFmt w:val="chineseCounting"/>
      <w:suff w:val="nothing"/>
      <w:lvlText w:val="（%1）"/>
      <w:lvlJc w:val="left"/>
      <w:rPr>
        <w:rFonts w:hint="eastAsia"/>
      </w:rPr>
    </w:lvl>
  </w:abstractNum>
  <w:abstractNum w:abstractNumId="1">
    <w:nsid w:val="07D146D6"/>
    <w:multiLevelType w:val="singleLevel"/>
    <w:tmpl w:val="07D146D6"/>
    <w:lvl w:ilvl="0" w:tentative="0">
      <w:start w:val="3"/>
      <w:numFmt w:val="chineseCounting"/>
      <w:suff w:val="nothing"/>
      <w:lvlText w:val="（%1）"/>
      <w:lvlJc w:val="left"/>
      <w:rPr>
        <w:rFonts w:hint="eastAsia"/>
      </w:rPr>
    </w:lvl>
  </w:abstractNum>
  <w:abstractNum w:abstractNumId="2">
    <w:nsid w:val="0E3D37FE"/>
    <w:multiLevelType w:val="singleLevel"/>
    <w:tmpl w:val="0E3D37FE"/>
    <w:lvl w:ilvl="0" w:tentative="0">
      <w:start w:val="1"/>
      <w:numFmt w:val="decimal"/>
      <w:lvlText w:val="%1."/>
      <w:lvlJc w:val="left"/>
      <w:pPr>
        <w:tabs>
          <w:tab w:val="left" w:pos="312"/>
        </w:tabs>
      </w:pPr>
    </w:lvl>
  </w:abstractNum>
  <w:abstractNum w:abstractNumId="3">
    <w:nsid w:val="3D973790"/>
    <w:multiLevelType w:val="singleLevel"/>
    <w:tmpl w:val="3D973790"/>
    <w:lvl w:ilvl="0" w:tentative="0">
      <w:start w:val="3"/>
      <w:numFmt w:val="chineseCounting"/>
      <w:suff w:val="nothing"/>
      <w:lvlText w:val="%1、"/>
      <w:lvlJc w:val="left"/>
      <w:rPr>
        <w:rFonts w:hint="eastAsia"/>
      </w:rPr>
    </w:lvl>
  </w:abstractNum>
  <w:abstractNum w:abstractNumId="4">
    <w:nsid w:val="4113C5D7"/>
    <w:multiLevelType w:val="singleLevel"/>
    <w:tmpl w:val="4113C5D7"/>
    <w:lvl w:ilvl="0" w:tentative="0">
      <w:start w:val="8"/>
      <w:numFmt w:val="chineseCounting"/>
      <w:suff w:val="nothing"/>
      <w:lvlText w:val="%1、"/>
      <w:lvlJc w:val="left"/>
      <w:rPr>
        <w:rFonts w:hint="eastAsia"/>
      </w:rPr>
    </w:lvl>
  </w:abstractNum>
  <w:abstractNum w:abstractNumId="5">
    <w:nsid w:val="649E1975"/>
    <w:multiLevelType w:val="singleLevel"/>
    <w:tmpl w:val="649E1975"/>
    <w:lvl w:ilvl="0" w:tentative="0">
      <w:start w:val="2"/>
      <w:numFmt w:val="chineseCounting"/>
      <w:suff w:val="nothing"/>
      <w:lvlText w:val="（%1）"/>
      <w:lvlJc w:val="left"/>
      <w:rPr>
        <w:rFonts w:hint="eastAsia"/>
      </w:rPr>
    </w:lvl>
  </w:abstractNum>
  <w:abstractNum w:abstractNumId="6">
    <w:nsid w:val="6588993E"/>
    <w:multiLevelType w:val="singleLevel"/>
    <w:tmpl w:val="6588993E"/>
    <w:lvl w:ilvl="0" w:tentative="0">
      <w:start w:val="1"/>
      <w:numFmt w:val="decimal"/>
      <w:suff w:val="nothing"/>
      <w:lvlText w:val="（%1）"/>
      <w:lvlJc w:val="left"/>
    </w:lvl>
  </w:abstractNum>
  <w:abstractNum w:abstractNumId="7">
    <w:nsid w:val="665305C2"/>
    <w:multiLevelType w:val="singleLevel"/>
    <w:tmpl w:val="665305C2"/>
    <w:lvl w:ilvl="0" w:tentative="0">
      <w:start w:val="2"/>
      <w:numFmt w:val="chineseCounting"/>
      <w:suff w:val="nothing"/>
      <w:lvlText w:val="（%1）"/>
      <w:lvlJc w:val="left"/>
      <w:rPr>
        <w:rFonts w:hint="eastAsia"/>
      </w:rPr>
    </w:lvl>
  </w:abstractNum>
  <w:num w:numId="1">
    <w:abstractNumId w:val="5"/>
  </w:num>
  <w:num w:numId="2">
    <w:abstractNumId w:val="1"/>
  </w:num>
  <w:num w:numId="3">
    <w:abstractNumId w:val="3"/>
  </w:num>
  <w:num w:numId="4">
    <w:abstractNumId w:val="2"/>
  </w:num>
  <w:num w:numId="5">
    <w:abstractNumId w:val="4"/>
  </w:num>
  <w:num w:numId="6">
    <w:abstractNumId w:val="0"/>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6"/>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56"/>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BhNmQ5MzliNGRiZjMxNTFkZjFlZjJmZjkwYjdiMTEifQ=="/>
  </w:docVars>
  <w:rsids>
    <w:rsidRoot w:val="00172A27"/>
    <w:rsid w:val="00060A62"/>
    <w:rsid w:val="000661B1"/>
    <w:rsid w:val="00073D6C"/>
    <w:rsid w:val="000768C7"/>
    <w:rsid w:val="000B44C0"/>
    <w:rsid w:val="000D7D97"/>
    <w:rsid w:val="000E049D"/>
    <w:rsid w:val="000E7434"/>
    <w:rsid w:val="00104762"/>
    <w:rsid w:val="00115E34"/>
    <w:rsid w:val="001164BB"/>
    <w:rsid w:val="00117D9C"/>
    <w:rsid w:val="001207C7"/>
    <w:rsid w:val="00124D3D"/>
    <w:rsid w:val="001325BE"/>
    <w:rsid w:val="001423EB"/>
    <w:rsid w:val="00153A3A"/>
    <w:rsid w:val="0015771F"/>
    <w:rsid w:val="001658D4"/>
    <w:rsid w:val="00172A27"/>
    <w:rsid w:val="001802CF"/>
    <w:rsid w:val="001B772D"/>
    <w:rsid w:val="001D59EB"/>
    <w:rsid w:val="002106FB"/>
    <w:rsid w:val="00253DD9"/>
    <w:rsid w:val="002616DB"/>
    <w:rsid w:val="00292D3A"/>
    <w:rsid w:val="002A5C3D"/>
    <w:rsid w:val="002A6620"/>
    <w:rsid w:val="002B2D2E"/>
    <w:rsid w:val="002E3C7F"/>
    <w:rsid w:val="002E7CE5"/>
    <w:rsid w:val="002F5042"/>
    <w:rsid w:val="002F65FE"/>
    <w:rsid w:val="00332386"/>
    <w:rsid w:val="00332970"/>
    <w:rsid w:val="003355CD"/>
    <w:rsid w:val="0036796A"/>
    <w:rsid w:val="003B1FDB"/>
    <w:rsid w:val="003F2C9F"/>
    <w:rsid w:val="00422C78"/>
    <w:rsid w:val="004319E5"/>
    <w:rsid w:val="00453C41"/>
    <w:rsid w:val="004563F5"/>
    <w:rsid w:val="00462A9D"/>
    <w:rsid w:val="00463C10"/>
    <w:rsid w:val="00496CD8"/>
    <w:rsid w:val="004A7F44"/>
    <w:rsid w:val="004B36F1"/>
    <w:rsid w:val="004B47BC"/>
    <w:rsid w:val="004C66F5"/>
    <w:rsid w:val="004F1216"/>
    <w:rsid w:val="00501DDC"/>
    <w:rsid w:val="00516AA9"/>
    <w:rsid w:val="005672D6"/>
    <w:rsid w:val="0057317D"/>
    <w:rsid w:val="00610CD5"/>
    <w:rsid w:val="00612D17"/>
    <w:rsid w:val="00631A52"/>
    <w:rsid w:val="00645A4C"/>
    <w:rsid w:val="006621F1"/>
    <w:rsid w:val="006B1E81"/>
    <w:rsid w:val="006C3017"/>
    <w:rsid w:val="006E5FF1"/>
    <w:rsid w:val="00700689"/>
    <w:rsid w:val="007067D4"/>
    <w:rsid w:val="007136CC"/>
    <w:rsid w:val="0075493C"/>
    <w:rsid w:val="007760AD"/>
    <w:rsid w:val="0078468B"/>
    <w:rsid w:val="007A209E"/>
    <w:rsid w:val="008012C0"/>
    <w:rsid w:val="00817AEC"/>
    <w:rsid w:val="00837118"/>
    <w:rsid w:val="0087048D"/>
    <w:rsid w:val="008838FC"/>
    <w:rsid w:val="008909E3"/>
    <w:rsid w:val="00890A63"/>
    <w:rsid w:val="008A2B85"/>
    <w:rsid w:val="008A4F15"/>
    <w:rsid w:val="008B501F"/>
    <w:rsid w:val="008D6B2C"/>
    <w:rsid w:val="009140BB"/>
    <w:rsid w:val="009176F1"/>
    <w:rsid w:val="00926A7B"/>
    <w:rsid w:val="009461E1"/>
    <w:rsid w:val="00953880"/>
    <w:rsid w:val="00961EF6"/>
    <w:rsid w:val="0097621D"/>
    <w:rsid w:val="00991243"/>
    <w:rsid w:val="009C0C95"/>
    <w:rsid w:val="009F198A"/>
    <w:rsid w:val="009F479D"/>
    <w:rsid w:val="00A022E1"/>
    <w:rsid w:val="00A23493"/>
    <w:rsid w:val="00A24D28"/>
    <w:rsid w:val="00A43D18"/>
    <w:rsid w:val="00A72D44"/>
    <w:rsid w:val="00AB71CD"/>
    <w:rsid w:val="00AD58C8"/>
    <w:rsid w:val="00AE03E4"/>
    <w:rsid w:val="00AF1164"/>
    <w:rsid w:val="00AF6C78"/>
    <w:rsid w:val="00B2595B"/>
    <w:rsid w:val="00B260CD"/>
    <w:rsid w:val="00B30CBF"/>
    <w:rsid w:val="00B311B7"/>
    <w:rsid w:val="00B41963"/>
    <w:rsid w:val="00B510C4"/>
    <w:rsid w:val="00B53D76"/>
    <w:rsid w:val="00B81179"/>
    <w:rsid w:val="00B85F42"/>
    <w:rsid w:val="00BB4FEC"/>
    <w:rsid w:val="00BC3FA3"/>
    <w:rsid w:val="00BF35E4"/>
    <w:rsid w:val="00C16596"/>
    <w:rsid w:val="00C673FA"/>
    <w:rsid w:val="00CA77FB"/>
    <w:rsid w:val="00CD3317"/>
    <w:rsid w:val="00CD6EB8"/>
    <w:rsid w:val="00CE78A7"/>
    <w:rsid w:val="00CF55D0"/>
    <w:rsid w:val="00CF6A9D"/>
    <w:rsid w:val="00D26F72"/>
    <w:rsid w:val="00D339BB"/>
    <w:rsid w:val="00D42735"/>
    <w:rsid w:val="00DB08C2"/>
    <w:rsid w:val="00DB4D61"/>
    <w:rsid w:val="00DB78B9"/>
    <w:rsid w:val="00DE3F24"/>
    <w:rsid w:val="00DF64ED"/>
    <w:rsid w:val="00DF7938"/>
    <w:rsid w:val="00E04E28"/>
    <w:rsid w:val="00E11B07"/>
    <w:rsid w:val="00E13476"/>
    <w:rsid w:val="00E61B2B"/>
    <w:rsid w:val="00F62AE0"/>
    <w:rsid w:val="00FF4638"/>
    <w:rsid w:val="03BA01AE"/>
    <w:rsid w:val="055F72FC"/>
    <w:rsid w:val="056545C6"/>
    <w:rsid w:val="05C63780"/>
    <w:rsid w:val="062736E9"/>
    <w:rsid w:val="06B14C94"/>
    <w:rsid w:val="06F941B3"/>
    <w:rsid w:val="07061C60"/>
    <w:rsid w:val="07601F6F"/>
    <w:rsid w:val="0859360A"/>
    <w:rsid w:val="087251E8"/>
    <w:rsid w:val="08831D69"/>
    <w:rsid w:val="090C0797"/>
    <w:rsid w:val="092550F0"/>
    <w:rsid w:val="09636F12"/>
    <w:rsid w:val="0B402ED3"/>
    <w:rsid w:val="0B5575DE"/>
    <w:rsid w:val="0B595BEC"/>
    <w:rsid w:val="0BE44F45"/>
    <w:rsid w:val="0D013842"/>
    <w:rsid w:val="0D605FA4"/>
    <w:rsid w:val="0DAC1131"/>
    <w:rsid w:val="0DCD1FE2"/>
    <w:rsid w:val="0DE23C9D"/>
    <w:rsid w:val="0EE4409F"/>
    <w:rsid w:val="0F0351A9"/>
    <w:rsid w:val="0F6040CA"/>
    <w:rsid w:val="0F686EA2"/>
    <w:rsid w:val="0FA4224E"/>
    <w:rsid w:val="10125033"/>
    <w:rsid w:val="114C68B4"/>
    <w:rsid w:val="13063EC3"/>
    <w:rsid w:val="14AA545C"/>
    <w:rsid w:val="15751098"/>
    <w:rsid w:val="16FC3F81"/>
    <w:rsid w:val="176B1627"/>
    <w:rsid w:val="184B7D68"/>
    <w:rsid w:val="194621AC"/>
    <w:rsid w:val="1B8B72AA"/>
    <w:rsid w:val="1C5540FA"/>
    <w:rsid w:val="1C96001A"/>
    <w:rsid w:val="1DA67C4F"/>
    <w:rsid w:val="1E4A056C"/>
    <w:rsid w:val="1EF66ABE"/>
    <w:rsid w:val="2051109F"/>
    <w:rsid w:val="20DC27D1"/>
    <w:rsid w:val="21192E62"/>
    <w:rsid w:val="213F01B2"/>
    <w:rsid w:val="21486D67"/>
    <w:rsid w:val="217355DC"/>
    <w:rsid w:val="22A17FF1"/>
    <w:rsid w:val="22F175ED"/>
    <w:rsid w:val="24D47687"/>
    <w:rsid w:val="252F091F"/>
    <w:rsid w:val="26A1499A"/>
    <w:rsid w:val="26CA0729"/>
    <w:rsid w:val="26EC76C6"/>
    <w:rsid w:val="273137CC"/>
    <w:rsid w:val="27654B82"/>
    <w:rsid w:val="279C010A"/>
    <w:rsid w:val="27E20F6E"/>
    <w:rsid w:val="282F69C3"/>
    <w:rsid w:val="28E30CF3"/>
    <w:rsid w:val="297E7214"/>
    <w:rsid w:val="29AB7A6D"/>
    <w:rsid w:val="2ACD4C49"/>
    <w:rsid w:val="2B003A78"/>
    <w:rsid w:val="2B857C02"/>
    <w:rsid w:val="2B9C3577"/>
    <w:rsid w:val="2BBA09D7"/>
    <w:rsid w:val="2BD440AE"/>
    <w:rsid w:val="2BD575BF"/>
    <w:rsid w:val="2C6944DC"/>
    <w:rsid w:val="2D6C73E1"/>
    <w:rsid w:val="2DB2495A"/>
    <w:rsid w:val="2EBA7105"/>
    <w:rsid w:val="2EC4171C"/>
    <w:rsid w:val="2EF0518E"/>
    <w:rsid w:val="2F373F0A"/>
    <w:rsid w:val="2F465CE9"/>
    <w:rsid w:val="30133FEC"/>
    <w:rsid w:val="301467A7"/>
    <w:rsid w:val="3147341F"/>
    <w:rsid w:val="319E58AE"/>
    <w:rsid w:val="32E672DE"/>
    <w:rsid w:val="33173320"/>
    <w:rsid w:val="33F47CCB"/>
    <w:rsid w:val="348101C9"/>
    <w:rsid w:val="367E6347"/>
    <w:rsid w:val="36B74B2C"/>
    <w:rsid w:val="376A7251"/>
    <w:rsid w:val="38C62B0D"/>
    <w:rsid w:val="38FF20BA"/>
    <w:rsid w:val="3B4A4976"/>
    <w:rsid w:val="3D6A788A"/>
    <w:rsid w:val="3E1C6CCE"/>
    <w:rsid w:val="3F07230B"/>
    <w:rsid w:val="401A4DB7"/>
    <w:rsid w:val="40551718"/>
    <w:rsid w:val="412A5093"/>
    <w:rsid w:val="41D96CAB"/>
    <w:rsid w:val="438C45B0"/>
    <w:rsid w:val="43CA6E24"/>
    <w:rsid w:val="448C37A5"/>
    <w:rsid w:val="44AE371A"/>
    <w:rsid w:val="469C5106"/>
    <w:rsid w:val="4750610E"/>
    <w:rsid w:val="476A2E5A"/>
    <w:rsid w:val="48D77849"/>
    <w:rsid w:val="492E6CEA"/>
    <w:rsid w:val="497F4067"/>
    <w:rsid w:val="499C5626"/>
    <w:rsid w:val="49D62A28"/>
    <w:rsid w:val="4A6A422A"/>
    <w:rsid w:val="4A8A7B5A"/>
    <w:rsid w:val="4B61359F"/>
    <w:rsid w:val="4C3126A7"/>
    <w:rsid w:val="4C985623"/>
    <w:rsid w:val="4D1D75B1"/>
    <w:rsid w:val="4DC14C54"/>
    <w:rsid w:val="4E991EA3"/>
    <w:rsid w:val="5025403F"/>
    <w:rsid w:val="512D283B"/>
    <w:rsid w:val="51706157"/>
    <w:rsid w:val="519D4217"/>
    <w:rsid w:val="51A64FE7"/>
    <w:rsid w:val="52245ABB"/>
    <w:rsid w:val="544E62B5"/>
    <w:rsid w:val="54D83964"/>
    <w:rsid w:val="551E5284"/>
    <w:rsid w:val="569958AC"/>
    <w:rsid w:val="576860E5"/>
    <w:rsid w:val="57965D12"/>
    <w:rsid w:val="587B3D9E"/>
    <w:rsid w:val="587F7BAB"/>
    <w:rsid w:val="590B7824"/>
    <w:rsid w:val="598A0134"/>
    <w:rsid w:val="59BA41A7"/>
    <w:rsid w:val="5B0867BA"/>
    <w:rsid w:val="5BC814AD"/>
    <w:rsid w:val="5E2D0ECA"/>
    <w:rsid w:val="5E7E2E48"/>
    <w:rsid w:val="5EB920A6"/>
    <w:rsid w:val="5EE15247"/>
    <w:rsid w:val="5F9C32ED"/>
    <w:rsid w:val="5FEB66AA"/>
    <w:rsid w:val="611C2A4E"/>
    <w:rsid w:val="61ED0983"/>
    <w:rsid w:val="621A2785"/>
    <w:rsid w:val="62380621"/>
    <w:rsid w:val="62882906"/>
    <w:rsid w:val="6296592A"/>
    <w:rsid w:val="62AA63A9"/>
    <w:rsid w:val="63287C51"/>
    <w:rsid w:val="64653D4C"/>
    <w:rsid w:val="64821F10"/>
    <w:rsid w:val="64BB7C34"/>
    <w:rsid w:val="657A4758"/>
    <w:rsid w:val="66EE340B"/>
    <w:rsid w:val="693B1A2C"/>
    <w:rsid w:val="6A893D5A"/>
    <w:rsid w:val="6A91161F"/>
    <w:rsid w:val="6BDD159D"/>
    <w:rsid w:val="6D560FD7"/>
    <w:rsid w:val="70561C9A"/>
    <w:rsid w:val="70710328"/>
    <w:rsid w:val="713D16E3"/>
    <w:rsid w:val="715A4BDC"/>
    <w:rsid w:val="71AF52DC"/>
    <w:rsid w:val="71C15269"/>
    <w:rsid w:val="72A31ED0"/>
    <w:rsid w:val="752D41F9"/>
    <w:rsid w:val="77F770D8"/>
    <w:rsid w:val="78272480"/>
    <w:rsid w:val="783F1A66"/>
    <w:rsid w:val="786A32D4"/>
    <w:rsid w:val="788155F2"/>
    <w:rsid w:val="78EF290F"/>
    <w:rsid w:val="7A794B87"/>
    <w:rsid w:val="7ABD057B"/>
    <w:rsid w:val="7ACB2BF8"/>
    <w:rsid w:val="7C142227"/>
    <w:rsid w:val="7E0E41C6"/>
    <w:rsid w:val="7EE2275E"/>
    <w:rsid w:val="7F810A2B"/>
    <w:rsid w:val="7F9D11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w:basedOn w:val="1"/>
    <w:qFormat/>
    <w:uiPriority w:val="0"/>
    <w:pPr>
      <w:ind w:firstLine="640"/>
    </w:pPr>
    <w:rPr>
      <w:rFonts w:ascii="仿宋_GB2312" w:eastAsia="仿宋_GB2312"/>
      <w:bCs/>
      <w:sz w:val="32"/>
      <w:szCs w:val="32"/>
    </w:rPr>
  </w:style>
  <w:style w:type="paragraph" w:styleId="3">
    <w:name w:val="footer"/>
    <w:basedOn w:val="1"/>
    <w:link w:val="12"/>
    <w:qFormat/>
    <w:uiPriority w:val="99"/>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6">
    <w:name w:val="Body Text First Indent 2"/>
    <w:basedOn w:val="2"/>
    <w:qFormat/>
    <w:uiPriority w:val="0"/>
    <w:pPr>
      <w:ind w:firstLine="420" w:firstLineChars="200"/>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page number"/>
    <w:basedOn w:val="9"/>
    <w:qFormat/>
    <w:uiPriority w:val="0"/>
  </w:style>
  <w:style w:type="paragraph" w:styleId="11">
    <w:name w:val="List Paragraph"/>
    <w:basedOn w:val="1"/>
    <w:qFormat/>
    <w:uiPriority w:val="34"/>
    <w:pPr>
      <w:widowControl/>
      <w:ind w:firstLine="420" w:firstLineChars="200"/>
      <w:jc w:val="left"/>
    </w:pPr>
    <w:rPr>
      <w:rFonts w:ascii="Times New Roman" w:hAnsi="Times New Roman" w:eastAsiaTheme="minorEastAsia"/>
      <w:sz w:val="24"/>
    </w:rPr>
  </w:style>
  <w:style w:type="character" w:customStyle="1" w:styleId="12">
    <w:name w:val="页脚 Char"/>
    <w:basedOn w:val="9"/>
    <w:link w:val="3"/>
    <w:qFormat/>
    <w:uiPriority w:val="99"/>
    <w:rPr>
      <w:kern w:val="2"/>
      <w:sz w:val="18"/>
      <w:szCs w:val="18"/>
    </w:rPr>
  </w:style>
  <w:style w:type="character" w:customStyle="1" w:styleId="13">
    <w:name w:val="font41"/>
    <w:basedOn w:val="9"/>
    <w:qFormat/>
    <w:uiPriority w:val="0"/>
    <w:rPr>
      <w:rFonts w:hint="eastAsia" w:ascii="宋体" w:hAnsi="宋体" w:eastAsia="宋体" w:cs="宋体"/>
      <w:color w:val="000000"/>
      <w:sz w:val="18"/>
      <w:szCs w:val="18"/>
      <w:u w:val="none"/>
    </w:rPr>
  </w:style>
  <w:style w:type="character" w:customStyle="1" w:styleId="14">
    <w:name w:val="font51"/>
    <w:basedOn w:val="9"/>
    <w:qFormat/>
    <w:uiPriority w:val="0"/>
    <w:rPr>
      <w:rFonts w:hint="default" w:ascii="Times New Roman" w:hAnsi="Times New Roman" w:cs="Times New Roman"/>
      <w:color w:val="000000"/>
      <w:sz w:val="18"/>
      <w:szCs w:val="18"/>
      <w:u w:val="none"/>
    </w:rPr>
  </w:style>
  <w:style w:type="character" w:customStyle="1" w:styleId="15">
    <w:name w:val="font71"/>
    <w:basedOn w:val="9"/>
    <w:qFormat/>
    <w:uiPriority w:val="0"/>
    <w:rPr>
      <w:rFonts w:hint="eastAsia" w:ascii="宋体" w:hAnsi="宋体" w:eastAsia="宋体" w:cs="宋体"/>
      <w:color w:val="000000"/>
      <w:sz w:val="18"/>
      <w:szCs w:val="18"/>
      <w:u w:val="none"/>
    </w:rPr>
  </w:style>
  <w:style w:type="character" w:customStyle="1" w:styleId="16">
    <w:name w:val="font61"/>
    <w:basedOn w:val="9"/>
    <w:qFormat/>
    <w:uiPriority w:val="0"/>
    <w:rPr>
      <w:rFonts w:hint="default" w:ascii="Times New Roman" w:hAnsi="Times New Roman" w:cs="Times New Roman"/>
      <w:color w:val="000000"/>
      <w:sz w:val="18"/>
      <w:szCs w:val="18"/>
      <w:u w:val="none"/>
    </w:rPr>
  </w:style>
  <w:style w:type="character" w:customStyle="1" w:styleId="17">
    <w:name w:val="font11"/>
    <w:basedOn w:val="9"/>
    <w:qFormat/>
    <w:uiPriority w:val="0"/>
    <w:rPr>
      <w:rFonts w:hint="eastAsia" w:ascii="宋体" w:hAnsi="宋体" w:eastAsia="宋体" w:cs="宋体"/>
      <w:color w:val="000000"/>
      <w:sz w:val="18"/>
      <w:szCs w:val="18"/>
      <w:u w:val="none"/>
    </w:rPr>
  </w:style>
  <w:style w:type="character" w:customStyle="1" w:styleId="18">
    <w:name w:val="font81"/>
    <w:basedOn w:val="9"/>
    <w:qFormat/>
    <w:uiPriority w:val="0"/>
    <w:rPr>
      <w:rFonts w:hint="default" w:ascii="Times New Roman" w:hAnsi="Times New Roman" w:cs="Times New Roman"/>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 (Beijing) Limited</Company>
  <Pages>15</Pages>
  <Words>1194</Words>
  <Characters>6806</Characters>
  <Lines>56</Lines>
  <Paragraphs>15</Paragraphs>
  <TotalTime>4</TotalTime>
  <ScaleCrop>false</ScaleCrop>
  <LinksUpToDate>false</LinksUpToDate>
  <CharactersWithSpaces>7985</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2022-12-30T00:27:00Z</dcterms:created>
  <dc:creator>何阳之</dc:creator>
  <cp:lastModifiedBy>粉色回忆</cp:lastModifiedBy>
  <cp:lastPrinted>2024-02-29T01:34:00Z</cp:lastPrinted>
  <dcterms:modified xsi:type="dcterms:W3CDTF">2024-04-07T13:37:32Z</dcterms:modified>
  <dc:title>湖南省财政厅文件</dc:title>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D93C2C2FA7EB4086811843B25298A221_13</vt:lpwstr>
  </property>
</Properties>
</file>