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uto"/>
        <w:ind w:right="641"/>
        <w:rPr>
          <w:rFonts w:hint="eastAsia" w:ascii="黑体" w:eastAsia="黑体"/>
          <w:sz w:val="32"/>
          <w:szCs w:val="32"/>
          <w:lang w:eastAsia="zh-CN"/>
        </w:rPr>
      </w:pPr>
      <w:r>
        <w:rPr>
          <w:rFonts w:hint="eastAsia" w:ascii="黑体" w:eastAsia="黑体"/>
          <w:sz w:val="32"/>
          <w:szCs w:val="32"/>
          <w:lang w:eastAsia="zh-CN"/>
        </w:rPr>
        <w:drawing>
          <wp:inline distT="0" distB="0" distL="114300" distR="114300">
            <wp:extent cx="5759450" cy="7920990"/>
            <wp:effectExtent l="0" t="0" r="12700" b="3810"/>
            <wp:docPr id="1" name="图片 1"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001"/>
                    <pic:cNvPicPr>
                      <a:picLocks noChangeAspect="1"/>
                    </pic:cNvPicPr>
                  </pic:nvPicPr>
                  <pic:blipFill>
                    <a:blip r:embed="rId5"/>
                    <a:stretch>
                      <a:fillRect/>
                    </a:stretch>
                  </pic:blipFill>
                  <pic:spPr>
                    <a:xfrm>
                      <a:off x="0" y="0"/>
                      <a:ext cx="5759450" cy="7920990"/>
                    </a:xfrm>
                    <a:prstGeom prst="rect">
                      <a:avLst/>
                    </a:prstGeom>
                  </pic:spPr>
                </pic:pic>
              </a:graphicData>
            </a:graphic>
          </wp:inline>
        </w:drawing>
      </w: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lang w:val="en-US" w:eastAsia="zh-CN"/>
        </w:rPr>
      </w:pPr>
      <w:bookmarkStart w:id="0" w:name="_GoBack"/>
      <w:bookmarkEnd w:id="0"/>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邵阳县金称市镇人民政府</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28</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rPr>
          <w:rFonts w:hint="eastAsia" w:ascii="黑体" w:eastAsia="黑体"/>
          <w:sz w:val="32"/>
          <w:szCs w:val="32"/>
          <w:lang w:val="en-US" w:eastAsia="zh-CN"/>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adjustRightInd w:val="0"/>
        <w:spacing w:line="600" w:lineRule="exact"/>
        <w:ind w:right="641"/>
        <w:jc w:val="center"/>
        <w:rPr>
          <w:rFonts w:eastAsia="方正小标宋_GBK"/>
          <w:sz w:val="36"/>
          <w:szCs w:val="36"/>
        </w:rPr>
      </w:pPr>
    </w:p>
    <w:p>
      <w:pPr>
        <w:widowControl/>
        <w:spacing w:line="600" w:lineRule="exact"/>
        <w:ind w:firstLine="645"/>
        <w:jc w:val="left"/>
        <w:rPr>
          <w:rFonts w:hint="eastAsia" w:eastAsia="黑体"/>
          <w:sz w:val="32"/>
          <w:szCs w:val="32"/>
        </w:rPr>
      </w:pPr>
      <w:r>
        <w:rPr>
          <w:rFonts w:hint="eastAsia" w:eastAsia="黑体"/>
          <w:sz w:val="32"/>
          <w:szCs w:val="32"/>
        </w:rPr>
        <w:t>一、部门、单位基本情况</w:t>
      </w:r>
    </w:p>
    <w:p>
      <w:pPr>
        <w:adjustRightInd w:val="0"/>
        <w:snapToGrid w:val="0"/>
        <w:spacing w:line="6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邵阳县金称市镇人民政府单位内设机构包括“五办一所四中心一大队一站”：党政综合办公室、基层党建办公室、经济发展办公室、社会事务办公室、社会治安和应该管理办公室、财政所、政务和社会事务综合服务中心、农业综合服务中心、生态环境事务中心、自然资源和村镇建设事务中心、综合行政执法大队、退役军人事务站。</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人员编制情况</w:t>
      </w:r>
    </w:p>
    <w:p>
      <w:pPr>
        <w:adjustRightInd w:val="0"/>
        <w:snapToGrid w:val="0"/>
        <w:spacing w:line="600" w:lineRule="exact"/>
        <w:ind w:firstLine="640" w:firstLineChars="200"/>
        <w:rPr>
          <w:rFonts w:hint="default" w:eastAsia="仿宋_GB2312"/>
          <w:sz w:val="32"/>
          <w:szCs w:val="32"/>
          <w:lang w:val="en-US" w:eastAsia="zh-CN"/>
        </w:rPr>
      </w:pPr>
      <w:r>
        <w:rPr>
          <w:rFonts w:hint="eastAsia" w:ascii="仿宋" w:hAnsi="仿宋" w:eastAsia="仿宋" w:cs="仿宋"/>
          <w:color w:val="auto"/>
          <w:kern w:val="0"/>
          <w:sz w:val="32"/>
          <w:szCs w:val="32"/>
          <w:lang w:val="en-US" w:eastAsia="zh-CN"/>
        </w:rPr>
        <w:t>2023年金称市镇人民政府</w:t>
      </w:r>
      <w:r>
        <w:rPr>
          <w:rFonts w:hint="eastAsia" w:eastAsia="仿宋_GB2312"/>
          <w:sz w:val="32"/>
          <w:szCs w:val="32"/>
          <w:lang w:val="en-US" w:eastAsia="zh-CN"/>
        </w:rPr>
        <w:t>编制人数111人，其中行政编制36人，事业编制75人。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bCs/>
          <w:sz w:val="32"/>
          <w:szCs w:val="32"/>
        </w:rPr>
      </w:pPr>
      <w:r>
        <w:rPr>
          <w:rFonts w:hint="eastAsia" w:ascii="仿宋" w:hAnsi="仿宋" w:eastAsia="仿宋" w:cs="仿宋"/>
          <w:color w:val="auto"/>
          <w:kern w:val="0"/>
          <w:sz w:val="32"/>
          <w:szCs w:val="32"/>
          <w:lang w:val="en-US" w:eastAsia="zh-CN"/>
        </w:rPr>
        <w:t>在职实有人数114人，其中行政编制36人，全额事业人员编制75人，差额拨款及定额补助人员3人；实有公务车辆1辆。</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kern w:val="0"/>
          <w:sz w:val="32"/>
          <w:szCs w:val="32"/>
          <w:lang w:val="en-US" w:eastAsia="zh-CN"/>
        </w:rPr>
      </w:pPr>
      <w:r>
        <w:rPr>
          <w:rFonts w:hint="eastAsia" w:ascii="楷体" w:hAnsi="楷体" w:eastAsia="楷体" w:cs="楷体"/>
          <w:b/>
          <w:bCs/>
          <w:sz w:val="32"/>
          <w:szCs w:val="32"/>
        </w:rPr>
        <w:t>主要职能职责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1.宣传和贯彻执行党的路线方针政策和法律法规；制定地主经济社会发展规划和年度计划实施；坚持依法行政，推进民主政治，加强基层政权建设；做好农业、农村、农民和社区工作。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规范经济管理，组织指导经济发展和经济结构调整。加强综合生产能力建设；健全社会化服务体系，完善产业支持保护体系，推进产业现代化；着力提升经济发展的质量和水平，发展壮大村级经济，增加村（居）民收入不断提高人民生活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加强社会管理和基础设施建设，创造良好环境。推进政务、村（居）务公开；抓好卫生健康工作，保障妇女儿童合法权益；加强自然资源管理、生态环境保护和修复等工作；加强人民武装、民族宗教等工作；强化安全生产和公共安全，组织抢险救灾、优抚救助，及时上报和处置重大社情、疫情、险情等，保护人民群众的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5.发展公益事业，强化公共服务，搞好公共设施建设，开展社会保障服务，着力解决群众生产生活中的问题；发展科教文卫事业，促进精神文明建设；制订公共服务事项目录清单，加强公共服务体系建设。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加强综合治理，维护社会稳定。调解民事纠纷、化解社会矛盾，接待上访群众，处理群体性突发事件，保证社会公正，维护社会秩序和社会稳定。指导村（居）民自治，推动基层社会建设，促进社会组织健康发展，增强社会自治功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7.按照管理权限，负责机关和事业单位工作人员教育、培养、选拨和监督工作。协助管理好派驻单位人员。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8.依法依规承担下放的经济社会管理权限和行政执法事项。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9.行使《中华人民共和国地方各级人民代表大会和地方各级人民政府组织法》等法律法规赋予的职权。</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widowControl/>
        <w:spacing w:line="600" w:lineRule="exact"/>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在收支预算内，确保完成以下整体目标：</w:t>
      </w:r>
    </w:p>
    <w:p>
      <w:pPr>
        <w:widowControl/>
        <w:spacing w:line="600" w:lineRule="exact"/>
        <w:ind w:left="638" w:leftChars="304" w:firstLine="0" w:firstLineChars="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目标1：保障人员支出和单位正常运转</w:t>
      </w:r>
    </w:p>
    <w:p>
      <w:pPr>
        <w:widowControl/>
        <w:spacing w:line="600" w:lineRule="exact"/>
        <w:ind w:left="638" w:leftChars="304" w:firstLine="0" w:firstLineChars="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目标2：严格按照财务规章制度做好各项支出</w:t>
      </w:r>
    </w:p>
    <w:p>
      <w:pPr>
        <w:widowControl/>
        <w:spacing w:line="600" w:lineRule="exact"/>
        <w:ind w:left="638" w:leftChars="304" w:firstLine="0" w:firstLineChars="0"/>
        <w:jc w:val="left"/>
        <w:rPr>
          <w:rFonts w:hint="eastAsia"/>
        </w:rPr>
      </w:pPr>
      <w:r>
        <w:rPr>
          <w:rFonts w:hint="eastAsia" w:ascii="Calibri" w:hAnsi="Calibri" w:eastAsia="仿宋_GB2312" w:cs="Times New Roman"/>
          <w:kern w:val="2"/>
          <w:sz w:val="32"/>
          <w:szCs w:val="32"/>
          <w:lang w:val="en-US" w:eastAsia="zh-CN" w:bidi="ar-SA"/>
        </w:rPr>
        <w:t>目标3：加强财务监督，杜绝不合理开支，确保三公经费只降不升</w:t>
      </w:r>
    </w:p>
    <w:p>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pPr>
        <w:pageBreakBefore w:val="0"/>
        <w:kinsoku/>
        <w:wordWrap/>
        <w:overflowPunct/>
        <w:topLinePunct w:val="0"/>
        <w:autoSpaceDE/>
        <w:autoSpaceDN/>
        <w:bidi w:val="0"/>
        <w:adjustRightInd/>
        <w:spacing w:line="560" w:lineRule="exact"/>
        <w:ind w:firstLine="482" w:firstLineChars="15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pageBreakBefore w:val="0"/>
        <w:kinsoku/>
        <w:wordWrap/>
        <w:overflowPunct/>
        <w:topLinePunct w:val="0"/>
        <w:autoSpaceDE/>
        <w:autoSpaceDN/>
        <w:bidi w:val="0"/>
        <w:adjustRightInd/>
        <w:spacing w:line="560" w:lineRule="exact"/>
        <w:ind w:firstLine="480" w:firstLineChars="150"/>
        <w:jc w:val="left"/>
        <w:textAlignment w:val="auto"/>
        <w:rPr>
          <w:rFonts w:hint="eastAsia" w:ascii="楷体" w:hAnsi="楷体" w:eastAsia="楷体" w:cs="楷体"/>
          <w:b/>
          <w:bCs/>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年年初预算批复的基本支出为</w:t>
      </w:r>
      <w:r>
        <w:rPr>
          <w:rFonts w:hint="eastAsia" w:ascii="仿宋_GB2312" w:hAnsi="仿宋_GB2312" w:eastAsia="仿宋_GB2312" w:cs="仿宋_GB2312"/>
          <w:sz w:val="32"/>
          <w:szCs w:val="32"/>
          <w:lang w:val="en-US" w:eastAsia="zh-CN"/>
        </w:rPr>
        <w:t>1696.82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1332.05</w:t>
      </w:r>
      <w:r>
        <w:rPr>
          <w:rFonts w:hint="eastAsia" w:ascii="仿宋_GB2312" w:hAnsi="仿宋_GB2312" w:eastAsia="仿宋_GB2312" w:cs="仿宋_GB2312"/>
          <w:sz w:val="32"/>
          <w:szCs w:val="32"/>
        </w:rPr>
        <w:t>万元,商品和福利支出</w:t>
      </w:r>
      <w:r>
        <w:rPr>
          <w:rFonts w:hint="eastAsia" w:ascii="仿宋_GB2312" w:hAnsi="仿宋_GB2312" w:eastAsia="仿宋_GB2312" w:cs="仿宋_GB2312"/>
          <w:sz w:val="32"/>
          <w:szCs w:val="32"/>
          <w:lang w:val="en-US" w:eastAsia="zh-CN"/>
        </w:rPr>
        <w:t>293.7</w:t>
      </w:r>
      <w:r>
        <w:rPr>
          <w:rFonts w:hint="eastAsia" w:ascii="仿宋_GB2312" w:hAnsi="仿宋_GB2312" w:eastAsia="仿宋_GB2312" w:cs="仿宋_GB2312"/>
          <w:sz w:val="32"/>
          <w:szCs w:val="32"/>
        </w:rPr>
        <w:t>万元,对个人和家庭补助支出</w:t>
      </w:r>
      <w:r>
        <w:rPr>
          <w:rFonts w:hint="eastAsia" w:ascii="仿宋_GB2312" w:hAnsi="仿宋_GB2312" w:eastAsia="仿宋_GB2312" w:cs="仿宋_GB2312"/>
          <w:sz w:val="32"/>
          <w:szCs w:val="32"/>
          <w:lang w:val="en-US" w:eastAsia="zh-CN"/>
        </w:rPr>
        <w:t>71.07</w:t>
      </w:r>
      <w:r>
        <w:rPr>
          <w:rFonts w:hint="eastAsia" w:ascii="仿宋_GB2312" w:hAnsi="仿宋_GB2312" w:eastAsia="仿宋_GB2312" w:cs="仿宋_GB2312"/>
          <w:sz w:val="32"/>
          <w:szCs w:val="32"/>
        </w:rPr>
        <w:t>万元。</w:t>
      </w:r>
    </w:p>
    <w:p>
      <w:pPr>
        <w:widowControl/>
        <w:spacing w:line="600" w:lineRule="exact"/>
        <w:ind w:firstLine="645"/>
        <w:jc w:val="left"/>
        <w:rPr>
          <w:rFonts w:hint="eastAsia" w:eastAsia="仿宋_GB2312"/>
          <w:sz w:val="32"/>
          <w:szCs w:val="32"/>
        </w:rPr>
      </w:pPr>
      <w:r>
        <w:rPr>
          <w:rFonts w:hint="eastAsia" w:ascii="楷体" w:hAnsi="楷体" w:eastAsia="楷体" w:cs="楷体"/>
          <w:b/>
          <w:bCs/>
          <w:sz w:val="32"/>
          <w:szCs w:val="32"/>
        </w:rPr>
        <w:t>（二）部门预算执行情况</w:t>
      </w:r>
    </w:p>
    <w:p>
      <w:pPr>
        <w:pStyle w:val="11"/>
        <w:spacing w:line="560" w:lineRule="exact"/>
        <w:rPr>
          <w:rFonts w:hint="eastAsia" w:eastAsia="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年决算总支出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2648.82</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1489.24</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870.86</w:t>
      </w:r>
      <w:r>
        <w:rPr>
          <w:rFonts w:hint="eastAsia" w:ascii="仿宋_GB2312" w:hAnsi="仿宋_GB2312" w:eastAsia="仿宋_GB2312" w:cs="仿宋_GB2312"/>
          <w:color w:val="000000" w:themeColor="text1"/>
          <w:sz w:val="32"/>
          <w:szCs w:val="32"/>
          <w14:textFill>
            <w14:solidFill>
              <w14:schemeClr w14:val="tx1"/>
            </w14:solidFill>
          </w14:textFill>
        </w:rPr>
        <w:t>万元、对个人和家庭的补助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169.81</w:t>
      </w:r>
      <w:r>
        <w:rPr>
          <w:rFonts w:hint="eastAsia" w:ascii="仿宋_GB2312" w:hAnsi="仿宋_GB2312" w:eastAsia="仿宋_GB2312" w:cs="仿宋_GB2312"/>
          <w:color w:val="000000" w:themeColor="text1"/>
          <w:sz w:val="32"/>
          <w:szCs w:val="32"/>
          <w14:textFill>
            <w14:solidFill>
              <w14:schemeClr w14:val="tx1"/>
            </w14:solidFill>
          </w14:textFill>
        </w:rPr>
        <w:t>万元、资本性支出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118.91</w:t>
      </w:r>
      <w:r>
        <w:rPr>
          <w:rFonts w:hint="eastAsia" w:ascii="仿宋_GB2312" w:hAnsi="仿宋_GB2312" w:eastAsia="仿宋_GB2312" w:cs="仿宋_GB2312"/>
          <w:color w:val="000000" w:themeColor="text1"/>
          <w:sz w:val="32"/>
          <w:szCs w:val="32"/>
          <w14:textFill>
            <w14:solidFill>
              <w14:schemeClr w14:val="tx1"/>
            </w14:solidFill>
          </w14:textFill>
        </w:rPr>
        <w:t>万元。</w:t>
      </w:r>
    </w:p>
    <w:p>
      <w:pPr>
        <w:adjustRightInd w:val="0"/>
        <w:snapToGrid w:val="0"/>
        <w:spacing w:line="6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pPr>
        <w:adjustRightInd w:val="0"/>
        <w:snapToGrid w:val="0"/>
        <w:spacing w:line="600" w:lineRule="exact"/>
        <w:ind w:firstLine="640" w:firstLineChars="200"/>
        <w:rPr>
          <w:rFonts w:hint="eastAsia" w:ascii="楷体" w:hAnsi="楷体" w:eastAsia="楷体" w:cs="楷体"/>
          <w:b/>
          <w:bCs/>
          <w:sz w:val="32"/>
          <w:szCs w:val="32"/>
        </w:rPr>
      </w:pPr>
      <w:r>
        <w:rPr>
          <w:rFonts w:hint="eastAsia" w:ascii="Calibri" w:hAnsi="Calibri" w:eastAsia="仿宋_GB2312" w:cs="Times New Roman"/>
          <w:kern w:val="2"/>
          <w:sz w:val="32"/>
          <w:szCs w:val="32"/>
          <w:lang w:val="en-US" w:eastAsia="zh-CN" w:bidi="ar-SA"/>
        </w:rPr>
        <w:t>20</w:t>
      </w:r>
      <w:r>
        <w:rPr>
          <w:rFonts w:hint="eastAsia" w:eastAsia="仿宋_GB2312" w:cs="Times New Roman"/>
          <w:kern w:val="2"/>
          <w:sz w:val="32"/>
          <w:szCs w:val="32"/>
          <w:lang w:val="en-US" w:eastAsia="zh-CN" w:bidi="ar-SA"/>
        </w:rPr>
        <w:t>23</w:t>
      </w:r>
      <w:r>
        <w:rPr>
          <w:rFonts w:hint="eastAsia" w:ascii="Calibri" w:hAnsi="Calibri" w:eastAsia="仿宋_GB2312" w:cs="Times New Roman"/>
          <w:kern w:val="2"/>
          <w:sz w:val="32"/>
          <w:szCs w:val="32"/>
          <w:lang w:val="en-US" w:eastAsia="zh-CN" w:bidi="ar-SA"/>
        </w:rPr>
        <w:t>年“三公”经费预算数为</w:t>
      </w:r>
      <w:r>
        <w:rPr>
          <w:rFonts w:hint="eastAsia" w:eastAsia="仿宋_GB2312" w:cs="Times New Roman"/>
          <w:kern w:val="2"/>
          <w:sz w:val="32"/>
          <w:szCs w:val="32"/>
          <w:lang w:val="en-US" w:eastAsia="zh-CN" w:bidi="ar-SA"/>
        </w:rPr>
        <w:t>17.89</w:t>
      </w:r>
      <w:r>
        <w:rPr>
          <w:rFonts w:hint="eastAsia" w:ascii="Calibri" w:hAnsi="Calibri" w:eastAsia="仿宋_GB2312" w:cs="Times New Roman"/>
          <w:kern w:val="2"/>
          <w:sz w:val="32"/>
          <w:szCs w:val="32"/>
          <w:lang w:val="en-US" w:eastAsia="zh-CN" w:bidi="ar-SA"/>
        </w:rPr>
        <w:t>万元，其中：因公出国（境）费0万元，公务用车购置及运行费</w:t>
      </w:r>
      <w:r>
        <w:rPr>
          <w:rFonts w:hint="eastAsia" w:eastAsia="仿宋_GB2312" w:cs="Times New Roman"/>
          <w:kern w:val="2"/>
          <w:sz w:val="32"/>
          <w:szCs w:val="32"/>
          <w:lang w:val="en-US" w:eastAsia="zh-CN" w:bidi="ar-SA"/>
        </w:rPr>
        <w:t>0</w:t>
      </w:r>
      <w:r>
        <w:rPr>
          <w:rFonts w:hint="eastAsia" w:ascii="Calibri" w:hAnsi="Calibri" w:eastAsia="仿宋_GB2312" w:cs="Times New Roman"/>
          <w:kern w:val="2"/>
          <w:sz w:val="32"/>
          <w:szCs w:val="32"/>
          <w:lang w:val="en-US" w:eastAsia="zh-CN" w:bidi="ar-SA"/>
        </w:rPr>
        <w:t>万元（公务用车购置费0万元，公务用车运行费</w:t>
      </w:r>
      <w:r>
        <w:rPr>
          <w:rFonts w:hint="eastAsia" w:eastAsia="仿宋_GB2312" w:cs="Times New Roman"/>
          <w:kern w:val="2"/>
          <w:sz w:val="32"/>
          <w:szCs w:val="32"/>
          <w:lang w:val="en-US" w:eastAsia="zh-CN" w:bidi="ar-SA"/>
        </w:rPr>
        <w:t>0</w:t>
      </w:r>
      <w:r>
        <w:rPr>
          <w:rFonts w:hint="eastAsia" w:ascii="Calibri" w:hAnsi="Calibri" w:eastAsia="仿宋_GB2312" w:cs="Times New Roman"/>
          <w:kern w:val="2"/>
          <w:sz w:val="32"/>
          <w:szCs w:val="32"/>
          <w:lang w:val="en-US" w:eastAsia="zh-CN" w:bidi="ar-SA"/>
        </w:rPr>
        <w:t>万元），公务接待费</w:t>
      </w:r>
      <w:r>
        <w:rPr>
          <w:rFonts w:hint="eastAsia" w:eastAsia="仿宋_GB2312" w:cs="Times New Roman"/>
          <w:kern w:val="2"/>
          <w:sz w:val="32"/>
          <w:szCs w:val="32"/>
          <w:lang w:val="en-US" w:eastAsia="zh-CN" w:bidi="ar-SA"/>
        </w:rPr>
        <w:t>17.89</w:t>
      </w:r>
      <w:r>
        <w:rPr>
          <w:rFonts w:hint="eastAsia" w:ascii="Calibri" w:hAnsi="Calibri" w:eastAsia="仿宋_GB2312" w:cs="Times New Roman"/>
          <w:kern w:val="2"/>
          <w:sz w:val="32"/>
          <w:szCs w:val="32"/>
          <w:lang w:val="en-US" w:eastAsia="zh-CN" w:bidi="ar-SA"/>
        </w:rPr>
        <w:t>万元。</w:t>
      </w:r>
    </w:p>
    <w:p>
      <w:pPr>
        <w:widowControl/>
        <w:numPr>
          <w:ilvl w:val="0"/>
          <w:numId w:val="1"/>
        </w:numPr>
        <w:spacing w:line="600" w:lineRule="exact"/>
        <w:ind w:left="0" w:leftChars="0"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bCs/>
          <w:sz w:val="32"/>
          <w:szCs w:val="32"/>
        </w:rPr>
      </w:pPr>
      <w:r>
        <w:rPr>
          <w:rFonts w:hint="eastAsia" w:ascii="仿宋_GB2312" w:hAnsi="仿宋_GB2312" w:eastAsia="仿宋_GB2312" w:cs="仿宋_GB2312"/>
          <w:color w:val="auto"/>
          <w:kern w:val="2"/>
          <w:sz w:val="32"/>
          <w:szCs w:val="32"/>
          <w:lang w:val="en-US" w:eastAsia="zh-CN" w:bidi="ar-SA"/>
        </w:rPr>
        <w:t>使用非财政拨款结余和专用结余0万元，年初结转和结余0万元，本年收入2648.82万元，本年支出2648.82万元，年末结转结余0万元。</w:t>
      </w:r>
    </w:p>
    <w:p>
      <w:pPr>
        <w:widowControl/>
        <w:numPr>
          <w:ilvl w:val="0"/>
          <w:numId w:val="2"/>
        </w:numPr>
        <w:spacing w:line="600" w:lineRule="exact"/>
        <w:ind w:firstLine="645"/>
        <w:jc w:val="left"/>
        <w:rPr>
          <w:rFonts w:hint="eastAsia" w:eastAsia="黑体"/>
          <w:sz w:val="32"/>
          <w:szCs w:val="32"/>
        </w:rPr>
      </w:pPr>
      <w:r>
        <w:rPr>
          <w:rFonts w:hint="eastAsia" w:eastAsia="黑体"/>
          <w:sz w:val="32"/>
          <w:szCs w:val="32"/>
        </w:rPr>
        <w:t>政府性基金预算支出情况</w:t>
      </w:r>
    </w:p>
    <w:p>
      <w:pPr>
        <w:pStyle w:val="11"/>
        <w:numPr>
          <w:ilvl w:val="0"/>
          <w:numId w:val="0"/>
        </w:numPr>
        <w:spacing w:line="560" w:lineRule="exact"/>
        <w:ind w:left="640" w:leftChars="0"/>
        <w:rPr>
          <w:rFonts w:hint="eastAsia"/>
        </w:rPr>
      </w:pPr>
      <w:r>
        <w:rPr>
          <w:rFonts w:hint="eastAsia" w:ascii="Calibri" w:hAnsi="Calibri" w:eastAsia="仿宋_GB2312" w:cs="Times New Roman"/>
          <w:kern w:val="2"/>
          <w:sz w:val="32"/>
          <w:szCs w:val="32"/>
          <w:lang w:val="en-US" w:eastAsia="zh-CN" w:bidi="ar-SA"/>
        </w:rPr>
        <w:t>无政府性基金预算。</w:t>
      </w:r>
    </w:p>
    <w:p>
      <w:pPr>
        <w:widowControl/>
        <w:numPr>
          <w:ilvl w:val="0"/>
          <w:numId w:val="2"/>
        </w:numPr>
        <w:spacing w:line="600" w:lineRule="exact"/>
        <w:ind w:left="0" w:leftChars="0" w:firstLine="645" w:firstLineChars="0"/>
        <w:jc w:val="left"/>
        <w:rPr>
          <w:rFonts w:hint="eastAsia" w:eastAsia="黑体"/>
          <w:sz w:val="32"/>
          <w:szCs w:val="32"/>
        </w:rPr>
      </w:pPr>
      <w:r>
        <w:rPr>
          <w:rFonts w:hint="eastAsia" w:eastAsia="黑体"/>
          <w:sz w:val="32"/>
          <w:szCs w:val="32"/>
        </w:rPr>
        <w:t>国有资本经营预算支出情况</w:t>
      </w:r>
    </w:p>
    <w:p>
      <w:pPr>
        <w:pStyle w:val="11"/>
        <w:numPr>
          <w:ilvl w:val="0"/>
          <w:numId w:val="0"/>
        </w:numPr>
        <w:spacing w:line="560" w:lineRule="exact"/>
        <w:ind w:left="640" w:leftChars="0"/>
        <w:rPr>
          <w:rFonts w:hint="eastAsia"/>
        </w:rPr>
      </w:pPr>
      <w:r>
        <w:rPr>
          <w:rFonts w:hint="eastAsia" w:ascii="Calibri" w:hAnsi="Calibri" w:eastAsia="仿宋_GB2312" w:cs="Times New Roman"/>
          <w:kern w:val="2"/>
          <w:sz w:val="32"/>
          <w:szCs w:val="32"/>
          <w:lang w:val="en-US" w:eastAsia="zh-CN" w:bidi="ar-SA"/>
        </w:rPr>
        <w:t>无国有资本经营预算。</w:t>
      </w:r>
    </w:p>
    <w:p>
      <w:pPr>
        <w:widowControl/>
        <w:numPr>
          <w:ilvl w:val="0"/>
          <w:numId w:val="2"/>
        </w:numPr>
        <w:spacing w:line="600" w:lineRule="exact"/>
        <w:ind w:left="0" w:leftChars="0" w:firstLine="645" w:firstLineChars="0"/>
        <w:jc w:val="left"/>
        <w:rPr>
          <w:rFonts w:hint="eastAsia" w:eastAsia="黑体"/>
          <w:sz w:val="32"/>
          <w:szCs w:val="32"/>
        </w:rPr>
      </w:pPr>
      <w:r>
        <w:rPr>
          <w:rFonts w:hint="eastAsia" w:eastAsia="黑体"/>
          <w:sz w:val="32"/>
          <w:szCs w:val="32"/>
        </w:rPr>
        <w:t>社会保险基金预算支出情况</w:t>
      </w:r>
    </w:p>
    <w:p>
      <w:pPr>
        <w:pStyle w:val="6"/>
        <w:numPr>
          <w:ilvl w:val="0"/>
          <w:numId w:val="0"/>
        </w:numPr>
        <w:ind w:left="645" w:leftChars="0"/>
        <w:rPr>
          <w:rFonts w:hint="eastAsia"/>
        </w:rPr>
      </w:pPr>
      <w:r>
        <w:rPr>
          <w:rFonts w:hint="eastAsia" w:eastAsia="仿宋_GB2312" w:cs="Times New Roman"/>
          <w:sz w:val="32"/>
          <w:szCs w:val="32"/>
          <w:lang w:val="en-US" w:eastAsia="zh-CN"/>
        </w:rPr>
        <w:t>无社会保险基金预算</w:t>
      </w:r>
      <w:r>
        <w:rPr>
          <w:rFonts w:hint="eastAsia" w:cs="Times New Roman"/>
          <w:sz w:val="32"/>
          <w:szCs w:val="32"/>
          <w:lang w:val="en-US" w:eastAsia="zh-CN"/>
        </w:rPr>
        <w:t>。</w:t>
      </w:r>
    </w:p>
    <w:p>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（一）综合评价结论。</w:t>
      </w:r>
    </w:p>
    <w:p>
      <w:pPr>
        <w:widowControl/>
        <w:spacing w:line="600" w:lineRule="exact"/>
        <w:ind w:firstLine="645"/>
        <w:jc w:val="left"/>
        <w:rPr>
          <w:rFonts w:hint="eastAsia" w:ascii="楷体" w:hAnsi="楷体" w:eastAsia="楷体" w:cs="楷体"/>
          <w:b/>
          <w:bCs/>
          <w:sz w:val="32"/>
          <w:szCs w:val="32"/>
        </w:rPr>
      </w:pPr>
      <w:r>
        <w:rPr>
          <w:rFonts w:hint="eastAsia" w:ascii="仿宋" w:hAnsi="仿宋" w:eastAsia="仿宋" w:cs="仿宋"/>
          <w:i w:val="0"/>
          <w:iCs w:val="0"/>
          <w:caps w:val="0"/>
          <w:color w:val="333333"/>
          <w:spacing w:val="0"/>
          <w:sz w:val="32"/>
          <w:szCs w:val="32"/>
          <w:lang w:val="en-US" w:eastAsia="zh-CN"/>
        </w:rPr>
        <w:t>2023年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镇</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eastAsia="zh-CN"/>
        </w:rPr>
        <w:t>镇</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部门整体支出绩效自评</w:t>
      </w:r>
      <w:r>
        <w:rPr>
          <w:rFonts w:hint="eastAsia" w:ascii="仿宋" w:hAnsi="仿宋" w:eastAsia="仿宋" w:cs="仿宋"/>
          <w:i w:val="0"/>
          <w:iCs w:val="0"/>
          <w:caps w:val="0"/>
          <w:color w:val="333333"/>
          <w:spacing w:val="-2"/>
          <w:sz w:val="32"/>
          <w:szCs w:val="32"/>
          <w:lang w:val="en-US" w:eastAsia="zh-CN"/>
        </w:rPr>
        <w:t>95</w:t>
      </w:r>
      <w:r>
        <w:rPr>
          <w:rFonts w:hint="eastAsia" w:ascii="仿宋" w:hAnsi="仿宋" w:eastAsia="仿宋" w:cs="仿宋"/>
          <w:i w:val="0"/>
          <w:iCs w:val="0"/>
          <w:caps w:val="0"/>
          <w:color w:val="333333"/>
          <w:spacing w:val="0"/>
          <w:sz w:val="32"/>
          <w:szCs w:val="32"/>
        </w:rPr>
        <w:t>分</w:t>
      </w:r>
      <w:r>
        <w:rPr>
          <w:rFonts w:hint="eastAsia" w:ascii="仿宋_GB2312" w:eastAsia="仿宋_GB2312"/>
          <w:sz w:val="30"/>
          <w:szCs w:val="30"/>
        </w:rPr>
        <w:t>。</w:t>
      </w:r>
    </w:p>
    <w:p>
      <w:pPr>
        <w:widowControl/>
        <w:numPr>
          <w:ilvl w:val="0"/>
          <w:numId w:val="3"/>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评价指标分析（或综合评价情况）。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在县委县政府和镇党委的坚强领导下，我们认真贯彻落实党的二十大和二十届二中全会精神，扎实开展学习贯彻习近平新时代中国特色社会主义思想主题教育，完整准确全面贯彻新发展理念，坚持稳字当头、进字为要、安字托底，凝心聚力、攻坚克难，坚定不移推动高质量追赶发展，各项工作取得新成效、新进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增动力促增收，交出产业发展“高分答卷”。</w:t>
      </w:r>
      <w:r>
        <w:rPr>
          <w:rFonts w:hint="eastAsia" w:ascii="仿宋_GB2312" w:hAnsi="仿宋_GB2312" w:eastAsia="仿宋_GB2312" w:cs="仿宋_GB2312"/>
          <w:sz w:val="32"/>
          <w:szCs w:val="32"/>
          <w:lang w:val="en-US" w:eastAsia="zh-CN"/>
        </w:rPr>
        <w:t>坚持产业兴镇不动摇，产业体系持续完善。</w:t>
      </w:r>
      <w:r>
        <w:rPr>
          <w:rFonts w:hint="eastAsia" w:ascii="仿宋_GB2312" w:hAnsi="仿宋_GB2312" w:eastAsia="仿宋_GB2312" w:cs="仿宋_GB2312"/>
          <w:b/>
          <w:bCs/>
          <w:sz w:val="32"/>
          <w:szCs w:val="32"/>
        </w:rPr>
        <w:t>一是经济运行稳</w:t>
      </w:r>
      <w:r>
        <w:rPr>
          <w:rFonts w:hint="eastAsia" w:ascii="仿宋_GB2312" w:hAnsi="仿宋_GB2312" w:eastAsia="仿宋_GB2312" w:cs="仿宋_GB2312"/>
          <w:b/>
          <w:bCs/>
          <w:sz w:val="32"/>
          <w:szCs w:val="32"/>
          <w:lang w:val="en-US" w:eastAsia="zh-CN"/>
        </w:rPr>
        <w:t>中向好</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全镇实现财政收入2648.8万元，完成地方一般预算收入1748.1万元，同比增长19.1%；完成全社会固定资产投入2.3亿元；社会消费品零售额总额达2.02亿元，同比增长6.17%。</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b/>
          <w:bCs/>
          <w:sz w:val="32"/>
          <w:szCs w:val="32"/>
          <w:lang w:eastAsia="zh-CN"/>
        </w:rPr>
        <w:t>是特色产业茁壮成长。</w:t>
      </w:r>
      <w:r>
        <w:rPr>
          <w:rFonts w:hint="eastAsia" w:ascii="仿宋_GB2312" w:hAnsi="仿宋_GB2312" w:eastAsia="仿宋_GB2312" w:cs="仿宋_GB2312"/>
          <w:sz w:val="32"/>
          <w:szCs w:val="32"/>
          <w:lang w:val="en-US" w:eastAsia="zh-CN"/>
        </w:rPr>
        <w:t>围绕“一村一品”，打造青石塘村红松茸林下经济产业，大塘村藠头、秀峰村刀豆等特色产业。推进油茶扩面提质增效，新造油茶林1080亩，打造了一个200亩油茶示范基地（社田石子岭）；发展烟叶特色产业，建设1个烟粮合作综合体（金马烟粮合作综合体），全镇种植烤烟3300亩，收购烤烟8000担，实现烟叶总产值1248万元，为财政增收260万元，并获得2023年全市烟叶生产工作先进单位</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lang w:eastAsia="zh-CN"/>
        </w:rPr>
        <w:t>现代农业加快推进。</w:t>
      </w:r>
      <w:r>
        <w:rPr>
          <w:rFonts w:hint="eastAsia" w:ascii="仿宋_GB2312" w:hAnsi="仿宋_GB2312" w:eastAsia="仿宋_GB2312" w:cs="仿宋_GB2312"/>
          <w:sz w:val="32"/>
          <w:szCs w:val="32"/>
          <w:lang w:val="en-US" w:eastAsia="zh-CN"/>
        </w:rPr>
        <w:t>始终把保障粮食安全作为重大政治任务牢牢抓在手上，严格落实耕地保护“长牙齿”硬措施，严守耕地保护红线，全年完成抛荒耕地复垦1127.48亩，耕地恢复1307.06亩，粮食作物播种面积达到4.95万亩以上，较上年增加0.07万亩，总产达到2.17万吨以上。</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夯基础聚合力，交出巩固成果“示范答卷”。</w:t>
      </w:r>
      <w:r>
        <w:rPr>
          <w:rFonts w:hint="eastAsia" w:ascii="仿宋_GB2312" w:hAnsi="仿宋_GB2312" w:eastAsia="仿宋_GB2312" w:cs="仿宋_GB2312"/>
          <w:sz w:val="32"/>
          <w:szCs w:val="32"/>
          <w:lang w:val="en-US" w:eastAsia="zh-CN"/>
        </w:rPr>
        <w:t>坚持把巩固拓展脱贫攻坚成果同乡村振兴有效衔接、防止发生规模性返贫作为首要政治任务和最大民生工程，在重点任务上再下功夫、再添新举。</w:t>
      </w:r>
      <w:r>
        <w:rPr>
          <w:rFonts w:hint="eastAsia" w:ascii="仿宋_GB2312" w:hAnsi="仿宋_GB2312" w:eastAsia="仿宋_GB2312" w:cs="仿宋_GB2312"/>
          <w:b/>
          <w:bCs/>
          <w:sz w:val="32"/>
          <w:szCs w:val="32"/>
        </w:rPr>
        <w:t>一是开展常态化动态监测力度不放松。</w:t>
      </w:r>
      <w:r>
        <w:rPr>
          <w:rFonts w:hint="eastAsia" w:ascii="仿宋_GB2312" w:hAnsi="仿宋_GB2312" w:eastAsia="仿宋_GB2312" w:cs="仿宋_GB2312"/>
          <w:sz w:val="32"/>
          <w:szCs w:val="32"/>
          <w:lang w:val="en-US" w:eastAsia="zh-CN"/>
        </w:rPr>
        <w:t>健全防止返贫动态监测和帮扶机制及时纳入防返贫监测对象114户361人，其中消除风险11户32人；全年处理风险数据875条，新纳入农村低保100户125人，义务教育阶段学生零辍学失学，贫困学生生活补助落实到位，困难群众医疗保险参保率达100%。</w:t>
      </w:r>
      <w:r>
        <w:rPr>
          <w:rFonts w:hint="eastAsia" w:ascii="仿宋_GB2312" w:hAnsi="仿宋_GB2312" w:eastAsia="仿宋_GB2312" w:cs="仿宋_GB2312"/>
          <w:b/>
          <w:bCs/>
          <w:sz w:val="32"/>
          <w:szCs w:val="32"/>
        </w:rPr>
        <w:t>二是落实各项政策促农增收不放松。</w:t>
      </w:r>
      <w:r>
        <w:rPr>
          <w:rFonts w:hint="eastAsia" w:ascii="仿宋_GB2312" w:hAnsi="仿宋_GB2312" w:eastAsia="仿宋_GB2312" w:cs="仿宋_GB2312"/>
          <w:sz w:val="32"/>
          <w:szCs w:val="32"/>
          <w:lang w:val="en-US" w:eastAsia="zh-CN"/>
        </w:rPr>
        <w:t>围绕教育、健康、住房、饮水等方面，狠抓政策落实，定期开展低收入人群房屋动态监测和水样监测，确保低收入人群住房、饮水安全。全年完成农村危房改造8户，安排脱贫劳动力外出务工72人，落实务工补贴50人，提供172个公益性岗位，解决172名脱贫人口就业。</w:t>
      </w:r>
      <w:r>
        <w:rPr>
          <w:rFonts w:hint="eastAsia" w:ascii="仿宋_GB2312" w:hAnsi="仿宋_GB2312" w:eastAsia="仿宋_GB2312" w:cs="仿宋_GB2312"/>
          <w:b/>
          <w:bCs/>
          <w:sz w:val="32"/>
          <w:szCs w:val="32"/>
        </w:rPr>
        <w:t>三是逐步完善农村基础设施</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外修“颜值”、内提“气质”，大力实施道路升级改造、农村生活污水治理、村庄美化绿化等一系列群众看得见、得实惠的基础设施建设工程，着力补齐基础设施短板，不断优化人民群众的生活居住环境。逐步完善农村基础设施，完成公路建设养护项目37个，设置交通指示警示牌319块，新建硬化道路12.1公里，其中4.5米道路2公里，3.5米道路10.1公里。</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惠民生增福祉，交出群众满意“暖心答卷”。</w:t>
      </w:r>
      <w:r>
        <w:rPr>
          <w:rFonts w:hint="eastAsia" w:ascii="仿宋_GB2312" w:hAnsi="仿宋_GB2312" w:eastAsia="仿宋_GB2312" w:cs="仿宋_GB2312"/>
          <w:b/>
          <w:bCs/>
          <w:sz w:val="32"/>
          <w:szCs w:val="32"/>
        </w:rPr>
        <w:t>一是社会保障坚实有力。</w:t>
      </w:r>
      <w:r>
        <w:rPr>
          <w:rFonts w:hint="eastAsia" w:ascii="仿宋_GB2312" w:hAnsi="仿宋_GB2312" w:eastAsia="仿宋_GB2312" w:cs="仿宋_GB2312"/>
          <w:sz w:val="32"/>
          <w:szCs w:val="32"/>
          <w:lang w:val="en-US" w:eastAsia="zh-CN"/>
        </w:rPr>
        <w:t>全年累计发放城镇、农村低保1626户2230人，共616.14万元。为215名分散供养户和30名集中供养户发放供养资金19.5万元，为283名老龄及高龄老人发放高龄补贴12.4万元，为304名困难家庭申请了临时救助金共计31万元，为孤儿与事实无人抚养儿童发放生活费42.9万元。组织有就业需求的居民223人参加“暖冬行动”“春风行动”等招聘会，成功推荐25位居民就业。同时，认真开展养老、医保等政策宣传，群众参保积极性和主动性不断提升，参保率进一步提高。</w:t>
      </w:r>
      <w:r>
        <w:rPr>
          <w:rFonts w:hint="eastAsia" w:ascii="仿宋_GB2312" w:hAnsi="仿宋_GB2312" w:eastAsia="仿宋_GB2312" w:cs="仿宋_GB2312"/>
          <w:b/>
          <w:bCs/>
          <w:sz w:val="32"/>
          <w:szCs w:val="32"/>
          <w:lang w:val="en-US" w:eastAsia="zh-CN"/>
        </w:rPr>
        <w:t>二是集镇</w:t>
      </w:r>
      <w:r>
        <w:rPr>
          <w:rFonts w:hint="eastAsia" w:ascii="仿宋_GB2312" w:hAnsi="仿宋_GB2312" w:eastAsia="仿宋_GB2312" w:cs="仿宋_GB2312"/>
          <w:b/>
          <w:bCs/>
          <w:sz w:val="32"/>
          <w:szCs w:val="32"/>
        </w:rPr>
        <w:t>整治常态长效。</w:t>
      </w:r>
      <w:r>
        <w:rPr>
          <w:rFonts w:hint="eastAsia" w:ascii="仿宋_GB2312" w:hAnsi="仿宋_GB2312" w:eastAsia="仿宋_GB2312" w:cs="仿宋_GB2312"/>
          <w:sz w:val="32"/>
          <w:szCs w:val="32"/>
          <w:lang w:val="en-US" w:eastAsia="zh-CN"/>
        </w:rPr>
        <w:t>将11个网格责任片区划分为11大战区，由党政班子成员担任网格长，将全镇各单位党员干部纳入对应网格内，着力维护整洁、文明、有序的集镇整体面貌。</w:t>
      </w:r>
      <w:r>
        <w:rPr>
          <w:rFonts w:hint="eastAsia" w:ascii="仿宋_GB2312" w:hAnsi="仿宋_GB2312" w:eastAsia="仿宋_GB2312" w:cs="仿宋_GB2312"/>
          <w:sz w:val="32"/>
          <w:szCs w:val="32"/>
        </w:rPr>
        <w:t>大力开展集镇专项整治行动</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余次，集镇主干道新增车位20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个，设立</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块交通指示牌，更换和维修路灯22盏，拆除违规挂牌、乱设多设广告牌共计</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余处，整治清理店外经营、堆物</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余家。</w:t>
      </w:r>
      <w:r>
        <w:rPr>
          <w:rFonts w:hint="eastAsia" w:ascii="楷体_GB2312" w:hAnsi="楷体_GB2312" w:eastAsia="楷体_GB2312" w:cs="楷体_GB2312"/>
          <w:b/>
          <w:bCs/>
          <w:sz w:val="32"/>
          <w:szCs w:val="32"/>
          <w:lang w:val="en-US" w:eastAsia="zh-CN"/>
        </w:rPr>
        <w:t>三是文明实践走深走实。</w:t>
      </w:r>
      <w:r>
        <w:rPr>
          <w:rFonts w:hint="eastAsia" w:ascii="仿宋_GB2312" w:hAnsi="仿宋_GB2312" w:eastAsia="仿宋_GB2312" w:cs="仿宋_GB2312"/>
          <w:sz w:val="32"/>
          <w:szCs w:val="32"/>
          <w:lang w:val="en-US" w:eastAsia="zh-CN"/>
        </w:rPr>
        <w:t>全面推进志愿服务常态化、长效化，有效扩大服务面和影响力。以文明创建为载体开展先进典型评选活动，广泛开展“</w:t>
      </w:r>
      <w:r>
        <w:rPr>
          <w:rFonts w:hint="default" w:ascii="仿宋_GB2312" w:hAnsi="仿宋_GB2312" w:eastAsia="仿宋_GB2312" w:cs="仿宋_GB2312"/>
          <w:sz w:val="32"/>
          <w:szCs w:val="32"/>
          <w:lang w:eastAsia="zh-CN"/>
        </w:rPr>
        <w:t>邵阳</w:t>
      </w:r>
      <w:r>
        <w:rPr>
          <w:rFonts w:hint="eastAsia" w:ascii="仿宋_GB2312" w:hAnsi="仿宋_GB2312" w:eastAsia="仿宋_GB2312" w:cs="仿宋_GB2312"/>
          <w:sz w:val="32"/>
          <w:szCs w:val="32"/>
          <w:lang w:val="en-US" w:eastAsia="zh-CN"/>
        </w:rPr>
        <w:t>好人”“五星文明户”“好婆婆”“好媳妇”等先进典型评选活动，评选出“</w:t>
      </w:r>
      <w:r>
        <w:rPr>
          <w:rFonts w:hint="default" w:ascii="仿宋_GB2312" w:hAnsi="仿宋_GB2312" w:eastAsia="仿宋_GB2312" w:cs="仿宋_GB2312"/>
          <w:sz w:val="32"/>
          <w:szCs w:val="32"/>
          <w:lang w:eastAsia="zh-CN"/>
        </w:rPr>
        <w:t>五星文明户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eastAsia="zh-CN"/>
        </w:rPr>
        <w:t>00户</w:t>
      </w:r>
      <w:r>
        <w:rPr>
          <w:rFonts w:hint="eastAsia" w:ascii="仿宋_GB2312" w:hAnsi="仿宋_GB2312" w:eastAsia="仿宋_GB2312" w:cs="仿宋_GB2312"/>
          <w:sz w:val="32"/>
          <w:szCs w:val="32"/>
          <w:lang w:val="en-US" w:eastAsia="zh-CN"/>
        </w:rPr>
        <w:t>、“好婆媳”</w:t>
      </w:r>
      <w:r>
        <w:rPr>
          <w:rFonts w:hint="default"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户，推荐上报</w:t>
      </w:r>
      <w:r>
        <w:rPr>
          <w:rFonts w:hint="default" w:ascii="仿宋_GB2312" w:hAnsi="仿宋_GB2312" w:eastAsia="仿宋_GB2312" w:cs="仿宋_GB2312"/>
          <w:sz w:val="32"/>
          <w:szCs w:val="32"/>
          <w:lang w:eastAsia="zh-CN"/>
        </w:rPr>
        <w:t>邵阳</w:t>
      </w:r>
      <w:r>
        <w:rPr>
          <w:rFonts w:hint="eastAsia" w:ascii="仿宋_GB2312" w:hAnsi="仿宋_GB2312" w:eastAsia="仿宋_GB2312" w:cs="仿宋_GB2312"/>
          <w:sz w:val="32"/>
          <w:szCs w:val="32"/>
          <w:lang w:val="en-US" w:eastAsia="zh-CN"/>
        </w:rPr>
        <w:t>好人7名，吕时勇</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陈路保、陈群保等3人</w:t>
      </w:r>
      <w:r>
        <w:rPr>
          <w:rFonts w:hint="default" w:ascii="仿宋_GB2312" w:hAnsi="仿宋_GB2312" w:eastAsia="仿宋_GB2312" w:cs="仿宋_GB2312"/>
          <w:sz w:val="32"/>
          <w:szCs w:val="32"/>
          <w:lang w:eastAsia="zh-CN"/>
        </w:rPr>
        <w:t>获评为见义勇为奖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“我们的</w:t>
      </w:r>
      <w:r>
        <w:rPr>
          <w:rFonts w:hint="default" w:ascii="仿宋_GB2312" w:hAnsi="仿宋_GB2312" w:eastAsia="仿宋_GB2312" w:cs="仿宋_GB2312"/>
          <w:sz w:val="32"/>
          <w:szCs w:val="32"/>
          <w:lang w:eastAsia="zh-CN"/>
        </w:rPr>
        <w:t>春晚</w:t>
      </w:r>
      <w:r>
        <w:rPr>
          <w:rFonts w:hint="eastAsia" w:ascii="仿宋_GB2312" w:hAnsi="仿宋_GB2312" w:eastAsia="仿宋_GB2312" w:cs="仿宋_GB2312"/>
          <w:sz w:val="32"/>
          <w:szCs w:val="32"/>
          <w:lang w:eastAsia="zh-CN"/>
        </w:rPr>
        <w:t>”“送戏下乡”“全民阅读”“</w:t>
      </w:r>
      <w:r>
        <w:rPr>
          <w:rFonts w:hint="eastAsia" w:ascii="仿宋_GB2312" w:hAnsi="仿宋_GB2312" w:eastAsia="仿宋_GB2312" w:cs="仿宋_GB2312"/>
          <w:sz w:val="32"/>
          <w:szCs w:val="32"/>
          <w:lang w:val="en-US" w:eastAsia="zh-CN"/>
        </w:rPr>
        <w:t>全民健身</w:t>
      </w:r>
      <w:r>
        <w:rPr>
          <w:rFonts w:hint="eastAsia" w:ascii="仿宋_GB2312" w:hAnsi="仿宋_GB2312" w:eastAsia="仿宋_GB2312" w:cs="仿宋_GB2312"/>
          <w:sz w:val="32"/>
          <w:szCs w:val="32"/>
          <w:lang w:eastAsia="zh-CN"/>
        </w:rPr>
        <w:t>”等各类文化惠民活动</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lang w:eastAsia="zh-CN"/>
        </w:rPr>
        <w:t>余场次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抓治理提成效，交出生态人文“靓丽答卷”。</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人居环境全面提质。</w:t>
      </w:r>
      <w:r>
        <w:rPr>
          <w:rFonts w:hint="eastAsia" w:ascii="仿宋_GB2312" w:hAnsi="仿宋_GB2312" w:eastAsia="仿宋_GB2312" w:cs="仿宋_GB2312"/>
          <w:sz w:val="32"/>
          <w:szCs w:val="32"/>
          <w:lang w:eastAsia="zh-CN"/>
        </w:rPr>
        <w:t>制定了班子成员包村、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村干</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eastAsia="zh-CN"/>
        </w:rPr>
        <w:t>包片、村民组长包户的环境整治网格化管理机制，大力倡导“</w:t>
      </w:r>
      <w:r>
        <w:rPr>
          <w:rFonts w:hint="eastAsia" w:ascii="仿宋_GB2312" w:hAnsi="仿宋_GB2312" w:eastAsia="仿宋_GB2312" w:cs="仿宋_GB2312"/>
          <w:sz w:val="32"/>
          <w:szCs w:val="32"/>
          <w:lang w:val="en-US" w:eastAsia="zh-CN"/>
        </w:rPr>
        <w:t>和美庭院</w:t>
      </w:r>
      <w:r>
        <w:rPr>
          <w:rFonts w:hint="eastAsia" w:ascii="仿宋_GB2312" w:hAnsi="仿宋_GB2312" w:eastAsia="仿宋_GB2312" w:cs="仿宋_GB2312"/>
          <w:sz w:val="32"/>
          <w:szCs w:val="32"/>
          <w:lang w:eastAsia="zh-CN"/>
        </w:rPr>
        <w:t>”理念，全力推进“</w:t>
      </w:r>
      <w:r>
        <w:rPr>
          <w:rFonts w:hint="eastAsia" w:ascii="仿宋_GB2312" w:hAnsi="仿宋_GB2312" w:eastAsia="仿宋_GB2312" w:cs="仿宋_GB2312"/>
          <w:sz w:val="32"/>
          <w:szCs w:val="32"/>
          <w:lang w:val="en-US" w:eastAsia="zh-CN"/>
        </w:rPr>
        <w:t>和美庭院</w:t>
      </w:r>
      <w:r>
        <w:rPr>
          <w:rFonts w:hint="eastAsia" w:ascii="仿宋_GB2312" w:hAnsi="仿宋_GB2312" w:eastAsia="仿宋_GB2312" w:cs="仿宋_GB2312"/>
          <w:sz w:val="32"/>
          <w:szCs w:val="32"/>
          <w:lang w:eastAsia="zh-CN"/>
        </w:rPr>
        <w:t>”建设工作，</w:t>
      </w:r>
      <w:r>
        <w:rPr>
          <w:rFonts w:hint="eastAsia" w:ascii="仿宋_GB2312" w:hAnsi="仿宋_GB2312" w:eastAsia="仿宋_GB2312" w:cs="仿宋_GB2312"/>
          <w:sz w:val="32"/>
          <w:szCs w:val="32"/>
          <w:lang w:val="en-US" w:eastAsia="zh-CN"/>
        </w:rPr>
        <w:t>打造了1个县级美丽庭院点，2个镇级美丽庭院点，</w:t>
      </w:r>
      <w:r>
        <w:rPr>
          <w:rFonts w:hint="eastAsia" w:ascii="仿宋_GB2312" w:hAnsi="仿宋_GB2312" w:eastAsia="仿宋_GB2312" w:cs="仿宋_GB2312"/>
          <w:sz w:val="32"/>
          <w:szCs w:val="32"/>
          <w:lang w:eastAsia="zh-CN"/>
        </w:rPr>
        <w:t>建设打造</w:t>
      </w:r>
      <w:r>
        <w:rPr>
          <w:rFonts w:hint="eastAsia" w:ascii="仿宋_GB2312" w:hAnsi="仿宋_GB2312" w:eastAsia="仿宋_GB2312" w:cs="仿宋_GB2312"/>
          <w:sz w:val="32"/>
          <w:szCs w:val="32"/>
          <w:lang w:val="en-US" w:eastAsia="zh-CN"/>
        </w:rPr>
        <w:t>和美屋场112</w:t>
      </w:r>
      <w:r>
        <w:rPr>
          <w:rFonts w:hint="eastAsia" w:ascii="仿宋_GB2312" w:hAnsi="仿宋_GB2312" w:eastAsia="仿宋_GB2312" w:cs="仿宋_GB2312"/>
          <w:sz w:val="32"/>
          <w:szCs w:val="32"/>
          <w:lang w:eastAsia="zh-CN"/>
        </w:rPr>
        <w:t>户，评选示范户</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户，积极推进</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和美屋场</w:t>
      </w:r>
      <w:r>
        <w:rPr>
          <w:rFonts w:hint="eastAsia" w:ascii="仿宋_GB2312" w:hAnsi="仿宋_GB2312" w:eastAsia="仿宋_GB2312" w:cs="仿宋_GB2312"/>
          <w:sz w:val="32"/>
          <w:szCs w:val="32"/>
          <w:lang w:eastAsia="zh-CN"/>
        </w:rPr>
        <w:t>点规划建设，拆除空心房</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lang w:eastAsia="zh-CN"/>
        </w:rPr>
        <w:t>座，完成改厕5</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lang w:eastAsia="zh-CN"/>
        </w:rPr>
        <w:t>户，拆除旱厕</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座。</w:t>
      </w:r>
      <w:r>
        <w:rPr>
          <w:rFonts w:hint="eastAsia" w:ascii="仿宋_GB2312" w:hAnsi="仿宋_GB2312" w:eastAsia="仿宋_GB2312" w:cs="仿宋_GB2312"/>
          <w:sz w:val="32"/>
          <w:szCs w:val="32"/>
          <w:lang w:val="en-US" w:eastAsia="zh-CN"/>
        </w:rPr>
        <w:t>“美丽庭院”创建工作经验先进，被县选为“美丽庭院”现场观摩会的样板村进行宣传推广。</w:t>
      </w:r>
      <w:r>
        <w:rPr>
          <w:rFonts w:hint="eastAsia" w:ascii="仿宋_GB2312" w:hAnsi="仿宋_GB2312" w:eastAsia="仿宋_GB2312" w:cs="仿宋_GB2312"/>
          <w:b/>
          <w:bCs/>
          <w:sz w:val="32"/>
          <w:szCs w:val="32"/>
        </w:rPr>
        <w:t>二是生态环境持续向好。</w:t>
      </w:r>
      <w:r>
        <w:rPr>
          <w:rFonts w:hint="eastAsia" w:ascii="仿宋_GB2312" w:hAnsi="仿宋_GB2312" w:eastAsia="仿宋_GB2312" w:cs="仿宋_GB2312"/>
          <w:sz w:val="32"/>
          <w:szCs w:val="32"/>
        </w:rPr>
        <w:t>坚持做好“治山理水，显山露水”文章，打好</w:t>
      </w:r>
      <w:r>
        <w:rPr>
          <w:rFonts w:hint="eastAsia" w:ascii="仿宋_GB2312" w:hAnsi="仿宋_GB2312" w:eastAsia="仿宋_GB2312" w:cs="仿宋_GB2312"/>
          <w:sz w:val="32"/>
          <w:szCs w:val="32"/>
          <w:lang w:val="en-US" w:eastAsia="zh-CN"/>
        </w:rPr>
        <w:t>蓝天、</w:t>
      </w:r>
      <w:r>
        <w:rPr>
          <w:rFonts w:hint="eastAsia" w:ascii="仿宋_GB2312" w:hAnsi="仿宋_GB2312" w:eastAsia="仿宋_GB2312" w:cs="仿宋_GB2312"/>
          <w:sz w:val="32"/>
          <w:szCs w:val="32"/>
        </w:rPr>
        <w:t>碧水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净土</w:t>
      </w:r>
      <w:r>
        <w:rPr>
          <w:rFonts w:hint="eastAsia" w:ascii="仿宋_GB2312" w:hAnsi="仿宋_GB2312" w:eastAsia="仿宋_GB2312" w:cs="仿宋_GB2312"/>
          <w:sz w:val="32"/>
          <w:szCs w:val="32"/>
        </w:rPr>
        <w:t>保卫战，持续抓好生态环境保护工作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全年开展专项巡逻</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余次，现场劝止秸秆焚烧行为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余起，立案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件。持续开展</w:t>
      </w:r>
      <w:r>
        <w:rPr>
          <w:rFonts w:hint="eastAsia" w:ascii="仿宋_GB2312" w:hAnsi="仿宋_GB2312" w:eastAsia="仿宋_GB2312" w:cs="仿宋_GB2312"/>
          <w:sz w:val="32"/>
          <w:szCs w:val="32"/>
          <w:lang w:val="en-US" w:eastAsia="zh-CN"/>
        </w:rPr>
        <w:t>夫夷河水</w:t>
      </w:r>
      <w:r>
        <w:rPr>
          <w:rFonts w:hint="eastAsia" w:ascii="仿宋_GB2312" w:hAnsi="仿宋_GB2312" w:eastAsia="仿宋_GB2312" w:cs="仿宋_GB2312"/>
          <w:sz w:val="32"/>
          <w:szCs w:val="32"/>
        </w:rPr>
        <w:t>环境治理，坚决打击违法捕捞，全年专项立案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件，行政处罚</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件，均已结案。</w:t>
      </w:r>
      <w:r>
        <w:rPr>
          <w:rFonts w:hint="eastAsia" w:ascii="仿宋_GB2312" w:hAnsi="仿宋_GB2312" w:eastAsia="仿宋_GB2312" w:cs="仿宋_GB2312"/>
          <w:b/>
          <w:bCs/>
          <w:sz w:val="32"/>
          <w:szCs w:val="32"/>
        </w:rPr>
        <w:t>三是乡风文明持续深化。</w:t>
      </w:r>
      <w:r>
        <w:rPr>
          <w:rFonts w:hint="eastAsia" w:ascii="仿宋_GB2312" w:hAnsi="仿宋_GB2312" w:eastAsia="仿宋_GB2312" w:cs="仿宋_GB2312"/>
          <w:sz w:val="32"/>
          <w:szCs w:val="32"/>
        </w:rPr>
        <w:t>把深化乡风文明作为推动乡村治理的主抓手，让时代新风、文明乡风吹进群众心田，健全村民理事会、村民议事会、红白理事会等群众组织，制定完善村规民约，把培育和践行社会主义核心价值观贯穿于乡风文明建设过程中。</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eastAsia="黑体"/>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防风险护稳定，交出社会治理“平安答卷”。</w:t>
      </w:r>
      <w:r>
        <w:rPr>
          <w:rFonts w:hint="eastAsia" w:ascii="仿宋_GB2312" w:hAnsi="仿宋_GB2312" w:eastAsia="仿宋_GB2312" w:cs="仿宋_GB2312"/>
          <w:b/>
          <w:bCs/>
          <w:sz w:val="32"/>
          <w:szCs w:val="32"/>
        </w:rPr>
        <w:t>一是筑牢综治维稳防线。</w:t>
      </w:r>
      <w:r>
        <w:rPr>
          <w:rFonts w:hint="eastAsia" w:ascii="仿宋_GB2312" w:hAnsi="仿宋_GB2312" w:eastAsia="仿宋_GB2312" w:cs="仿宋_GB2312"/>
          <w:sz w:val="32"/>
          <w:szCs w:val="32"/>
        </w:rPr>
        <w:t>坚持以人民为中心的发展思想，坚守平安建设预防预警红线，持续深化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平安</w:t>
      </w:r>
      <w:r>
        <w:rPr>
          <w:rFonts w:hint="eastAsia" w:ascii="仿宋_GB2312" w:hAnsi="仿宋_GB2312" w:eastAsia="仿宋_GB2312" w:cs="仿宋_GB2312"/>
          <w:sz w:val="32"/>
          <w:szCs w:val="32"/>
          <w:lang w:val="en-US" w:eastAsia="zh-CN"/>
        </w:rPr>
        <w:t>金称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建设。统筹推进矛盾纠纷排查化解、常态化扫黑除恶、防范电信网络诈骗、打击整治养老诈骗、校园周边综合治理、社会治安突出问题整治等工作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开展矛盾纠纷排查</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次，排查矛盾纠纷</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起，调处成功</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起，调解成功率</w:t>
      </w:r>
      <w:r>
        <w:rPr>
          <w:rFonts w:hint="eastAsia" w:ascii="仿宋_GB2312" w:hAnsi="仿宋_GB2312" w:eastAsia="仿宋_GB2312" w:cs="仿宋_GB2312"/>
          <w:sz w:val="32"/>
          <w:szCs w:val="32"/>
          <w:lang w:val="en-US" w:eastAsia="zh-CN"/>
        </w:rPr>
        <w:t>100，其中疑难复杂案件6起，总涉及金额近100万元。</w:t>
      </w:r>
      <w:r>
        <w:rPr>
          <w:rFonts w:hint="eastAsia" w:ascii="仿宋_GB2312" w:hAnsi="仿宋_GB2312" w:eastAsia="仿宋_GB2312" w:cs="仿宋_GB2312"/>
          <w:b/>
          <w:bCs/>
          <w:sz w:val="32"/>
          <w:szCs w:val="32"/>
        </w:rPr>
        <w:t>二是守住安全生产底线。</w:t>
      </w:r>
      <w:r>
        <w:rPr>
          <w:rFonts w:hint="eastAsia" w:ascii="仿宋_GB2312" w:hAnsi="仿宋_GB2312" w:eastAsia="仿宋_GB2312" w:cs="仿宋_GB2312"/>
          <w:sz w:val="32"/>
          <w:szCs w:val="32"/>
        </w:rPr>
        <w:t>牢固树立安全发展理念，压实安全生产责任。落实“一天一调度、一天一汇总、一天一通报”的工作机制，宣传发动和排查整治同步开展，围绕企业生产、道路交通、消防安全和食品安全</w:t>
      </w:r>
      <w:r>
        <w:rPr>
          <w:rFonts w:hint="eastAsia" w:ascii="仿宋_GB2312" w:hAnsi="仿宋_GB2312" w:eastAsia="仿宋_GB2312" w:cs="仿宋_GB2312"/>
          <w:sz w:val="32"/>
          <w:szCs w:val="32"/>
          <w:lang w:val="en-US" w:eastAsia="zh-CN"/>
        </w:rPr>
        <w:t>等开展</w:t>
      </w:r>
      <w:r>
        <w:rPr>
          <w:rFonts w:hint="eastAsia" w:ascii="仿宋_GB2312" w:hAnsi="仿宋_GB2312" w:eastAsia="仿宋_GB2312" w:cs="仿宋_GB2312"/>
          <w:sz w:val="32"/>
          <w:szCs w:val="32"/>
        </w:rPr>
        <w:t>大排查、大整治</w:t>
      </w:r>
      <w:r>
        <w:rPr>
          <w:rFonts w:hint="eastAsia" w:ascii="仿宋_GB2312" w:hAnsi="仿宋_GB2312" w:eastAsia="仿宋_GB2312" w:cs="仿宋_GB2312"/>
          <w:sz w:val="32"/>
          <w:szCs w:val="32"/>
          <w:lang w:val="en-US" w:eastAsia="zh-CN"/>
        </w:rPr>
        <w:t>活动100余次</w:t>
      </w:r>
      <w:r>
        <w:rPr>
          <w:rFonts w:hint="eastAsia" w:ascii="仿宋_GB2312" w:hAnsi="仿宋_GB2312" w:eastAsia="仿宋_GB2312" w:cs="仿宋_GB2312"/>
          <w:sz w:val="32"/>
          <w:szCs w:val="32"/>
        </w:rPr>
        <w:t>，开展“敲门行动”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万余户次，检查企业及经营场所</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家，整改隐患</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拆除隐患房屋</w:t>
      </w:r>
      <w:r>
        <w:rPr>
          <w:rFonts w:hint="eastAsia" w:ascii="仿宋_GB2312" w:hAnsi="仿宋_GB2312" w:eastAsia="仿宋_GB2312" w:cs="仿宋_GB2312"/>
          <w:sz w:val="32"/>
          <w:szCs w:val="32"/>
          <w:lang w:val="en-US" w:eastAsia="zh-CN"/>
        </w:rPr>
        <w:t>339</w:t>
      </w:r>
      <w:r>
        <w:rPr>
          <w:rFonts w:hint="eastAsia" w:ascii="仿宋_GB2312" w:hAnsi="仿宋_GB2312" w:eastAsia="仿宋_GB2312" w:cs="仿宋_GB2312"/>
          <w:sz w:val="32"/>
          <w:szCs w:val="32"/>
        </w:rPr>
        <w:t>栋。</w:t>
      </w:r>
      <w:r>
        <w:rPr>
          <w:rFonts w:hint="eastAsia" w:ascii="仿宋_GB2312" w:hAnsi="仿宋_GB2312" w:eastAsia="仿宋_GB2312" w:cs="仿宋_GB2312"/>
          <w:b/>
          <w:bCs/>
          <w:sz w:val="32"/>
          <w:szCs w:val="32"/>
        </w:rPr>
        <w:t>三是聚焦乡村治理主线。</w:t>
      </w:r>
      <w:r>
        <w:rPr>
          <w:rFonts w:hint="eastAsia" w:ascii="仿宋_GB2312" w:hAnsi="仿宋_GB2312" w:eastAsia="仿宋_GB2312" w:cs="仿宋_GB2312"/>
          <w:sz w:val="32"/>
          <w:szCs w:val="32"/>
        </w:rPr>
        <w:t>筑牢基层治理的“战斗堡垒”，打通基层治理的“最后一公里”。坚持以党建引领乡村治理，定期研究部署乡村治理相关工作，</w:t>
      </w:r>
      <w:r>
        <w:rPr>
          <w:rFonts w:hint="eastAsia" w:ascii="仿宋_GB2312" w:hAnsi="仿宋_GB2312" w:eastAsia="仿宋_GB2312" w:cs="仿宋_GB2312"/>
          <w:sz w:val="32"/>
          <w:szCs w:val="32"/>
          <w:lang w:val="en-US" w:eastAsia="zh-CN"/>
        </w:rPr>
        <w:t>依托新时代文明站（所）</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政策宣传</w:t>
      </w:r>
      <w:r>
        <w:rPr>
          <w:rFonts w:hint="eastAsia" w:ascii="仿宋_GB2312" w:hAnsi="仿宋_GB2312" w:eastAsia="仿宋_GB2312" w:cs="仿宋_GB2312"/>
          <w:sz w:val="32"/>
          <w:szCs w:val="32"/>
        </w:rPr>
        <w:t>志愿服务活动</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余次。完善社会矛盾多元预防调处化解机制，逐步形成“小事不出村、大事不出镇、矛盾不上交”的矛盾纠纷化解格局</w:t>
      </w:r>
      <w:r>
        <w:rPr>
          <w:rFonts w:hint="eastAsia" w:ascii="仿宋_GB2312" w:hAnsi="仿宋_GB2312" w:eastAsia="仿宋_GB2312" w:cs="仿宋_GB2312"/>
          <w:sz w:val="32"/>
          <w:szCs w:val="32"/>
          <w:lang w:eastAsia="zh-CN"/>
        </w:rPr>
        <w:t>。</w:t>
      </w:r>
    </w:p>
    <w:p>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sz w:val="32"/>
          <w:szCs w:val="32"/>
          <w:lang w:eastAsia="zh-CN"/>
        </w:rPr>
      </w:pPr>
      <w:r>
        <w:rPr>
          <w:rFonts w:hint="eastAsia" w:ascii="仿宋" w:hAnsi="仿宋" w:eastAsia="仿宋" w:cs="仿宋"/>
          <w:b w:val="0"/>
          <w:bCs w:val="0"/>
          <w:sz w:val="32"/>
          <w:szCs w:val="32"/>
          <w:lang w:val="en-US" w:eastAsia="zh-CN"/>
        </w:rPr>
        <w:t>产业基础较为薄弱；财政收支矛盾较为突出；教育、医疗、养老等民生事业还存在短板；政府治理效能有待进一步提升，乡村振兴任重道远。</w:t>
      </w:r>
    </w:p>
    <w:p>
      <w:pPr>
        <w:widowControl/>
        <w:numPr>
          <w:ilvl w:val="0"/>
          <w:numId w:val="4"/>
        </w:numPr>
        <w:spacing w:line="600" w:lineRule="exact"/>
        <w:ind w:firstLine="645"/>
        <w:jc w:val="left"/>
        <w:rPr>
          <w:rFonts w:hint="eastAsia" w:eastAsia="黑体"/>
          <w:sz w:val="32"/>
          <w:szCs w:val="32"/>
        </w:rPr>
      </w:pPr>
      <w:r>
        <w:rPr>
          <w:rFonts w:hint="eastAsia" w:eastAsia="黑体"/>
          <w:sz w:val="32"/>
          <w:szCs w:val="32"/>
        </w:rPr>
        <w:t>下一步改进措施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坚持产业驱动</w:t>
      </w:r>
      <w:r>
        <w:rPr>
          <w:rFonts w:hint="eastAsia" w:ascii="楷体_GB2312" w:hAnsi="楷体_GB2312" w:eastAsia="楷体_GB2312" w:cs="楷体_GB2312"/>
          <w:b/>
          <w:bCs/>
          <w:sz w:val="32"/>
          <w:szCs w:val="32"/>
          <w:lang w:eastAsia="zh-CN"/>
        </w:rPr>
        <w:t>，在经济发展赛道上奋力赶超。</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i w:val="0"/>
          <w:iCs w:val="0"/>
          <w:caps w:val="0"/>
          <w:color w:val="000000"/>
          <w:spacing w:val="0"/>
          <w:sz w:val="32"/>
          <w:szCs w:val="32"/>
          <w:lang w:val="en-US" w:eastAsia="zh-CN"/>
        </w:rPr>
        <w:t>保障粮食安全。</w:t>
      </w:r>
      <w:r>
        <w:rPr>
          <w:rFonts w:hint="eastAsia" w:ascii="仿宋_GB2312" w:hAnsi="仿宋_GB2312" w:eastAsia="仿宋_GB2312" w:cs="仿宋_GB2312"/>
          <w:sz w:val="32"/>
          <w:szCs w:val="32"/>
          <w:lang w:val="en-US" w:eastAsia="zh-CN"/>
        </w:rPr>
        <w:t>全面实行最严格的耕地保护制度，采取“长牙齿”的硬措施切实保护好耕地，坚决遏制耕地“非农化”、防止“非粮化”，做到现有耕地不少、新增耕地不减、乱占耕地不让。全力争取涉农项目，推进小型农田水利、高标准农田等项目建设，持续推进“金桥-金河”“青石塘-金称市”水系渠系清淤改造，继续推进小型水库除险加固，增强农业抗灾能力，提升粮食产能。</w:t>
      </w:r>
      <w:r>
        <w:rPr>
          <w:rFonts w:hint="eastAsia" w:ascii="仿宋_GB2312" w:hAnsi="仿宋_GB2312" w:eastAsia="仿宋_GB2312" w:cs="仿宋_GB2312"/>
          <w:b/>
          <w:bCs/>
          <w:i w:val="0"/>
          <w:iCs w:val="0"/>
          <w:caps w:val="0"/>
          <w:color w:val="000000"/>
          <w:spacing w:val="0"/>
          <w:sz w:val="32"/>
          <w:szCs w:val="32"/>
          <w:lang w:val="en-US" w:eastAsia="zh-CN"/>
        </w:rPr>
        <w:t>二是壮大集体经济。</w:t>
      </w:r>
      <w:r>
        <w:rPr>
          <w:rFonts w:hint="eastAsia" w:ascii="仿宋_GB2312" w:hAnsi="仿宋_GB2312" w:eastAsia="仿宋_GB2312" w:cs="仿宋_GB2312"/>
          <w:sz w:val="32"/>
          <w:szCs w:val="32"/>
          <w:lang w:val="en-US" w:eastAsia="zh-CN"/>
        </w:rPr>
        <w:t>依托种植大户与村级集体经济发展，发挥财政补贴引导作用，继续抓好土地集中流转和新型农业经营主体培育，全力推进、协调服务土地流转，做到应流转尽流转。继续挖掘村集体经济发展潜力，力争1-2个村集体经济年底收入突破100万，所有村超过10万元。</w:t>
      </w:r>
      <w:r>
        <w:rPr>
          <w:rFonts w:hint="eastAsia" w:ascii="仿宋_GB2312" w:hAnsi="仿宋_GB2312" w:eastAsia="仿宋_GB2312" w:cs="仿宋_GB2312"/>
          <w:b/>
          <w:bCs/>
          <w:i w:val="0"/>
          <w:iCs w:val="0"/>
          <w:caps w:val="0"/>
          <w:color w:val="000000"/>
          <w:spacing w:val="0"/>
          <w:sz w:val="32"/>
          <w:szCs w:val="32"/>
          <w:lang w:val="en-US" w:eastAsia="zh-CN"/>
        </w:rPr>
        <w:t>三是发展农业经济。</w:t>
      </w:r>
      <w:r>
        <w:rPr>
          <w:rFonts w:hint="eastAsia" w:ascii="仿宋_GB2312" w:hAnsi="仿宋_GB2312" w:eastAsia="仿宋_GB2312" w:cs="仿宋_GB2312"/>
          <w:sz w:val="32"/>
          <w:szCs w:val="32"/>
          <w:lang w:val="en-US" w:eastAsia="zh-CN"/>
        </w:rPr>
        <w:t>着力抓好烤烟、油茶、水稻、油菜等示范片打造，支持经营主体发展特色产业，打造片区亮点，延伸产业链条。紧紧围绕打造“农业经济强镇”，紧紧依靠产业基础、人文资源和生态优势，做好产业融合联动文章，走差异化、特色化的发展新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坚持生态提质，在城乡统筹发展上双向发力。</w:t>
      </w:r>
      <w:r>
        <w:rPr>
          <w:rFonts w:hint="eastAsia" w:ascii="仿宋_GB2312" w:hAnsi="仿宋_GB2312" w:eastAsia="仿宋_GB2312" w:cs="仿宋_GB2312"/>
          <w:b/>
          <w:bCs/>
          <w:sz w:val="32"/>
          <w:szCs w:val="32"/>
          <w:lang w:val="en-US" w:eastAsia="zh-CN"/>
        </w:rPr>
        <w:t>一是坚持生态优先。</w:t>
      </w:r>
      <w:r>
        <w:rPr>
          <w:rFonts w:hint="eastAsia" w:ascii="仿宋_GB2312" w:hAnsi="仿宋_GB2312" w:eastAsia="仿宋_GB2312" w:cs="仿宋_GB2312"/>
          <w:sz w:val="32"/>
          <w:szCs w:val="32"/>
          <w:lang w:val="en-US" w:eastAsia="zh-CN"/>
        </w:rPr>
        <w:t>积极践行“绿水青山就是金山银山”的发展理念，深入打好蓝天、碧水、净土保卫战，严守生态保护红线，打造绿色发展高地。持续推动夫夷河水域禁捕退捕，全面落实“河长制”“林长制”“田长制”，保护森林资源，建设宜居宜业和美乡村。</w:t>
      </w:r>
      <w:r>
        <w:rPr>
          <w:rFonts w:hint="eastAsia" w:ascii="仿宋_GB2312" w:hAnsi="仿宋_GB2312" w:eastAsia="仿宋_GB2312" w:cs="仿宋_GB2312"/>
          <w:b/>
          <w:bCs/>
          <w:i w:val="0"/>
          <w:iCs w:val="0"/>
          <w:caps w:val="0"/>
          <w:color w:val="000000"/>
          <w:spacing w:val="0"/>
          <w:sz w:val="32"/>
          <w:szCs w:val="32"/>
          <w:lang w:val="en-US" w:eastAsia="zh-CN"/>
        </w:rPr>
        <w:t>二是环境整治常态化。</w:t>
      </w:r>
      <w:r>
        <w:rPr>
          <w:rFonts w:hint="eastAsia" w:ascii="仿宋_GB2312" w:hAnsi="仿宋_GB2312" w:eastAsia="仿宋_GB2312" w:cs="仿宋_GB2312"/>
          <w:sz w:val="32"/>
          <w:szCs w:val="32"/>
        </w:rPr>
        <w:t>坚持改面貌、强设施、提品质，以“四美四化”为抓手，深入开展农村人居环境整治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加快集镇生活污水管网改造，实现旱厕清零，“空心房”应拆尽拆。深入推动农村移风易俗，培育文明乡风，营造文明和谐的村居环境。持续开</w:t>
      </w:r>
      <w:r>
        <w:rPr>
          <w:rFonts w:hint="eastAsia" w:ascii="仿宋_GB2312" w:hAnsi="仿宋_GB2312" w:eastAsia="仿宋_GB2312" w:cs="仿宋_GB2312"/>
          <w:sz w:val="32"/>
          <w:szCs w:val="32"/>
        </w:rPr>
        <w:t>展</w:t>
      </w:r>
      <w:r>
        <w:rPr>
          <w:rFonts w:hint="eastAsia" w:ascii="仿宋_GB2312" w:hAnsi="仿宋_GB2312" w:eastAsia="仿宋_GB2312" w:cs="仿宋_GB2312"/>
          <w:sz w:val="32"/>
          <w:szCs w:val="32"/>
          <w:lang w:val="en-US" w:eastAsia="zh-CN"/>
        </w:rPr>
        <w:t>集镇</w:t>
      </w:r>
      <w:r>
        <w:rPr>
          <w:rFonts w:hint="eastAsia" w:ascii="仿宋_GB2312" w:hAnsi="仿宋_GB2312" w:eastAsia="仿宋_GB2312" w:cs="仿宋_GB2312"/>
          <w:sz w:val="32"/>
          <w:szCs w:val="32"/>
        </w:rPr>
        <w:t>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以清理牛皮癣、乱搭乱建、乱摆乱放、市场整治为重点推进集镇标准化建设。</w:t>
      </w:r>
      <w:r>
        <w:rPr>
          <w:rFonts w:hint="eastAsia" w:ascii="仿宋_GB2312" w:hAnsi="仿宋_GB2312" w:eastAsia="仿宋_GB2312" w:cs="仿宋_GB2312"/>
          <w:sz w:val="32"/>
          <w:szCs w:val="32"/>
        </w:rPr>
        <w:t>坚持教育引导与规范督促相结合，开展文明劝导、交通秩序整治，推进移风易俗，提升</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文明素质。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坚持</w:t>
      </w:r>
      <w:r>
        <w:rPr>
          <w:rFonts w:hint="eastAsia" w:ascii="楷体_GB2312" w:hAnsi="楷体_GB2312" w:eastAsia="楷体_GB2312" w:cs="楷体_GB2312"/>
          <w:b/>
          <w:bCs/>
          <w:sz w:val="32"/>
          <w:szCs w:val="32"/>
          <w:lang w:val="en-US" w:eastAsia="zh-CN"/>
        </w:rPr>
        <w:t>惠民</w:t>
      </w:r>
      <w:r>
        <w:rPr>
          <w:rFonts w:hint="eastAsia" w:ascii="楷体_GB2312" w:hAnsi="楷体_GB2312" w:eastAsia="楷体_GB2312" w:cs="楷体_GB2312"/>
          <w:b/>
          <w:bCs/>
          <w:sz w:val="32"/>
          <w:szCs w:val="32"/>
          <w:lang w:eastAsia="zh-CN"/>
        </w:rPr>
        <w:t>保障，在公共服务能力上做优做强。</w:t>
      </w:r>
      <w:r>
        <w:rPr>
          <w:rFonts w:hint="eastAsia" w:ascii="仿宋_GB2312" w:hAnsi="仿宋_GB2312" w:eastAsia="仿宋_GB2312" w:cs="仿宋_GB2312"/>
          <w:b/>
          <w:bCs/>
          <w:sz w:val="32"/>
          <w:szCs w:val="32"/>
        </w:rPr>
        <w:t>一是社会保障提质扩面。</w:t>
      </w:r>
      <w:r>
        <w:rPr>
          <w:rFonts w:hint="eastAsia" w:ascii="仿宋_GB2312" w:hAnsi="仿宋_GB2312" w:eastAsia="仿宋_GB2312" w:cs="仿宋_GB2312"/>
          <w:sz w:val="32"/>
          <w:szCs w:val="32"/>
        </w:rPr>
        <w:t>坚持稳就业、重保障、促和谐，进一步健全和提升社会保障水平。积极推动创业就业，产业支撑就业，创业带动就业，实现更高质量和更充分的就业。继续开展低收入农民走访帮扶，注重技能人才培养，落实创业带动就业政策。稳妥推进民生兜底工作，做好低保、优抚、临时救助、社保等各项社会保障事务，更加注重对特定人群特殊困难的精准帮扶，支持慈善事业发展，推动社会救助扩面提质。</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是文化供给更加丰富。</w:t>
      </w:r>
      <w:r>
        <w:rPr>
          <w:rFonts w:hint="eastAsia" w:ascii="仿宋_GB2312" w:hAnsi="仿宋_GB2312" w:eastAsia="仿宋_GB2312" w:cs="仿宋_GB2312"/>
          <w:sz w:val="32"/>
          <w:szCs w:val="32"/>
        </w:rPr>
        <w:t>统筹优化公共文化服务供给，做好送戏下乡、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等文化惠民工程。持续推进新时代文明实践站（所）等阵地建设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加强村级体育设施建设和维护。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坚持社会治理，在深化“枫桥经验”上蝶变出彩。</w:t>
      </w:r>
      <w:r>
        <w:rPr>
          <w:rFonts w:hint="eastAsia" w:ascii="仿宋_GB2312" w:hAnsi="仿宋_GB2312" w:eastAsia="仿宋_GB2312" w:cs="仿宋_GB2312"/>
          <w:b/>
          <w:bCs/>
          <w:sz w:val="32"/>
          <w:szCs w:val="32"/>
        </w:rPr>
        <w:t>一是提升基层善治能力。</w:t>
      </w:r>
      <w:r>
        <w:rPr>
          <w:rFonts w:hint="eastAsia" w:ascii="仿宋_GB2312" w:hAnsi="仿宋_GB2312" w:eastAsia="仿宋_GB2312" w:cs="仿宋_GB2312"/>
          <w:sz w:val="32"/>
          <w:szCs w:val="32"/>
        </w:rPr>
        <w:t>坚决扛起基层治理现代化建设担当，推动完善</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平安</w:t>
      </w:r>
      <w:r>
        <w:rPr>
          <w:rFonts w:hint="eastAsia" w:ascii="仿宋_GB2312" w:hAnsi="仿宋_GB2312" w:eastAsia="仿宋_GB2312" w:cs="仿宋_GB2312"/>
          <w:sz w:val="32"/>
          <w:szCs w:val="32"/>
          <w:lang w:val="en-US" w:eastAsia="zh-CN"/>
        </w:rPr>
        <w:t>金称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格局。加大信访维稳力度，完善初信初访工作机制，注重重点信访人员稳控，高度关注拆违、欠薪等高发领域群体性事件，强化网络舆情正面引导，努力维护平安有序的良好局面。提升流动人口管理服务水平，强化隐性矛盾纠纷排摸防范化解。</w:t>
      </w:r>
      <w:r>
        <w:rPr>
          <w:rFonts w:hint="eastAsia" w:ascii="仿宋_GB2312" w:hAnsi="仿宋_GB2312" w:eastAsia="仿宋_GB2312" w:cs="仿宋_GB2312"/>
          <w:b/>
          <w:bCs/>
          <w:sz w:val="32"/>
          <w:szCs w:val="32"/>
        </w:rPr>
        <w:t>二是织密公共安全网络。</w:t>
      </w:r>
      <w:r>
        <w:rPr>
          <w:rFonts w:hint="eastAsia" w:ascii="仿宋_GB2312" w:hAnsi="仿宋_GB2312" w:eastAsia="仿宋_GB2312" w:cs="仿宋_GB2312"/>
          <w:sz w:val="32"/>
          <w:szCs w:val="32"/>
        </w:rPr>
        <w:t>强化社会治安防控体系建设，完善司法救助、法治教育、人民调解等工作机制，有效维护群众合法权益。持续提升人民群众安全感，纵深推进反诈行动，零容忍打击养老领域金融诈骗。强化应急力量，提升临时避灾安置场所规范化水平，做好防汛抗旱和极端天气应对。加强食品药品监管，完善食品安全源头治理、分类监管、全程追溯等机制。</w:t>
      </w:r>
      <w:r>
        <w:rPr>
          <w:rFonts w:hint="eastAsia" w:ascii="仿宋_GB2312" w:hAnsi="仿宋_GB2312" w:eastAsia="仿宋_GB2312" w:cs="仿宋_GB2312"/>
          <w:b/>
          <w:bCs/>
          <w:sz w:val="32"/>
          <w:szCs w:val="32"/>
        </w:rPr>
        <w:t>三是严守安全生产底线。</w:t>
      </w:r>
      <w:r>
        <w:rPr>
          <w:rFonts w:hint="eastAsia" w:ascii="仿宋_GB2312" w:hAnsi="仿宋_GB2312" w:eastAsia="仿宋_GB2312" w:cs="仿宋_GB2312"/>
          <w:sz w:val="32"/>
          <w:szCs w:val="32"/>
        </w:rPr>
        <w:t>深化风险隐患大排查大整治，严管交通安全、消防安全、防汛</w:t>
      </w:r>
      <w:r>
        <w:rPr>
          <w:rFonts w:hint="eastAsia" w:ascii="仿宋_GB2312" w:hAnsi="仿宋_GB2312" w:eastAsia="仿宋_GB2312" w:cs="仿宋_GB2312"/>
          <w:sz w:val="32"/>
          <w:szCs w:val="32"/>
          <w:lang w:val="en-US" w:eastAsia="zh-CN"/>
        </w:rPr>
        <w:t>抗旱</w:t>
      </w:r>
      <w:r>
        <w:rPr>
          <w:rFonts w:hint="eastAsia" w:ascii="仿宋_GB2312" w:hAnsi="仿宋_GB2312" w:eastAsia="仿宋_GB2312" w:cs="仿宋_GB2312"/>
          <w:sz w:val="32"/>
          <w:szCs w:val="32"/>
        </w:rPr>
        <w:t>等重点领域和建筑工地、工业企业、宗教场所等重点场所，坚决防范一般以上生产安全事故发生。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五、坚持作风建设，在政府自身建设上全面加强。</w:t>
      </w:r>
      <w:r>
        <w:rPr>
          <w:rFonts w:hint="eastAsia" w:ascii="仿宋_GB2312" w:hAnsi="仿宋_GB2312" w:eastAsia="仿宋_GB2312" w:cs="仿宋_GB2312"/>
          <w:b/>
          <w:bCs/>
          <w:sz w:val="32"/>
          <w:szCs w:val="32"/>
          <w:lang w:val="en-US" w:eastAsia="zh-CN"/>
        </w:rPr>
        <w:t>一是旗帜鲜明讲政治。</w:t>
      </w:r>
      <w:r>
        <w:rPr>
          <w:rFonts w:hint="eastAsia" w:ascii="仿宋_GB2312" w:hAnsi="仿宋_GB2312" w:eastAsia="仿宋_GB2312" w:cs="仿宋_GB2312"/>
          <w:sz w:val="32"/>
          <w:szCs w:val="32"/>
          <w:lang w:val="en-US" w:eastAsia="zh-CN"/>
        </w:rPr>
        <w:t>持之以恒学深悟透党的二十大精神，特别是习近平总书记考察湖南重要讲话和指示精神，坚定不移做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两个确立</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忠诚拥护者、</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两个维护</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示范引领者。始终胸怀大局，以钉钉子精神确保中央、省市县决策部署和镇党委工作要求得到最有力最有效地贯彻落实。</w:t>
      </w:r>
      <w:r>
        <w:rPr>
          <w:rFonts w:hint="eastAsia" w:ascii="仿宋_GB2312" w:hAnsi="仿宋_GB2312" w:eastAsia="仿宋_GB2312" w:cs="仿宋_GB2312"/>
          <w:b/>
          <w:bCs/>
          <w:sz w:val="32"/>
          <w:szCs w:val="32"/>
          <w:lang w:val="en-US" w:eastAsia="zh-CN"/>
        </w:rPr>
        <w:t>二是奋斗实干勇担当。</w:t>
      </w:r>
      <w:r>
        <w:rPr>
          <w:rFonts w:hint="eastAsia" w:ascii="仿宋_GB2312" w:hAnsi="仿宋_GB2312" w:eastAsia="仿宋_GB2312" w:cs="仿宋_GB2312"/>
          <w:sz w:val="32"/>
          <w:szCs w:val="32"/>
          <w:lang w:val="en-US" w:eastAsia="zh-CN"/>
        </w:rPr>
        <w:t>全面提升政府效能，突出抓纲带目抓落实，紧盯重点指标、重点项目、重点工作，完善闭环管理、分类考核、绩效奖励等机制，做到事事有着落、件件有回应。把标杆拉得更高、把工作做得更实，全力向上争政策、争项目、争资金，在全县竞争中拼资源、抢赛道、卡位次，努力在</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1个乡镇场比拼中提档进位。三</w:t>
      </w:r>
      <w:r>
        <w:rPr>
          <w:rFonts w:hint="eastAsia" w:ascii="仿宋_GB2312" w:hAnsi="仿宋_GB2312" w:eastAsia="仿宋_GB2312" w:cs="仿宋_GB2312"/>
          <w:b/>
          <w:bCs/>
          <w:i w:val="0"/>
          <w:iCs w:val="0"/>
          <w:caps w:val="0"/>
          <w:color w:val="000000"/>
          <w:spacing w:val="0"/>
          <w:sz w:val="32"/>
          <w:szCs w:val="32"/>
          <w:lang w:val="en-US" w:eastAsia="zh-CN"/>
        </w:rPr>
        <w:t>是驰而不息抓作风。</w:t>
      </w:r>
      <w:r>
        <w:rPr>
          <w:rFonts w:hint="eastAsia" w:ascii="仿宋_GB2312" w:hAnsi="仿宋_GB2312" w:eastAsia="仿宋_GB2312" w:cs="仿宋_GB2312"/>
          <w:sz w:val="32"/>
          <w:szCs w:val="32"/>
          <w:lang w:val="en-US" w:eastAsia="zh-CN"/>
        </w:rPr>
        <w:t>强化镇村两级干部担当意识，带头践行“一线工作法”，把心思沉下去，把工作抓上来；镇村两级干部要带头学政策、懂业务，着力解决思路不清、能力不强、工作不力等问题。要带头联系群众，群众合理诉求要无条件办，复杂问题要创造条件办，疑难杂症要跟踪处理。</w:t>
      </w:r>
    </w:p>
    <w:p>
      <w:pPr>
        <w:widowControl/>
        <w:numPr>
          <w:ilvl w:val="0"/>
          <w:numId w:val="4"/>
        </w:numPr>
        <w:spacing w:line="600" w:lineRule="exact"/>
        <w:ind w:left="0" w:leftChars="0" w:firstLine="645" w:firstLineChars="0"/>
        <w:jc w:val="left"/>
        <w:rPr>
          <w:rFonts w:hint="eastAsia" w:eastAsia="黑体"/>
          <w:sz w:val="32"/>
          <w:szCs w:val="32"/>
        </w:rPr>
      </w:pPr>
      <w:r>
        <w:rPr>
          <w:rFonts w:hint="eastAsia" w:eastAsia="黑体"/>
          <w:sz w:val="32"/>
          <w:szCs w:val="32"/>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二级</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投入</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14</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目标</w:t>
            </w:r>
          </w:p>
          <w:p>
            <w:pPr>
              <w:keepNext w:val="0"/>
              <w:keepLines w:val="0"/>
              <w:widowControl/>
              <w:suppressLineNumbers w:val="0"/>
              <w:jc w:val="center"/>
              <w:textAlignment w:val="center"/>
              <w:rPr>
                <w:rStyle w:val="13"/>
                <w:lang w:val="en-US" w:eastAsia="zh-CN" w:bidi="ar"/>
              </w:rPr>
            </w:pPr>
            <w:r>
              <w:rPr>
                <w:rStyle w:val="13"/>
                <w:lang w:val="en-US" w:eastAsia="zh-CN" w:bidi="ar"/>
              </w:rPr>
              <w:t>设定</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绩效目标</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r>
              <w:rPr>
                <w:rStyle w:val="13"/>
                <w:lang w:val="en-US" w:eastAsia="zh-CN" w:bidi="ar"/>
              </w:rPr>
              <w:t>①是否符合国家法律法规、国民经济和社会发展总体规划；</w:t>
            </w:r>
          </w:p>
          <w:p>
            <w:pPr>
              <w:keepNext w:val="0"/>
              <w:keepLines w:val="0"/>
              <w:widowControl/>
              <w:suppressLineNumbers w:val="0"/>
              <w:jc w:val="left"/>
              <w:textAlignment w:val="center"/>
              <w:rPr>
                <w:rStyle w:val="13"/>
                <w:lang w:val="en-US" w:eastAsia="zh-CN" w:bidi="ar"/>
              </w:rPr>
            </w:pPr>
            <w:r>
              <w:rPr>
                <w:rStyle w:val="13"/>
                <w:lang w:val="en-US" w:eastAsia="zh-CN" w:bidi="ar"/>
              </w:rPr>
              <w:t>②是否符合部门</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方案确定的职责；</w:t>
            </w:r>
          </w:p>
          <w:p>
            <w:pPr>
              <w:keepNext w:val="0"/>
              <w:keepLines w:val="0"/>
              <w:widowControl/>
              <w:suppressLineNumbers w:val="0"/>
              <w:jc w:val="left"/>
              <w:textAlignment w:val="center"/>
              <w:rPr>
                <w:rStyle w:val="13"/>
                <w:lang w:val="en-US" w:eastAsia="zh-CN" w:bidi="ar"/>
              </w:rPr>
            </w:pPr>
            <w:r>
              <w:rPr>
                <w:rStyle w:val="13"/>
                <w:lang w:val="en-US" w:eastAsia="zh-CN" w:bidi="ar"/>
              </w:rPr>
              <w:t>③是否符合部门制定的中长期实施规划。</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以上各项每发现一起不符合要求扣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方案；部门职责；部门制定的中长期实施规划等。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绩效指标</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①有目标，计</w:t>
            </w:r>
            <w:r>
              <w:rPr>
                <w:rStyle w:val="14"/>
                <w:rFonts w:eastAsia="宋体"/>
                <w:lang w:val="en-US" w:eastAsia="zh-CN" w:bidi="ar"/>
              </w:rPr>
              <w:t>1</w:t>
            </w:r>
            <w:r>
              <w:rPr>
                <w:rStyle w:val="13"/>
                <w:lang w:val="en-US" w:eastAsia="zh-CN" w:bidi="ar"/>
              </w:rPr>
              <w:t>分，否则不得分；</w:t>
            </w:r>
          </w:p>
          <w:p>
            <w:pPr>
              <w:keepNext w:val="0"/>
              <w:keepLines w:val="0"/>
              <w:widowControl/>
              <w:suppressLineNumbers w:val="0"/>
              <w:jc w:val="left"/>
              <w:textAlignment w:val="center"/>
              <w:rPr>
                <w:rStyle w:val="13"/>
                <w:lang w:val="en-US" w:eastAsia="zh-CN" w:bidi="ar"/>
              </w:rPr>
            </w:pPr>
            <w:r>
              <w:rPr>
                <w:rStyle w:val="13"/>
                <w:lang w:val="en-US" w:eastAsia="zh-CN" w:bidi="ar"/>
              </w:rPr>
              <w:t>②目标明确，细化量化良好，个性指标中量化指标超过</w:t>
            </w:r>
            <w:r>
              <w:rPr>
                <w:rStyle w:val="14"/>
                <w:rFonts w:eastAsia="宋体"/>
                <w:lang w:val="en-US" w:eastAsia="zh-CN" w:bidi="ar"/>
              </w:rPr>
              <w:t>3</w:t>
            </w:r>
            <w:r>
              <w:rPr>
                <w:rStyle w:val="13"/>
                <w:lang w:val="en-US" w:eastAsia="zh-CN" w:bidi="ar"/>
              </w:rPr>
              <w:t>个，计</w:t>
            </w:r>
            <w:r>
              <w:rPr>
                <w:rStyle w:val="14"/>
                <w:rFonts w:eastAsia="宋体"/>
                <w:lang w:val="en-US" w:eastAsia="zh-CN" w:bidi="ar"/>
              </w:rPr>
              <w:t>1</w:t>
            </w:r>
            <w:r>
              <w:rPr>
                <w:rStyle w:val="13"/>
                <w:lang w:val="en-US" w:eastAsia="zh-CN" w:bidi="ar"/>
              </w:rPr>
              <w:t>分，量化指标为</w:t>
            </w:r>
            <w:r>
              <w:rPr>
                <w:rStyle w:val="14"/>
                <w:rFonts w:eastAsia="宋体"/>
                <w:lang w:val="en-US" w:eastAsia="zh-CN" w:bidi="ar"/>
              </w:rPr>
              <w:t>2</w:t>
            </w:r>
            <w:r>
              <w:rPr>
                <w:rStyle w:val="13"/>
                <w:lang w:val="en-US" w:eastAsia="zh-CN" w:bidi="ar"/>
              </w:rPr>
              <w:t>个，计</w:t>
            </w:r>
            <w:r>
              <w:rPr>
                <w:rStyle w:val="14"/>
                <w:rFonts w:eastAsia="宋体"/>
                <w:lang w:val="en-US" w:eastAsia="zh-CN" w:bidi="ar"/>
              </w:rPr>
              <w:t>0.5</w:t>
            </w:r>
            <w:r>
              <w:rPr>
                <w:rStyle w:val="13"/>
                <w:lang w:val="en-US" w:eastAsia="zh-CN" w:bidi="ar"/>
              </w:rPr>
              <w:t>分，</w:t>
            </w:r>
            <w:r>
              <w:rPr>
                <w:rStyle w:val="14"/>
                <w:rFonts w:eastAsia="宋体"/>
                <w:lang w:val="en-US" w:eastAsia="zh-CN" w:bidi="ar"/>
              </w:rPr>
              <w:t>2</w:t>
            </w:r>
            <w:r>
              <w:rPr>
                <w:rStyle w:val="13"/>
                <w:lang w:val="en-US" w:eastAsia="zh-CN" w:bidi="ar"/>
              </w:rPr>
              <w:t>个以下不得分；</w:t>
            </w:r>
          </w:p>
          <w:p>
            <w:pPr>
              <w:keepNext w:val="0"/>
              <w:keepLines w:val="0"/>
              <w:widowControl/>
              <w:suppressLineNumbers w:val="0"/>
              <w:jc w:val="left"/>
              <w:textAlignment w:val="center"/>
              <w:rPr>
                <w:rStyle w:val="13"/>
                <w:lang w:val="en-US" w:eastAsia="zh-CN" w:bidi="ar"/>
              </w:rPr>
            </w:pPr>
            <w:r>
              <w:rPr>
                <w:rStyle w:val="13"/>
                <w:lang w:val="en-US" w:eastAsia="zh-CN" w:bidi="ar"/>
              </w:rPr>
              <w:t>③与年度任务数或计划数相对应，计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50%</w:t>
            </w:r>
            <w:r>
              <w:rPr>
                <w:rStyle w:val="13"/>
                <w:lang w:val="en-US" w:eastAsia="zh-CN" w:bidi="ar"/>
              </w:rPr>
              <w:t>计</w:t>
            </w:r>
            <w:r>
              <w:rPr>
                <w:rStyle w:val="14"/>
                <w:rFonts w:eastAsia="宋体"/>
                <w:lang w:val="en-US" w:eastAsia="zh-CN" w:bidi="ar"/>
              </w:rPr>
              <w:t>0.5</w:t>
            </w:r>
            <w:r>
              <w:rPr>
                <w:rStyle w:val="13"/>
                <w:lang w:val="en-US" w:eastAsia="zh-CN" w:bidi="ar"/>
              </w:rPr>
              <w:t>分，对应低于</w:t>
            </w:r>
            <w:r>
              <w:rPr>
                <w:rStyle w:val="14"/>
                <w:rFonts w:eastAsia="宋体"/>
                <w:lang w:val="en-US" w:eastAsia="zh-CN" w:bidi="ar"/>
              </w:rPr>
              <w:t>50%</w:t>
            </w:r>
            <w:r>
              <w:rPr>
                <w:rStyle w:val="13"/>
                <w:lang w:val="en-US" w:eastAsia="zh-CN" w:bidi="ar"/>
              </w:rPr>
              <w:t>不计分；</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④目标与资金匹配良好，逻辑关系明确，计</w:t>
            </w:r>
            <w:r>
              <w:rPr>
                <w:rStyle w:val="14"/>
                <w:rFonts w:eastAsia="宋体"/>
                <w:lang w:val="en-US" w:eastAsia="zh-CN" w:bidi="ar"/>
              </w:rPr>
              <w:t>1</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预算</w:t>
            </w:r>
          </w:p>
          <w:p>
            <w:pPr>
              <w:keepNext w:val="0"/>
              <w:keepLines w:val="0"/>
              <w:widowControl/>
              <w:suppressLineNumbers w:val="0"/>
              <w:jc w:val="center"/>
              <w:textAlignment w:val="center"/>
              <w:rPr>
                <w:rStyle w:val="13"/>
                <w:lang w:val="en-US" w:eastAsia="zh-CN" w:bidi="ar"/>
              </w:rPr>
            </w:pPr>
            <w:r>
              <w:rPr>
                <w:rStyle w:val="13"/>
                <w:lang w:val="en-US" w:eastAsia="zh-CN" w:bidi="ar"/>
              </w:rPr>
              <w:t>配置</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人员</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在职人员控制率</w:t>
            </w:r>
            <w:r>
              <w:rPr>
                <w:rStyle w:val="14"/>
                <w:rFonts w:eastAsia="宋体"/>
                <w:lang w:val="en-US" w:eastAsia="zh-CN" w:bidi="ar"/>
              </w:rPr>
              <w:t>=</w:t>
            </w:r>
            <w:r>
              <w:rPr>
                <w:rStyle w:val="13"/>
                <w:lang w:val="en-US" w:eastAsia="zh-CN" w:bidi="ar"/>
              </w:rPr>
              <w:t>（在职人员数</w:t>
            </w:r>
            <w:r>
              <w:rPr>
                <w:rStyle w:val="14"/>
                <w:rFonts w:eastAsia="宋体"/>
                <w:lang w:val="en-US" w:eastAsia="zh-CN" w:bidi="ar"/>
              </w:rPr>
              <w:t>/</w:t>
            </w:r>
            <w:r>
              <w:rPr>
                <w:rStyle w:val="13"/>
                <w:lang w:val="en-US" w:eastAsia="zh-CN" w:bidi="ar"/>
              </w:rPr>
              <w:t>编制数）</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Style w:val="13"/>
                <w:lang w:val="en-US" w:eastAsia="zh-CN" w:bidi="ar"/>
              </w:rPr>
            </w:pPr>
            <w:r>
              <w:rPr>
                <w:rStyle w:val="13"/>
                <w:lang w:val="en-US" w:eastAsia="zh-CN" w:bidi="ar"/>
              </w:rPr>
              <w:t>在职人员数：部门（单位）实际在职人数</w:t>
            </w:r>
            <w:r>
              <w:rPr>
                <w:rStyle w:val="14"/>
                <w:rFonts w:eastAsia="宋体"/>
                <w:lang w:val="en-US" w:eastAsia="zh-CN" w:bidi="ar"/>
              </w:rPr>
              <w:t>,</w:t>
            </w:r>
            <w:r>
              <w:rPr>
                <w:rStyle w:val="13"/>
                <w:lang w:val="en-US" w:eastAsia="zh-CN" w:bidi="ar"/>
              </w:rPr>
              <w:t>以财政部门确定的部门决算编制口径为准。</w:t>
            </w:r>
          </w:p>
          <w:p>
            <w:pPr>
              <w:keepNext w:val="0"/>
              <w:keepLines w:val="0"/>
              <w:widowControl/>
              <w:suppressLineNumbers w:val="0"/>
              <w:jc w:val="left"/>
              <w:textAlignment w:val="center"/>
              <w:rPr>
                <w:rStyle w:val="14"/>
                <w:rFonts w:eastAsia="宋体"/>
                <w:lang w:val="en-US" w:eastAsia="zh-CN" w:bidi="ar"/>
              </w:rPr>
            </w:pPr>
            <w:r>
              <w:rPr>
                <w:rStyle w:val="13"/>
                <w:lang w:val="en-US" w:eastAsia="zh-CN" w:bidi="ar"/>
              </w:rPr>
              <w:t>编制数：机构编制部门核定批复的部门（单位）人员编制数。</w:t>
            </w:r>
            <w:r>
              <w:rPr>
                <w:rStyle w:val="14"/>
                <w:rFonts w:eastAsia="宋体"/>
                <w:lang w:val="en-US" w:eastAsia="zh-CN" w:bidi="ar"/>
              </w:rPr>
              <w:t xml:space="preserve">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在职人员控制率≦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1%</w:t>
            </w:r>
            <w:r>
              <w:rPr>
                <w:rStyle w:val="13"/>
                <w:lang w:val="en-US" w:eastAsia="zh-CN" w:bidi="ar"/>
              </w:rPr>
              <w:t>扣</w:t>
            </w:r>
            <w:r>
              <w:rPr>
                <w:rStyle w:val="14"/>
                <w:rFonts w:eastAsia="宋体"/>
                <w:lang w:val="en-US" w:eastAsia="zh-CN" w:bidi="ar"/>
              </w:rPr>
              <w:t>0.2</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4"/>
                <w:rFonts w:eastAsia="宋体"/>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预算数与上年度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4"/>
                <w:rFonts w:eastAsia="宋体"/>
                <w:lang w:val="en-US" w:eastAsia="zh-CN" w:bidi="ar"/>
              </w:rPr>
            </w:pPr>
          </w:p>
          <w:p>
            <w:pPr>
              <w:keepNext w:val="0"/>
              <w:keepLines w:val="0"/>
              <w:widowControl/>
              <w:suppressLineNumbers w:val="0"/>
              <w:jc w:val="left"/>
              <w:textAlignment w:val="center"/>
              <w:rPr>
                <w:rStyle w:val="13"/>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变动率</w:t>
            </w:r>
            <w:r>
              <w:rPr>
                <w:rStyle w:val="14"/>
                <w:rFonts w:eastAsia="宋体"/>
                <w:lang w:val="en-US" w:eastAsia="zh-CN" w:bidi="ar"/>
              </w:rPr>
              <w:t>=[</w:t>
            </w:r>
            <w:r>
              <w:rPr>
                <w:rStyle w:val="13"/>
                <w:lang w:val="en-US" w:eastAsia="zh-CN" w:bidi="ar"/>
              </w:rPr>
              <w:t>（本年度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]×100%</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：年度预算安排的因公出国（境）费、公务车辆购置及运行费和公务招待费。</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该项得分，变动率为负数，计</w:t>
            </w:r>
            <w:r>
              <w:rPr>
                <w:rStyle w:val="14"/>
                <w:rFonts w:eastAsia="宋体"/>
                <w:lang w:val="en-US" w:eastAsia="zh-CN" w:bidi="ar"/>
              </w:rPr>
              <w:t>2</w:t>
            </w:r>
            <w:r>
              <w:rPr>
                <w:rStyle w:val="13"/>
                <w:lang w:val="en-US" w:eastAsia="zh-CN" w:bidi="ar"/>
              </w:rPr>
              <w:t>分，变动率为正数，计</w:t>
            </w:r>
            <w:r>
              <w:rPr>
                <w:rStyle w:val="14"/>
                <w:rFonts w:eastAsia="宋体"/>
                <w:lang w:val="en-US" w:eastAsia="zh-CN" w:bidi="ar"/>
              </w:rPr>
              <w:t>0</w:t>
            </w:r>
            <w:r>
              <w:rPr>
                <w:rStyle w:val="13"/>
                <w:lang w:val="en-US" w:eastAsia="zh-CN" w:bidi="ar"/>
              </w:rPr>
              <w:t>分。年度内</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完成数超过预算数，则该项计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本年度和上年度部门（单位）预算</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重点</w:t>
            </w:r>
          </w:p>
          <w:p>
            <w:pPr>
              <w:keepNext w:val="0"/>
              <w:keepLines w:val="0"/>
              <w:widowControl/>
              <w:suppressLineNumbers w:val="0"/>
              <w:jc w:val="center"/>
              <w:textAlignment w:val="center"/>
              <w:rPr>
                <w:rStyle w:val="13"/>
                <w:lang w:val="en-US" w:eastAsia="zh-CN" w:bidi="ar"/>
              </w:rPr>
            </w:pPr>
            <w:r>
              <w:rPr>
                <w:rStyle w:val="13"/>
                <w:lang w:val="en-US" w:eastAsia="zh-CN" w:bidi="ar"/>
              </w:rPr>
              <w:t>支出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重点支出安排率</w:t>
            </w:r>
            <w:r>
              <w:rPr>
                <w:rStyle w:val="14"/>
                <w:rFonts w:eastAsia="宋体"/>
                <w:lang w:val="en-US" w:eastAsia="zh-CN" w:bidi="ar"/>
              </w:rPr>
              <w:t>=</w:t>
            </w:r>
            <w:r>
              <w:rPr>
                <w:rStyle w:val="13"/>
                <w:lang w:val="en-US" w:eastAsia="zh-CN" w:bidi="ar"/>
              </w:rPr>
              <w:t>（重点实际支出</w:t>
            </w:r>
            <w:r>
              <w:rPr>
                <w:rStyle w:val="14"/>
                <w:rFonts w:eastAsia="宋体"/>
                <w:lang w:val="en-US" w:eastAsia="zh-CN" w:bidi="ar"/>
              </w:rPr>
              <w:t>/</w:t>
            </w:r>
            <w:r>
              <w:rPr>
                <w:rStyle w:val="13"/>
                <w:lang w:val="en-US" w:eastAsia="zh-CN" w:bidi="ar"/>
              </w:rPr>
              <w:t>重点预算支出）</w:t>
            </w:r>
            <w:r>
              <w:rPr>
                <w:rStyle w:val="14"/>
                <w:rFonts w:eastAsia="宋体"/>
                <w:lang w:val="en-US" w:eastAsia="zh-CN" w:bidi="ar"/>
              </w:rPr>
              <w:t>×100%</w:t>
            </w:r>
            <w:r>
              <w:rPr>
                <w:rStyle w:val="13"/>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安排率</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5</w:t>
            </w:r>
            <w:r>
              <w:rPr>
                <w:rStyle w:val="13"/>
                <w:lang w:val="en-US" w:eastAsia="zh-CN" w:bidi="ar"/>
              </w:rPr>
              <w:t>%扣</w:t>
            </w:r>
            <w:r>
              <w:rPr>
                <w:rStyle w:val="14"/>
                <w:rFonts w:eastAsia="宋体"/>
                <w:lang w:val="en-US" w:eastAsia="zh-CN" w:bidi="ar"/>
              </w:rPr>
              <w:t>0.5</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非税</w:t>
            </w:r>
          </w:p>
          <w:p>
            <w:pPr>
              <w:keepNext w:val="0"/>
              <w:keepLines w:val="0"/>
              <w:widowControl/>
              <w:suppressLineNumbers w:val="0"/>
              <w:jc w:val="center"/>
              <w:textAlignment w:val="center"/>
              <w:rPr>
                <w:rStyle w:val="13"/>
                <w:lang w:val="en-US" w:eastAsia="zh-CN" w:bidi="ar"/>
              </w:rPr>
            </w:pPr>
            <w:r>
              <w:rPr>
                <w:rStyle w:val="13"/>
                <w:lang w:val="en-US" w:eastAsia="zh-CN" w:bidi="ar"/>
              </w:rPr>
              <w:t>收入</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非税收入完成率</w:t>
            </w:r>
            <w:r>
              <w:rPr>
                <w:rStyle w:val="14"/>
                <w:rFonts w:eastAsia="宋体"/>
                <w:lang w:val="en-US" w:eastAsia="zh-CN" w:bidi="ar"/>
              </w:rPr>
              <w:t>=</w:t>
            </w:r>
            <w:r>
              <w:rPr>
                <w:rStyle w:val="13"/>
                <w:lang w:val="en-US" w:eastAsia="zh-CN" w:bidi="ar"/>
              </w:rPr>
              <w:t>（非税实际收入完成数</w:t>
            </w:r>
            <w:r>
              <w:rPr>
                <w:rStyle w:val="14"/>
                <w:rFonts w:eastAsia="宋体"/>
                <w:lang w:val="en-US" w:eastAsia="zh-CN" w:bidi="ar"/>
              </w:rPr>
              <w:t>/</w:t>
            </w:r>
            <w:r>
              <w:rPr>
                <w:rStyle w:val="13"/>
                <w:lang w:val="en-US" w:eastAsia="zh-CN" w:bidi="ar"/>
              </w:rPr>
              <w:t>非税收入预算数）</w:t>
            </w:r>
            <w:r>
              <w:rPr>
                <w:rStyle w:val="14"/>
                <w:rFonts w:eastAsia="宋体"/>
                <w:lang w:val="en-US" w:eastAsia="zh-CN" w:bidi="ar"/>
              </w:rPr>
              <w:t>×100%</w:t>
            </w:r>
            <w:r>
              <w:rPr>
                <w:rStyle w:val="13"/>
                <w:lang w:val="en-US" w:eastAsia="zh-CN" w:bidi="ar"/>
              </w:rPr>
              <w:t>，有减免因素的，以财政事务中心确定的为准。</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47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预算</w:t>
            </w:r>
          </w:p>
          <w:p>
            <w:pPr>
              <w:keepNext w:val="0"/>
              <w:keepLines w:val="0"/>
              <w:widowControl/>
              <w:suppressLineNumbers w:val="0"/>
              <w:jc w:val="center"/>
              <w:textAlignment w:val="center"/>
              <w:rPr>
                <w:rStyle w:val="13"/>
                <w:lang w:val="en-US" w:eastAsia="zh-CN" w:bidi="ar"/>
              </w:rPr>
            </w:pPr>
            <w:r>
              <w:rPr>
                <w:rStyle w:val="13"/>
                <w:lang w:val="en-US" w:eastAsia="zh-CN" w:bidi="ar"/>
              </w:rPr>
              <w:t>执行</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rFonts w:eastAsia="宋体"/>
                <w:lang w:val="en-US" w:eastAsia="zh-CN" w:bidi="ar"/>
              </w:rPr>
              <w:t>(13</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预算</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①预算执行率</w:t>
            </w:r>
            <w:r>
              <w:rPr>
                <w:rStyle w:val="14"/>
                <w:rFonts w:eastAsia="宋体"/>
                <w:lang w:val="en-US" w:eastAsia="zh-CN" w:bidi="ar"/>
              </w:rPr>
              <w:t>=</w:t>
            </w:r>
            <w:r>
              <w:rPr>
                <w:rStyle w:val="13"/>
                <w:lang w:val="en-US" w:eastAsia="zh-CN" w:bidi="ar"/>
              </w:rPr>
              <w:t>（预算完成数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Style w:val="13"/>
                <w:lang w:val="en-US" w:eastAsia="zh-CN" w:bidi="ar"/>
              </w:rPr>
            </w:pPr>
            <w:r>
              <w:rPr>
                <w:rStyle w:val="13"/>
                <w:lang w:val="en-US" w:eastAsia="zh-CN" w:bidi="ar"/>
              </w:rPr>
              <w:t>预算执行数：部门（单位）本年度实际完成的预算数。</w:t>
            </w:r>
          </w:p>
          <w:p>
            <w:pPr>
              <w:keepNext w:val="0"/>
              <w:keepLines w:val="0"/>
              <w:widowControl/>
              <w:suppressLineNumbers w:val="0"/>
              <w:jc w:val="left"/>
              <w:textAlignment w:val="center"/>
              <w:rPr>
                <w:rStyle w:val="13"/>
                <w:lang w:val="en-US" w:eastAsia="zh-CN" w:bidi="ar"/>
              </w:rPr>
            </w:pPr>
            <w:r>
              <w:rPr>
                <w:rStyle w:val="13"/>
                <w:lang w:val="en-US" w:eastAsia="zh-CN" w:bidi="ar"/>
              </w:rPr>
              <w:t>预算数：财政部门批复的本年度部门（单位）预算数及追加的预算数。</w:t>
            </w:r>
          </w:p>
          <w:p>
            <w:pPr>
              <w:keepNext w:val="0"/>
              <w:keepLines w:val="0"/>
              <w:widowControl/>
              <w:suppressLineNumbers w:val="0"/>
              <w:jc w:val="left"/>
              <w:textAlignment w:val="center"/>
              <w:rPr>
                <w:rStyle w:val="13"/>
                <w:lang w:val="en-US" w:eastAsia="zh-CN" w:bidi="ar"/>
              </w:rPr>
            </w:pPr>
            <w:r>
              <w:rPr>
                <w:rStyle w:val="13"/>
                <w:lang w:val="en-US" w:eastAsia="zh-CN" w:bidi="ar"/>
              </w:rPr>
              <w:t>该项得分，全年预算执行率</w:t>
            </w:r>
            <w:r>
              <w:rPr>
                <w:rStyle w:val="14"/>
                <w:rFonts w:eastAsia="宋体"/>
                <w:lang w:val="en-US" w:eastAsia="zh-CN" w:bidi="ar"/>
              </w:rPr>
              <w:t>95%</w:t>
            </w:r>
            <w:r>
              <w:rPr>
                <w:rStyle w:val="13"/>
                <w:lang w:val="en-US" w:eastAsia="zh-CN" w:bidi="ar"/>
              </w:rPr>
              <w:t>以上计</w:t>
            </w:r>
            <w:r>
              <w:rPr>
                <w:rStyle w:val="14"/>
                <w:rFonts w:eastAsia="宋体"/>
                <w:lang w:val="en-US" w:eastAsia="zh-CN" w:bidi="ar"/>
              </w:rPr>
              <w:t>2</w:t>
            </w:r>
            <w:r>
              <w:rPr>
                <w:rStyle w:val="13"/>
                <w:lang w:val="en-US" w:eastAsia="zh-CN" w:bidi="ar"/>
              </w:rPr>
              <w:t>分，</w:t>
            </w:r>
            <w:r>
              <w:rPr>
                <w:rStyle w:val="14"/>
                <w:rFonts w:eastAsia="宋体"/>
                <w:lang w:val="en-US" w:eastAsia="zh-CN" w:bidi="ar"/>
              </w:rPr>
              <w:t>95-90%</w:t>
            </w:r>
            <w:r>
              <w:rPr>
                <w:rStyle w:val="13"/>
                <w:lang w:val="en-US" w:eastAsia="zh-CN" w:bidi="ar"/>
              </w:rPr>
              <w:t>（含），计</w:t>
            </w:r>
            <w:r>
              <w:rPr>
                <w:rStyle w:val="14"/>
                <w:rFonts w:eastAsia="宋体"/>
                <w:lang w:val="en-US" w:eastAsia="zh-CN" w:bidi="ar"/>
              </w:rPr>
              <w:t>1</w:t>
            </w:r>
            <w:r>
              <w:rPr>
                <w:rStyle w:val="13"/>
                <w:lang w:val="en-US" w:eastAsia="zh-CN" w:bidi="ar"/>
              </w:rPr>
              <w:t>分，</w:t>
            </w:r>
            <w:r>
              <w:rPr>
                <w:rStyle w:val="14"/>
                <w:rFonts w:eastAsia="宋体"/>
                <w:lang w:val="en-US" w:eastAsia="zh-CN" w:bidi="ar"/>
              </w:rPr>
              <w:t>90-80%</w:t>
            </w:r>
            <w:r>
              <w:rPr>
                <w:rStyle w:val="13"/>
                <w:lang w:val="en-US" w:eastAsia="zh-CN" w:bidi="ar"/>
              </w:rPr>
              <w:t>（含），计</w:t>
            </w:r>
            <w:r>
              <w:rPr>
                <w:rStyle w:val="14"/>
                <w:rFonts w:eastAsia="宋体"/>
                <w:lang w:val="en-US" w:eastAsia="zh-CN" w:bidi="ar"/>
              </w:rPr>
              <w:t>0.5</w:t>
            </w:r>
            <w:r>
              <w:rPr>
                <w:rStyle w:val="13"/>
                <w:lang w:val="en-US" w:eastAsia="zh-CN" w:bidi="ar"/>
              </w:rPr>
              <w:t>分，小于</w:t>
            </w:r>
            <w:r>
              <w:rPr>
                <w:rStyle w:val="14"/>
                <w:rFonts w:eastAsia="宋体"/>
                <w:lang w:val="en-US" w:eastAsia="zh-CN" w:bidi="ar"/>
              </w:rPr>
              <w:t>80%</w:t>
            </w:r>
            <w:r>
              <w:rPr>
                <w:rStyle w:val="13"/>
                <w:lang w:val="en-US" w:eastAsia="zh-CN" w:bidi="ar"/>
              </w:rPr>
              <w:t>不得分；</w:t>
            </w:r>
          </w:p>
          <w:p>
            <w:pPr>
              <w:keepNext w:val="0"/>
              <w:keepLines w:val="0"/>
              <w:widowControl/>
              <w:suppressLineNumbers w:val="0"/>
              <w:jc w:val="left"/>
              <w:textAlignment w:val="center"/>
              <w:rPr>
                <w:rStyle w:val="13"/>
                <w:lang w:val="en-US" w:eastAsia="zh-CN" w:bidi="ar"/>
              </w:rPr>
            </w:pPr>
            <w:r>
              <w:rPr>
                <w:rStyle w:val="13"/>
                <w:lang w:val="en-US" w:eastAsia="zh-CN" w:bidi="ar"/>
              </w:rPr>
              <w:t>②绩效目标执行监控是否按要求完成。</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该项得分，实施项目资金运行监控的得</w:t>
            </w:r>
            <w:r>
              <w:rPr>
                <w:rStyle w:val="14"/>
                <w:rFonts w:eastAsia="宋体"/>
                <w:lang w:val="en-US" w:eastAsia="zh-CN" w:bidi="ar"/>
              </w:rPr>
              <w:t>2</w:t>
            </w:r>
            <w:r>
              <w:rPr>
                <w:rStyle w:val="13"/>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预算</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预算调整率</w:t>
            </w:r>
            <w:r>
              <w:rPr>
                <w:rStyle w:val="14"/>
                <w:rFonts w:eastAsia="宋体"/>
                <w:lang w:val="en-US" w:eastAsia="zh-CN" w:bidi="ar"/>
              </w:rPr>
              <w:t>=</w:t>
            </w:r>
            <w:r>
              <w:rPr>
                <w:rStyle w:val="13"/>
                <w:lang w:val="en-US" w:eastAsia="zh-CN" w:bidi="ar"/>
              </w:rPr>
              <w:t>（预算调整数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Style w:val="13"/>
                <w:lang w:val="en-US" w:eastAsia="zh-CN" w:bidi="ar"/>
              </w:rPr>
            </w:pPr>
            <w:r>
              <w:rPr>
                <w:rStyle w:val="13"/>
                <w:lang w:val="en-US" w:eastAsia="zh-CN" w:bidi="ar"/>
              </w:rPr>
              <w:t>预算调整数：部门（单位）在本年度内涉及预算的追加、追减或结构调整的资金总和（因落实国家政策、发生不可抗力，市委、市政府临时交办而产生的调整及经济科目非跨类调整除外）。</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该项得分，预算调整率</w:t>
            </w:r>
            <w:r>
              <w:rPr>
                <w:rStyle w:val="14"/>
                <w:rFonts w:eastAsia="宋体"/>
                <w:lang w:val="en-US" w:eastAsia="zh-CN" w:bidi="ar"/>
              </w:rPr>
              <w:t>&lt;5%</w:t>
            </w:r>
            <w:r>
              <w:rPr>
                <w:rStyle w:val="13"/>
                <w:lang w:val="en-US" w:eastAsia="zh-CN" w:bidi="ar"/>
              </w:rPr>
              <w:t>，计</w:t>
            </w:r>
            <w:r>
              <w:rPr>
                <w:rStyle w:val="14"/>
                <w:rFonts w:eastAsia="宋体"/>
                <w:lang w:val="en-US" w:eastAsia="zh-CN" w:bidi="ar"/>
              </w:rPr>
              <w:t>2</w:t>
            </w:r>
            <w:r>
              <w:rPr>
                <w:rStyle w:val="13"/>
                <w:lang w:val="en-US" w:eastAsia="zh-CN" w:bidi="ar"/>
              </w:rPr>
              <w:t>分；</w:t>
            </w:r>
            <w:r>
              <w:rPr>
                <w:rStyle w:val="14"/>
                <w:rFonts w:eastAsia="宋体"/>
                <w:lang w:val="en-US" w:eastAsia="zh-CN" w:bidi="ar"/>
              </w:rPr>
              <w:t>5-10%</w:t>
            </w:r>
            <w:r>
              <w:rPr>
                <w:rStyle w:val="13"/>
                <w:lang w:val="en-US" w:eastAsia="zh-CN" w:bidi="ar"/>
              </w:rPr>
              <w:t>（含），计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10%</w:t>
            </w:r>
            <w:r>
              <w:rPr>
                <w:rStyle w:val="13"/>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结转</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Style w:val="13"/>
                <w:lang w:val="en-US" w:eastAsia="zh-CN" w:bidi="ar"/>
              </w:rPr>
            </w:pPr>
          </w:p>
          <w:p>
            <w:pPr>
              <w:keepNext w:val="0"/>
              <w:keepLines w:val="0"/>
              <w:widowControl/>
              <w:suppressLineNumbers w:val="0"/>
              <w:spacing w:after="180" w:afterAutospacing="0"/>
              <w:jc w:val="left"/>
              <w:textAlignment w:val="center"/>
              <w:rPr>
                <w:rStyle w:val="13"/>
                <w:lang w:val="en-US" w:eastAsia="zh-CN" w:bidi="ar"/>
              </w:rPr>
            </w:pPr>
            <w:r>
              <w:rPr>
                <w:rStyle w:val="13"/>
                <w:lang w:val="en-US" w:eastAsia="zh-CN" w:bidi="ar"/>
              </w:rPr>
              <w:t>结转结余率</w:t>
            </w:r>
            <w:r>
              <w:rPr>
                <w:rStyle w:val="14"/>
                <w:rFonts w:eastAsia="宋体"/>
                <w:lang w:val="en-US" w:eastAsia="zh-CN" w:bidi="ar"/>
              </w:rPr>
              <w:t>=</w:t>
            </w:r>
            <w:r>
              <w:rPr>
                <w:rStyle w:val="13"/>
                <w:lang w:val="en-US" w:eastAsia="zh-CN" w:bidi="ar"/>
              </w:rPr>
              <w:t>结转结余总额</w:t>
            </w:r>
            <w:r>
              <w:rPr>
                <w:rStyle w:val="14"/>
                <w:rFonts w:eastAsia="宋体"/>
                <w:lang w:val="en-US" w:eastAsia="zh-CN" w:bidi="ar"/>
              </w:rPr>
              <w:t>/</w:t>
            </w:r>
            <w:r>
              <w:rPr>
                <w:rStyle w:val="13"/>
                <w:lang w:val="en-US" w:eastAsia="zh-CN" w:bidi="ar"/>
              </w:rPr>
              <w:t>支出预算数</w:t>
            </w:r>
            <w:r>
              <w:rPr>
                <w:rStyle w:val="14"/>
                <w:rFonts w:eastAsia="宋体"/>
                <w:lang w:val="en-US" w:eastAsia="zh-CN" w:bidi="ar"/>
              </w:rPr>
              <w:t>×100%</w:t>
            </w:r>
            <w:r>
              <w:rPr>
                <w:rStyle w:val="13"/>
                <w:lang w:val="en-US" w:eastAsia="zh-CN" w:bidi="ar"/>
              </w:rPr>
              <w:t>。结转结余总额：部门本年度的结转资金与结余资金之和（以决算数为准）。</w:t>
            </w:r>
          </w:p>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该项得分，结余率</w:t>
            </w:r>
            <w:r>
              <w:rPr>
                <w:rStyle w:val="14"/>
                <w:rFonts w:eastAsia="宋体"/>
                <w:lang w:val="en-US" w:eastAsia="zh-CN" w:bidi="ar"/>
              </w:rPr>
              <w:t>≤10%</w:t>
            </w:r>
            <w:r>
              <w:rPr>
                <w:rStyle w:val="13"/>
                <w:lang w:val="en-US" w:eastAsia="zh-CN" w:bidi="ar"/>
              </w:rPr>
              <w:t>的，计</w:t>
            </w:r>
            <w:r>
              <w:rPr>
                <w:rStyle w:val="14"/>
                <w:rFonts w:eastAsia="宋体"/>
                <w:lang w:val="en-US" w:eastAsia="zh-CN" w:bidi="ar"/>
              </w:rPr>
              <w:t>1</w:t>
            </w:r>
            <w:r>
              <w:rPr>
                <w:rStyle w:val="13"/>
                <w:lang w:val="en-US" w:eastAsia="zh-CN" w:bidi="ar"/>
              </w:rPr>
              <w:t>分；结余率</w:t>
            </w:r>
            <w:r>
              <w:rPr>
                <w:rStyle w:val="14"/>
                <w:rFonts w:eastAsia="宋体"/>
                <w:lang w:val="en-US" w:eastAsia="zh-CN" w:bidi="ar"/>
              </w:rPr>
              <w:t>&gt;10%</w:t>
            </w:r>
            <w:r>
              <w:rPr>
                <w:rStyle w:val="13"/>
                <w:lang w:val="en-US" w:eastAsia="zh-CN" w:bidi="ar"/>
              </w:rPr>
              <w:t>（不含），</w:t>
            </w:r>
            <w:r>
              <w:rPr>
                <w:rStyle w:val="14"/>
                <w:rFonts w:eastAsia="宋体"/>
                <w:lang w:val="en-US" w:eastAsia="zh-CN" w:bidi="ar"/>
              </w:rPr>
              <w:t>0.5</w:t>
            </w:r>
            <w:r>
              <w:rPr>
                <w:rStyle w:val="13"/>
                <w:lang w:val="en-US" w:eastAsia="zh-CN" w:bidi="ar"/>
              </w:rPr>
              <w:t>分；本年超支的，计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公用经费</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r>
              <w:rPr>
                <w:rStyle w:val="13"/>
                <w:lang w:val="en-US" w:eastAsia="zh-CN" w:bidi="ar"/>
              </w:rPr>
              <w:t>公用经费控制率</w:t>
            </w:r>
            <w:r>
              <w:rPr>
                <w:rStyle w:val="14"/>
                <w:rFonts w:eastAsia="宋体"/>
                <w:lang w:val="en-US" w:eastAsia="zh-CN" w:bidi="ar"/>
              </w:rPr>
              <w:t>=</w:t>
            </w:r>
            <w:r>
              <w:rPr>
                <w:rStyle w:val="13"/>
                <w:lang w:val="en-US" w:eastAsia="zh-CN" w:bidi="ar"/>
              </w:rPr>
              <w:t>（实际支出公用经费总额</w:t>
            </w:r>
            <w:r>
              <w:rPr>
                <w:rStyle w:val="14"/>
                <w:rFonts w:eastAsia="宋体"/>
                <w:lang w:val="en-US" w:eastAsia="zh-CN" w:bidi="ar"/>
              </w:rPr>
              <w:t>/</w:t>
            </w:r>
            <w:r>
              <w:rPr>
                <w:rStyle w:val="13"/>
                <w:lang w:val="en-US" w:eastAsia="zh-CN" w:bidi="ar"/>
              </w:rPr>
              <w:t>预算安排公用经费总额）</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4"/>
                <w:rFonts w:eastAsia="宋体"/>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实际支出数与预算安排数的比率，用以反映和考核部门（单位）对</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控制率</w:t>
            </w:r>
            <w:r>
              <w:rPr>
                <w:rStyle w:val="14"/>
                <w:rFonts w:eastAsia="宋体"/>
                <w:lang w:val="en-US" w:eastAsia="zh-CN" w:bidi="ar"/>
              </w:rPr>
              <w:t>=</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预算安排数）</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政府采购</w:t>
            </w:r>
          </w:p>
          <w:p>
            <w:pPr>
              <w:keepNext w:val="0"/>
              <w:keepLines w:val="0"/>
              <w:widowControl/>
              <w:suppressLineNumbers w:val="0"/>
              <w:jc w:val="center"/>
              <w:textAlignment w:val="center"/>
              <w:rPr>
                <w:rStyle w:val="13"/>
                <w:lang w:val="en-US" w:eastAsia="zh-CN" w:bidi="ar"/>
              </w:rPr>
            </w:pPr>
            <w:r>
              <w:rPr>
                <w:rStyle w:val="13"/>
                <w:lang w:val="en-US" w:eastAsia="zh-CN" w:bidi="ar"/>
              </w:rPr>
              <w:t>执行率和</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①政府采购预算执行率</w:t>
            </w:r>
            <w:r>
              <w:rPr>
                <w:rStyle w:val="14"/>
                <w:rFonts w:eastAsia="宋体"/>
                <w:lang w:val="en-US" w:eastAsia="zh-CN" w:bidi="ar"/>
              </w:rPr>
              <w:t>=</w:t>
            </w:r>
            <w:r>
              <w:rPr>
                <w:rStyle w:val="13"/>
                <w:lang w:val="en-US" w:eastAsia="zh-CN" w:bidi="ar"/>
              </w:rPr>
              <w:t>（实际政府采购金额</w:t>
            </w:r>
            <w:r>
              <w:rPr>
                <w:rStyle w:val="14"/>
                <w:rFonts w:eastAsia="宋体"/>
                <w:lang w:val="en-US" w:eastAsia="zh-CN" w:bidi="ar"/>
              </w:rPr>
              <w:t>/</w:t>
            </w:r>
            <w:r>
              <w:rPr>
                <w:rStyle w:val="13"/>
                <w:lang w:val="en-US" w:eastAsia="zh-CN" w:bidi="ar"/>
              </w:rPr>
              <w:t>政府采购预算数）</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Style w:val="13"/>
                <w:lang w:val="en-US" w:eastAsia="zh-CN" w:bidi="ar"/>
              </w:rPr>
            </w:pPr>
            <w:r>
              <w:rPr>
                <w:rStyle w:val="13"/>
                <w:lang w:val="en-US" w:eastAsia="zh-CN" w:bidi="ar"/>
              </w:rPr>
              <w:t>政府采购预算：采购机关根据事业发展计划和行政任务编制的、并经过规定程序批准的年度政府采购计划。</w:t>
            </w:r>
          </w:p>
          <w:p>
            <w:pPr>
              <w:keepNext w:val="0"/>
              <w:keepLines w:val="0"/>
              <w:widowControl/>
              <w:suppressLineNumbers w:val="0"/>
              <w:jc w:val="left"/>
              <w:textAlignment w:val="center"/>
              <w:rPr>
                <w:rStyle w:val="13"/>
                <w:lang w:val="en-US" w:eastAsia="zh-CN" w:bidi="ar"/>
              </w:rPr>
            </w:pPr>
            <w:r>
              <w:rPr>
                <w:rStyle w:val="13"/>
                <w:lang w:val="en-US" w:eastAsia="zh-CN" w:bidi="ar"/>
              </w:rPr>
              <w:t>该项得分，完成本年度采购计划的，政府采购执行率≤</w:t>
            </w:r>
            <w:r>
              <w:rPr>
                <w:rStyle w:val="14"/>
                <w:rFonts w:eastAsia="宋体"/>
                <w:lang w:val="en-US" w:eastAsia="zh-CN" w:bidi="ar"/>
              </w:rPr>
              <w:t>100%</w:t>
            </w:r>
            <w:r>
              <w:rPr>
                <w:rStyle w:val="13"/>
                <w:lang w:val="en-US" w:eastAsia="zh-CN" w:bidi="ar"/>
              </w:rPr>
              <w:t>，计</w:t>
            </w:r>
            <w:r>
              <w:rPr>
                <w:rStyle w:val="14"/>
                <w:rFonts w:eastAsia="宋体"/>
                <w:lang w:val="en-US" w:eastAsia="zh-CN" w:bidi="ar"/>
              </w:rPr>
              <w:t>1</w:t>
            </w:r>
            <w:r>
              <w:rPr>
                <w:rStyle w:val="13"/>
                <w:lang w:val="en-US" w:eastAsia="zh-CN" w:bidi="ar"/>
              </w:rPr>
              <w:t>分，每超过</w:t>
            </w:r>
            <w:r>
              <w:rPr>
                <w:rStyle w:val="14"/>
                <w:rFonts w:eastAsia="宋体"/>
                <w:lang w:val="en-US" w:eastAsia="zh-CN" w:bidi="ar"/>
              </w:rPr>
              <w:t>1%</w:t>
            </w:r>
            <w:r>
              <w:rPr>
                <w:rStyle w:val="13"/>
                <w:lang w:val="en-US" w:eastAsia="zh-CN" w:bidi="ar"/>
              </w:rPr>
              <w:t>扣</w:t>
            </w:r>
            <w:r>
              <w:rPr>
                <w:rStyle w:val="14"/>
                <w:rFonts w:eastAsia="宋体"/>
                <w:lang w:val="en-US" w:eastAsia="zh-CN" w:bidi="ar"/>
              </w:rPr>
              <w:t>0.1</w:t>
            </w:r>
            <w:r>
              <w:rPr>
                <w:rStyle w:val="13"/>
                <w:lang w:val="en-US" w:eastAsia="zh-CN" w:bidi="ar"/>
              </w:rPr>
              <w:t>分，扣完为止；</w:t>
            </w:r>
          </w:p>
          <w:p>
            <w:pPr>
              <w:keepNext w:val="0"/>
              <w:keepLines w:val="0"/>
              <w:widowControl/>
              <w:suppressLineNumbers w:val="0"/>
              <w:jc w:val="left"/>
              <w:textAlignment w:val="center"/>
              <w:rPr>
                <w:rStyle w:val="13"/>
                <w:lang w:val="en-US" w:eastAsia="zh-CN" w:bidi="ar"/>
              </w:rPr>
            </w:pPr>
            <w:r>
              <w:rPr>
                <w:rStyle w:val="13"/>
                <w:lang w:val="en-US" w:eastAsia="zh-CN" w:bidi="ar"/>
              </w:rPr>
              <w:t>②所有项目依法采购，无规避政府采购或化整为零进行政府采购的行为，并履行验收手续，计0.5分，否则不得分；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预算</w:t>
            </w:r>
          </w:p>
          <w:p>
            <w:pPr>
              <w:keepNext w:val="0"/>
              <w:keepLines w:val="0"/>
              <w:widowControl/>
              <w:suppressLineNumbers w:val="0"/>
              <w:jc w:val="center"/>
              <w:textAlignment w:val="center"/>
              <w:rPr>
                <w:rStyle w:val="13"/>
                <w:lang w:val="en-US" w:eastAsia="zh-CN" w:bidi="ar"/>
              </w:rPr>
            </w:pPr>
            <w:r>
              <w:rPr>
                <w:rStyle w:val="13"/>
                <w:lang w:val="en-US" w:eastAsia="zh-CN" w:bidi="ar"/>
              </w:rPr>
              <w:t>管理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29</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管理制度</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①是否已制定或具有预算资金管理办法、内部财务管理制度、会计核算制度等管理制度；</w:t>
            </w:r>
          </w:p>
          <w:p>
            <w:pPr>
              <w:keepNext w:val="0"/>
              <w:keepLines w:val="0"/>
              <w:widowControl/>
              <w:suppressLineNumbers w:val="0"/>
              <w:jc w:val="left"/>
              <w:textAlignment w:val="center"/>
              <w:rPr>
                <w:rStyle w:val="13"/>
                <w:lang w:val="en-US" w:eastAsia="zh-CN" w:bidi="ar"/>
              </w:rPr>
            </w:pPr>
            <w:r>
              <w:rPr>
                <w:rStyle w:val="13"/>
                <w:lang w:val="en-US" w:eastAsia="zh-CN" w:bidi="ar"/>
              </w:rPr>
              <w:t>②相关管理制度是否合法、合规、完整；</w:t>
            </w:r>
          </w:p>
          <w:p>
            <w:pPr>
              <w:keepNext w:val="0"/>
              <w:keepLines w:val="0"/>
              <w:widowControl/>
              <w:suppressLineNumbers w:val="0"/>
              <w:jc w:val="left"/>
              <w:textAlignment w:val="center"/>
              <w:rPr>
                <w:rStyle w:val="13"/>
                <w:lang w:val="en-US" w:eastAsia="zh-CN" w:bidi="ar"/>
              </w:rPr>
            </w:pPr>
            <w:r>
              <w:rPr>
                <w:rStyle w:val="13"/>
                <w:lang w:val="en-US" w:eastAsia="zh-CN" w:bidi="ar"/>
              </w:rPr>
              <w:t>③相关管理制度是否得到有效执行。</w:t>
            </w:r>
          </w:p>
          <w:p>
            <w:pPr>
              <w:keepNext w:val="0"/>
              <w:keepLines w:val="0"/>
              <w:widowControl/>
              <w:suppressLineNumbers w:val="0"/>
              <w:jc w:val="left"/>
              <w:textAlignment w:val="center"/>
              <w:rPr>
                <w:rStyle w:val="13"/>
                <w:lang w:val="en-US" w:eastAsia="zh-CN" w:bidi="ar"/>
              </w:rPr>
            </w:pPr>
            <w:r>
              <w:rPr>
                <w:rStyle w:val="13"/>
                <w:lang w:val="en-US" w:eastAsia="zh-CN" w:bidi="ar"/>
              </w:rPr>
              <w:t>④会计人员、机构是否按规定设置；</w:t>
            </w:r>
          </w:p>
          <w:p>
            <w:pPr>
              <w:keepNext w:val="0"/>
              <w:keepLines w:val="0"/>
              <w:widowControl/>
              <w:suppressLineNumbers w:val="0"/>
              <w:jc w:val="left"/>
              <w:textAlignment w:val="center"/>
              <w:rPr>
                <w:rStyle w:val="13"/>
                <w:lang w:val="en-US" w:eastAsia="zh-CN" w:bidi="ar"/>
              </w:rPr>
            </w:pPr>
            <w:r>
              <w:rPr>
                <w:rStyle w:val="13"/>
                <w:lang w:val="en-US" w:eastAsia="zh-CN" w:bidi="ar"/>
              </w:rPr>
              <w:t>⑤会计基础工作是否健全；</w:t>
            </w:r>
          </w:p>
          <w:p>
            <w:pPr>
              <w:keepNext w:val="0"/>
              <w:keepLines w:val="0"/>
              <w:widowControl/>
              <w:suppressLineNumbers w:val="0"/>
              <w:jc w:val="left"/>
              <w:textAlignment w:val="center"/>
              <w:rPr>
                <w:rStyle w:val="13"/>
                <w:lang w:val="en-US" w:eastAsia="zh-CN" w:bidi="ar"/>
              </w:rPr>
            </w:pPr>
            <w:r>
              <w:rPr>
                <w:rStyle w:val="13"/>
                <w:lang w:val="en-US" w:eastAsia="zh-CN" w:bidi="ar"/>
              </w:rPr>
              <w:t>⑥会计档案是否符合规定要求；</w:t>
            </w:r>
          </w:p>
          <w:p>
            <w:pPr>
              <w:keepNext w:val="0"/>
              <w:keepLines w:val="0"/>
              <w:widowControl/>
              <w:suppressLineNumbers w:val="0"/>
              <w:jc w:val="left"/>
              <w:textAlignment w:val="center"/>
              <w:rPr>
                <w:rStyle w:val="13"/>
                <w:lang w:val="en-US" w:eastAsia="zh-CN" w:bidi="ar"/>
              </w:rPr>
            </w:pPr>
            <w:r>
              <w:rPr>
                <w:rStyle w:val="13"/>
                <w:lang w:val="en-US" w:eastAsia="zh-CN" w:bidi="ar"/>
              </w:rPr>
              <w:t>⑦项目管理是否规范（包括项目立项、申报、招投标、合同或协议要素、制度建立、按时完工等）。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以上情况每发现一例不符合要求的扣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部门（单位）管理制度。</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资金使用</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①符合国家财经法规和财务管理制度以及有关专项资金管理办法的规定，计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Style w:val="13"/>
                <w:lang w:val="en-US" w:eastAsia="zh-CN" w:bidi="ar"/>
              </w:rPr>
            </w:pPr>
            <w:r>
              <w:rPr>
                <w:rStyle w:val="13"/>
                <w:lang w:val="en-US" w:eastAsia="zh-CN" w:bidi="ar"/>
              </w:rPr>
              <w:t>②资金的支付有完整的审批程序和手续，计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Style w:val="13"/>
                <w:lang w:val="en-US" w:eastAsia="zh-CN" w:bidi="ar"/>
              </w:rPr>
            </w:pPr>
            <w:r>
              <w:rPr>
                <w:rStyle w:val="13"/>
                <w:lang w:val="en-US" w:eastAsia="zh-CN" w:bidi="ar"/>
              </w:rPr>
              <w:t>③重大项目开支和大额资金使用经过单位党组集体研究决策，计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Style w:val="13"/>
                <w:lang w:val="en-US" w:eastAsia="zh-CN" w:bidi="ar"/>
              </w:rPr>
            </w:pPr>
            <w:r>
              <w:rPr>
                <w:rStyle w:val="13"/>
                <w:lang w:val="en-US" w:eastAsia="zh-CN" w:bidi="ar"/>
              </w:rPr>
              <w:t>④符合项目预算批复或合同规定的用途，计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Style w:val="13"/>
                <w:lang w:val="en-US" w:eastAsia="zh-CN" w:bidi="ar"/>
              </w:rPr>
            </w:pPr>
            <w:r>
              <w:rPr>
                <w:rStyle w:val="13"/>
                <w:lang w:val="en-US" w:eastAsia="zh-CN" w:bidi="ar"/>
              </w:rPr>
              <w:t>⑤没有截留、挤占、挪用、虚列支出等情况，计</w:t>
            </w:r>
            <w:r>
              <w:rPr>
                <w:rStyle w:val="14"/>
                <w:rFonts w:eastAsia="宋体"/>
                <w:lang w:val="en-US" w:eastAsia="zh-CN" w:bidi="ar"/>
              </w:rPr>
              <w:t>1</w:t>
            </w:r>
            <w:r>
              <w:rPr>
                <w:rStyle w:val="13"/>
                <w:lang w:val="en-US" w:eastAsia="zh-CN" w:bidi="ar"/>
              </w:rPr>
              <w:t>分，发生</w:t>
            </w:r>
            <w:r>
              <w:rPr>
                <w:rStyle w:val="14"/>
                <w:rFonts w:eastAsia="宋体"/>
                <w:lang w:val="en-US" w:eastAsia="zh-CN" w:bidi="ar"/>
              </w:rPr>
              <w:t>1</w:t>
            </w:r>
            <w:r>
              <w:rPr>
                <w:rStyle w:val="13"/>
                <w:lang w:val="en-US" w:eastAsia="zh-CN" w:bidi="ar"/>
              </w:rPr>
              <w:t>例不符合本指标的现象</w:t>
            </w:r>
            <w:r>
              <w:rPr>
                <w:rStyle w:val="14"/>
                <w:rFonts w:eastAsia="宋体"/>
                <w:lang w:val="en-US" w:eastAsia="zh-CN" w:bidi="ar"/>
              </w:rPr>
              <w:t>7</w:t>
            </w:r>
            <w:r>
              <w:rPr>
                <w:rStyle w:val="13"/>
                <w:lang w:val="en-US" w:eastAsia="zh-CN" w:bidi="ar"/>
              </w:rPr>
              <w:t>分全扣；</w:t>
            </w:r>
          </w:p>
          <w:p>
            <w:pPr>
              <w:keepNext w:val="0"/>
              <w:keepLines w:val="0"/>
              <w:widowControl/>
              <w:suppressLineNumbers w:val="0"/>
              <w:jc w:val="left"/>
              <w:textAlignment w:val="center"/>
              <w:rPr>
                <w:rStyle w:val="13"/>
                <w:lang w:val="en-US" w:eastAsia="zh-CN" w:bidi="ar"/>
              </w:rPr>
            </w:pPr>
            <w:r>
              <w:rPr>
                <w:rStyle w:val="13"/>
                <w:lang w:val="en-US" w:eastAsia="zh-CN" w:bidi="ar"/>
              </w:rPr>
              <w:t>⑥原始凭证的取得真实有效，计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Style w:val="13"/>
                <w:lang w:val="en-US" w:eastAsia="zh-CN" w:bidi="ar"/>
              </w:rPr>
            </w:pPr>
            <w:r>
              <w:rPr>
                <w:rStyle w:val="13"/>
                <w:lang w:val="en-US" w:eastAsia="zh-CN" w:bidi="ar"/>
              </w:rPr>
              <w:t>⑦无超标准发放津补贴、奖金、无用公款支付应个人支付的款项，计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信息</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①无涉密情况的预算单位按规定及时、准确、完整的公开预决算和绩效管理信息，计</w:t>
            </w:r>
            <w:r>
              <w:rPr>
                <w:rStyle w:val="14"/>
                <w:rFonts w:eastAsia="宋体"/>
                <w:lang w:val="en-US" w:eastAsia="zh-CN" w:bidi="ar"/>
              </w:rPr>
              <w:t>1</w:t>
            </w:r>
            <w:r>
              <w:rPr>
                <w:rStyle w:val="13"/>
                <w:lang w:val="en-US" w:eastAsia="zh-CN" w:bidi="ar"/>
              </w:rPr>
              <w:t>分，否则，酌情扣分；</w:t>
            </w:r>
          </w:p>
          <w:p>
            <w:pPr>
              <w:keepNext w:val="0"/>
              <w:keepLines w:val="0"/>
              <w:widowControl/>
              <w:suppressLineNumbers w:val="0"/>
              <w:jc w:val="left"/>
              <w:textAlignment w:val="center"/>
              <w:rPr>
                <w:rStyle w:val="13"/>
                <w:lang w:val="en-US" w:eastAsia="zh-CN" w:bidi="ar"/>
              </w:rPr>
            </w:pPr>
            <w:r>
              <w:rPr>
                <w:rStyle w:val="13"/>
                <w:lang w:val="en-US" w:eastAsia="zh-CN" w:bidi="ar"/>
              </w:rPr>
              <w:t>②基础数据信息和会计信息资料真实、准确、完整，计</w:t>
            </w:r>
            <w:r>
              <w:rPr>
                <w:rStyle w:val="14"/>
                <w:rFonts w:eastAsia="宋体"/>
                <w:lang w:val="en-US" w:eastAsia="zh-CN" w:bidi="ar"/>
              </w:rPr>
              <w:t>1</w:t>
            </w:r>
            <w:r>
              <w:rPr>
                <w:rStyle w:val="13"/>
                <w:lang w:val="en-US" w:eastAsia="zh-CN" w:bidi="ar"/>
              </w:rPr>
              <w:t>分，否则，酌情扣分。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4"/>
                <w:rFonts w:eastAsia="宋体"/>
                <w:lang w:val="en-US" w:eastAsia="zh-CN" w:bidi="ar"/>
              </w:rPr>
            </w:pPr>
            <w:r>
              <w:rPr>
                <w:rStyle w:val="13"/>
                <w:lang w:val="en-US" w:eastAsia="zh-CN" w:bidi="ar"/>
              </w:rPr>
              <w:t>非税收入</w:t>
            </w:r>
            <w:r>
              <w:rPr>
                <w:rStyle w:val="14"/>
                <w:rFonts w:eastAsia="宋体"/>
                <w:lang w:val="en-US" w:eastAsia="zh-CN" w:bidi="ar"/>
              </w:rPr>
              <w:t xml:space="preserve"> </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①实行收支两条线，计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②未发生截留、坐支或转移，计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绩效自评</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①是否按要求开展部门（单位）整体支出绩效自评和专项资金支出自评工作。</w:t>
            </w:r>
          </w:p>
          <w:p>
            <w:pPr>
              <w:keepNext w:val="0"/>
              <w:keepLines w:val="0"/>
              <w:widowControl/>
              <w:suppressLineNumbers w:val="0"/>
              <w:jc w:val="left"/>
              <w:textAlignment w:val="center"/>
              <w:rPr>
                <w:rStyle w:val="13"/>
                <w:lang w:val="en-US" w:eastAsia="zh-CN" w:bidi="ar"/>
              </w:rPr>
            </w:pPr>
            <w:r>
              <w:rPr>
                <w:rStyle w:val="13"/>
                <w:lang w:val="en-US" w:eastAsia="zh-CN" w:bidi="ar"/>
              </w:rPr>
              <w:t>②是否及时报送绩效自评报告；</w:t>
            </w:r>
          </w:p>
          <w:p>
            <w:pPr>
              <w:keepNext w:val="0"/>
              <w:keepLines w:val="0"/>
              <w:widowControl/>
              <w:suppressLineNumbers w:val="0"/>
              <w:jc w:val="left"/>
              <w:textAlignment w:val="center"/>
              <w:rPr>
                <w:rStyle w:val="13"/>
                <w:lang w:val="en-US" w:eastAsia="zh-CN" w:bidi="ar"/>
              </w:rPr>
            </w:pPr>
            <w:r>
              <w:rPr>
                <w:rStyle w:val="13"/>
                <w:lang w:val="en-US" w:eastAsia="zh-CN" w:bidi="ar"/>
              </w:rPr>
              <w:t>③绩效自评报告是否完整，数据是否全面、真实、准确，绩效指标是否细化量化和科学合理；</w:t>
            </w:r>
          </w:p>
          <w:p>
            <w:pPr>
              <w:keepNext w:val="0"/>
              <w:keepLines w:val="0"/>
              <w:widowControl/>
              <w:suppressLineNumbers w:val="0"/>
              <w:jc w:val="left"/>
              <w:textAlignment w:val="center"/>
              <w:rPr>
                <w:rStyle w:val="13"/>
                <w:lang w:val="en-US" w:eastAsia="zh-CN" w:bidi="ar"/>
              </w:rPr>
            </w:pPr>
            <w:r>
              <w:rPr>
                <w:rStyle w:val="13"/>
                <w:lang w:val="en-US" w:eastAsia="zh-CN" w:bidi="ar"/>
              </w:rPr>
              <w:t>④绩效自评反映的问题是否具体，意见是否可行，自评发现的问题是否整改；</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该项得分，①、②、③、④各计</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重点绩效</w:t>
            </w:r>
          </w:p>
          <w:p>
            <w:pPr>
              <w:keepNext w:val="0"/>
              <w:keepLines w:val="0"/>
              <w:widowControl/>
              <w:suppressLineNumbers w:val="0"/>
              <w:jc w:val="center"/>
              <w:textAlignment w:val="center"/>
              <w:rPr>
                <w:rStyle w:val="13"/>
                <w:lang w:val="en-US" w:eastAsia="zh-CN" w:bidi="ar"/>
              </w:rPr>
            </w:pPr>
            <w:r>
              <w:rPr>
                <w:rStyle w:val="13"/>
                <w:lang w:val="en-US" w:eastAsia="zh-CN" w:bidi="ar"/>
              </w:rPr>
              <w:t>评价整改</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上轮重点评价问题全部整改，计3分；上轮重点评价问题部分整改，计</w:t>
            </w:r>
            <w:r>
              <w:rPr>
                <w:rStyle w:val="14"/>
                <w:rFonts w:eastAsia="宋体"/>
                <w:lang w:val="en-US" w:eastAsia="zh-CN" w:bidi="ar"/>
              </w:rPr>
              <w:t>1</w:t>
            </w:r>
            <w:r>
              <w:rPr>
                <w:rStyle w:val="13"/>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资产</w:t>
            </w:r>
          </w:p>
          <w:p>
            <w:pPr>
              <w:keepNext w:val="0"/>
              <w:keepLines w:val="0"/>
              <w:widowControl/>
              <w:suppressLineNumbers w:val="0"/>
              <w:jc w:val="center"/>
              <w:textAlignment w:val="center"/>
              <w:rPr>
                <w:rStyle w:val="13"/>
                <w:lang w:val="en-US" w:eastAsia="zh-CN" w:bidi="ar"/>
              </w:rPr>
            </w:pPr>
            <w:r>
              <w:rPr>
                <w:rStyle w:val="13"/>
                <w:lang w:val="en-US" w:eastAsia="zh-CN" w:bidi="ar"/>
              </w:rPr>
              <w:t>管理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资产管理</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r>
              <w:rPr>
                <w:rStyle w:val="13"/>
                <w:lang w:val="en-US" w:eastAsia="zh-CN" w:bidi="ar"/>
              </w:rPr>
              <w:t>①已制定合法、合规、完整的资产管理制度，计</w:t>
            </w:r>
            <w:r>
              <w:rPr>
                <w:rStyle w:val="14"/>
                <w:rFonts w:eastAsia="宋体"/>
                <w:lang w:val="en-US" w:eastAsia="zh-CN" w:bidi="ar"/>
              </w:rPr>
              <w:t>0.5</w:t>
            </w:r>
            <w:r>
              <w:rPr>
                <w:rStyle w:val="13"/>
                <w:lang w:val="en-US" w:eastAsia="zh-CN" w:bidi="ar"/>
              </w:rPr>
              <w:t>分，否则不得分；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②相关资产管理制度得到有效执行，计</w:t>
            </w:r>
            <w:r>
              <w:rPr>
                <w:rStyle w:val="14"/>
                <w:rFonts w:eastAsia="宋体"/>
                <w:lang w:val="en-US" w:eastAsia="zh-CN" w:bidi="ar"/>
              </w:rPr>
              <w:t>0.5</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部门（单位）资产管理制度；采购资产相关资料。</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资产管理</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①资产配置合理符合标准、保管完整，账务管理规范，定期盘点并有台账，账实相符的，计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p>
          <w:p>
            <w:pPr>
              <w:keepNext w:val="0"/>
              <w:keepLines w:val="0"/>
              <w:widowControl/>
              <w:suppressLineNumbers w:val="0"/>
              <w:jc w:val="left"/>
              <w:textAlignment w:val="center"/>
              <w:rPr>
                <w:rStyle w:val="13"/>
                <w:lang w:val="en-US" w:eastAsia="zh-CN" w:bidi="ar"/>
              </w:rPr>
            </w:pPr>
            <w:r>
              <w:rPr>
                <w:rStyle w:val="13"/>
                <w:lang w:val="en-US" w:eastAsia="zh-CN" w:bidi="ar"/>
              </w:rPr>
              <w:t>②资产处置规范，计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p>
          <w:p>
            <w:pPr>
              <w:keepNext w:val="0"/>
              <w:keepLines w:val="0"/>
              <w:widowControl/>
              <w:suppressLineNumbers w:val="0"/>
              <w:jc w:val="left"/>
              <w:textAlignment w:val="center"/>
              <w:rPr>
                <w:rStyle w:val="13"/>
                <w:lang w:val="en-US" w:eastAsia="zh-CN" w:bidi="ar"/>
              </w:rPr>
            </w:pPr>
            <w:r>
              <w:rPr>
                <w:rStyle w:val="13"/>
                <w:lang w:val="en-US" w:eastAsia="zh-CN" w:bidi="ar"/>
              </w:rPr>
              <w:t>③资产有偿使用或处置收入及时足额上缴，计</w:t>
            </w:r>
            <w:r>
              <w:rPr>
                <w:rStyle w:val="14"/>
                <w:rFonts w:eastAsia="宋体"/>
                <w:lang w:val="en-US" w:eastAsia="zh-CN" w:bidi="ar"/>
              </w:rPr>
              <w:t>0.5</w:t>
            </w:r>
            <w:r>
              <w:rPr>
                <w:rStyle w:val="13"/>
                <w:lang w:val="en-US" w:eastAsia="zh-CN" w:bidi="ar"/>
              </w:rPr>
              <w:t>分，发现未上缴，本项不得分；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④资产购置履行政府采购手续，计</w:t>
            </w:r>
            <w:r>
              <w:rPr>
                <w:rStyle w:val="14"/>
                <w:rFonts w:eastAsia="宋体"/>
                <w:lang w:val="en-US" w:eastAsia="zh-CN" w:bidi="ar"/>
              </w:rPr>
              <w:t>0.3</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分，扣完为止；外租资产全部走合规程序，计</w:t>
            </w:r>
            <w:r>
              <w:rPr>
                <w:rStyle w:val="14"/>
                <w:rFonts w:eastAsia="宋体"/>
                <w:lang w:val="en-US" w:eastAsia="zh-CN" w:bidi="ar"/>
              </w:rPr>
              <w:t>0.2</w:t>
            </w:r>
            <w:r>
              <w:rPr>
                <w:rStyle w:val="13"/>
                <w:lang w:val="en-US" w:eastAsia="zh-CN" w:bidi="ar"/>
              </w:rPr>
              <w:t>分，发现一例不合规，扣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固定资产</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①建了固定资产台账实行编码管理，且编码与实物完全匹配计</w:t>
            </w:r>
            <w:r>
              <w:rPr>
                <w:rStyle w:val="14"/>
                <w:rFonts w:eastAsia="宋体"/>
                <w:lang w:val="en-US" w:eastAsia="zh-CN" w:bidi="ar"/>
              </w:rPr>
              <w:t>1</w:t>
            </w:r>
            <w:r>
              <w:rPr>
                <w:rStyle w:val="13"/>
                <w:lang w:val="en-US" w:eastAsia="zh-CN" w:bidi="ar"/>
              </w:rPr>
              <w:t>分，否则不得分；</w:t>
            </w:r>
          </w:p>
          <w:p>
            <w:pPr>
              <w:keepNext w:val="0"/>
              <w:keepLines w:val="0"/>
              <w:widowControl/>
              <w:suppressLineNumbers w:val="0"/>
              <w:jc w:val="left"/>
              <w:textAlignment w:val="center"/>
              <w:rPr>
                <w:rStyle w:val="13"/>
                <w:lang w:val="en-US" w:eastAsia="zh-CN" w:bidi="ar"/>
              </w:rPr>
            </w:pPr>
            <w:r>
              <w:rPr>
                <w:rStyle w:val="13"/>
                <w:lang w:val="en-US" w:eastAsia="zh-CN" w:bidi="ar"/>
              </w:rPr>
              <w:t>②建立了固定资产增减变化审批程序的计0.5分，否则不得分；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③固定资产无闲置浪费现象计0.5分，发现一处扣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部门（单位）固定资产实际使用情况；固定资产账。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产出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w:t>
            </w:r>
            <w:r>
              <w:rPr>
                <w:rStyle w:val="14"/>
                <w:rFonts w:eastAsia="宋体"/>
                <w:lang w:val="en-US" w:eastAsia="zh-CN" w:bidi="ar"/>
              </w:rPr>
              <w:t>22</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职责履行（</w:t>
            </w:r>
            <w:r>
              <w:rPr>
                <w:rStyle w:val="14"/>
                <w:rFonts w:eastAsia="宋体"/>
                <w:lang w:val="en-US" w:eastAsia="zh-CN" w:bidi="ar"/>
              </w:rPr>
              <w:t>22</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4"/>
                <w:rFonts w:eastAsia="宋体"/>
                <w:lang w:val="en-US" w:eastAsia="zh-CN" w:bidi="ar"/>
              </w:rPr>
            </w:pPr>
            <w:r>
              <w:rPr>
                <w:rStyle w:val="13"/>
                <w:lang w:val="en-US" w:eastAsia="zh-CN" w:bidi="ar"/>
              </w:rPr>
              <w:t>部门整体</w:t>
            </w:r>
            <w:r>
              <w:rPr>
                <w:rStyle w:val="14"/>
                <w:rFonts w:eastAsia="宋体"/>
                <w:lang w:val="en-US" w:eastAsia="zh-CN" w:bidi="ar"/>
              </w:rPr>
              <w:t xml:space="preserve"> </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以市委、市政府绩效效考核评估结果为依据：优秀，计</w:t>
            </w:r>
            <w:r>
              <w:rPr>
                <w:rStyle w:val="14"/>
                <w:rFonts w:eastAsia="宋体"/>
                <w:lang w:val="en-US" w:eastAsia="zh-CN" w:bidi="ar"/>
              </w:rPr>
              <w:t>6</w:t>
            </w:r>
            <w:r>
              <w:rPr>
                <w:rStyle w:val="13"/>
                <w:lang w:val="en-US" w:eastAsia="zh-CN" w:bidi="ar"/>
              </w:rPr>
              <w:t>分；良好，</w:t>
            </w:r>
            <w:r>
              <w:rPr>
                <w:rStyle w:val="14"/>
                <w:rFonts w:eastAsia="宋体"/>
                <w:lang w:val="en-US" w:eastAsia="zh-CN" w:bidi="ar"/>
              </w:rPr>
              <w:t>4</w:t>
            </w:r>
            <w:r>
              <w:rPr>
                <w:rStyle w:val="13"/>
                <w:lang w:val="en-US" w:eastAsia="zh-CN" w:bidi="ar"/>
              </w:rPr>
              <w:t>分；合格，</w:t>
            </w:r>
            <w:r>
              <w:rPr>
                <w:rStyle w:val="14"/>
                <w:rFonts w:eastAsia="宋体"/>
                <w:lang w:val="en-US" w:eastAsia="zh-CN" w:bidi="ar"/>
              </w:rPr>
              <w:t>2</w:t>
            </w:r>
            <w:r>
              <w:rPr>
                <w:rStyle w:val="13"/>
                <w:lang w:val="en-US" w:eastAsia="zh-CN" w:bidi="ar"/>
              </w:rPr>
              <w:t>分；不合格，</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实际</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p>
          <w:p>
            <w:pPr>
              <w:keepNext w:val="0"/>
              <w:keepLines w:val="0"/>
              <w:widowControl/>
              <w:suppressLineNumbers w:val="0"/>
              <w:jc w:val="left"/>
              <w:textAlignment w:val="center"/>
              <w:rPr>
                <w:rStyle w:val="15"/>
                <w:lang w:val="en-US" w:eastAsia="zh-CN" w:bidi="ar"/>
              </w:rPr>
            </w:pPr>
            <w:r>
              <w:rPr>
                <w:rStyle w:val="15"/>
                <w:lang w:val="en-US" w:eastAsia="zh-CN" w:bidi="ar"/>
              </w:rPr>
              <w:t>实际完成率</w:t>
            </w:r>
            <w:r>
              <w:rPr>
                <w:rStyle w:val="16"/>
                <w:rFonts w:eastAsia="宋体"/>
                <w:lang w:val="en-US" w:eastAsia="zh-CN" w:bidi="ar"/>
              </w:rPr>
              <w:t>=</w:t>
            </w:r>
            <w:r>
              <w:rPr>
                <w:rStyle w:val="15"/>
                <w:lang w:val="en-US" w:eastAsia="zh-CN" w:bidi="ar"/>
              </w:rPr>
              <w:t>（实际完成工作数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。实际完成工作数：一定时期（年度或规划期）内部门实际完成工作任务的数量。计划工作数：部门整体绩效目标确定的一定时期（年度或规划期）内预计完成工作任务的数量。</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完成</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p>
          <w:p>
            <w:pPr>
              <w:keepNext w:val="0"/>
              <w:keepLines w:val="0"/>
              <w:widowControl/>
              <w:suppressLineNumbers w:val="0"/>
              <w:jc w:val="left"/>
              <w:textAlignment w:val="center"/>
              <w:rPr>
                <w:rStyle w:val="15"/>
                <w:lang w:val="en-US" w:eastAsia="zh-CN" w:bidi="ar"/>
              </w:rPr>
            </w:pPr>
            <w:r>
              <w:rPr>
                <w:rStyle w:val="15"/>
                <w:lang w:val="en-US" w:eastAsia="zh-CN" w:bidi="ar"/>
              </w:rPr>
              <w:t>完成及时率</w:t>
            </w:r>
            <w:r>
              <w:rPr>
                <w:rStyle w:val="16"/>
                <w:rFonts w:eastAsia="宋体"/>
                <w:lang w:val="en-US" w:eastAsia="zh-CN" w:bidi="ar"/>
              </w:rPr>
              <w:t>=</w:t>
            </w:r>
            <w:r>
              <w:rPr>
                <w:rStyle w:val="15"/>
                <w:lang w:val="en-US" w:eastAsia="zh-CN" w:bidi="ar"/>
              </w:rPr>
              <w:t>（及时完成实际工作数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。及时完成实际工作数：部门按照整体绩效目标确定的时限实际完成的工作任务数量。</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完成及时率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质量</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达到质量标准（绩效标准值）的实际工作数与计划工作数的比率</w:t>
            </w:r>
            <w:r>
              <w:rPr>
                <w:rStyle w:val="16"/>
                <w:rFonts w:eastAsia="宋体"/>
                <w:lang w:val="en-US" w:eastAsia="zh-CN" w:bidi="ar"/>
              </w:rPr>
              <w:t>,</w:t>
            </w:r>
            <w:r>
              <w:rPr>
                <w:rStyle w:val="15"/>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p>
          <w:p>
            <w:pPr>
              <w:keepNext w:val="0"/>
              <w:keepLines w:val="0"/>
              <w:widowControl/>
              <w:suppressLineNumbers w:val="0"/>
              <w:jc w:val="left"/>
              <w:textAlignment w:val="center"/>
              <w:rPr>
                <w:rStyle w:val="15"/>
                <w:lang w:val="en-US" w:eastAsia="zh-CN" w:bidi="ar"/>
              </w:rPr>
            </w:pPr>
            <w:r>
              <w:rPr>
                <w:rStyle w:val="15"/>
                <w:lang w:val="en-US" w:eastAsia="zh-CN" w:bidi="ar"/>
              </w:rPr>
              <w:t>质量达标率</w:t>
            </w:r>
            <w:r>
              <w:rPr>
                <w:rStyle w:val="16"/>
                <w:rFonts w:eastAsia="宋体"/>
                <w:lang w:val="en-US" w:eastAsia="zh-CN" w:bidi="ar"/>
              </w:rPr>
              <w:t>=</w:t>
            </w:r>
            <w:r>
              <w:rPr>
                <w:rStyle w:val="15"/>
                <w:lang w:val="en-US" w:eastAsia="zh-CN" w:bidi="ar"/>
              </w:rPr>
              <w:t>（质量达标实际工作数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。质量达标实际工作数：一定时期（年度或规划期）内部门实际完成工作数中达到部门绩效目标要求（绩效标准值）的工作任务数量。</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达标率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重点工作</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r>
              <w:rPr>
                <w:rStyle w:val="15"/>
                <w:lang w:val="en-US" w:eastAsia="zh-CN" w:bidi="ar"/>
              </w:rPr>
              <w:t>重点工作办结率</w:t>
            </w:r>
            <w:r>
              <w:rPr>
                <w:rStyle w:val="16"/>
                <w:rFonts w:eastAsia="宋体"/>
                <w:lang w:val="en-US" w:eastAsia="zh-CN" w:bidi="ar"/>
              </w:rPr>
              <w:t>=</w:t>
            </w:r>
            <w:r>
              <w:rPr>
                <w:rStyle w:val="15"/>
                <w:lang w:val="en-US" w:eastAsia="zh-CN" w:bidi="ar"/>
              </w:rPr>
              <w:t>（重点工作实际完成数</w:t>
            </w:r>
            <w:r>
              <w:rPr>
                <w:rStyle w:val="16"/>
                <w:rFonts w:eastAsia="宋体"/>
                <w:lang w:val="en-US" w:eastAsia="zh-CN" w:bidi="ar"/>
              </w:rPr>
              <w:t>/</w:t>
            </w:r>
            <w:r>
              <w:rPr>
                <w:rStyle w:val="15"/>
                <w:lang w:val="en-US" w:eastAsia="zh-CN" w:bidi="ar"/>
              </w:rPr>
              <w:t>交办或下达数）</w:t>
            </w:r>
            <w:r>
              <w:rPr>
                <w:rStyle w:val="16"/>
                <w:rFonts w:eastAsia="宋体"/>
                <w:lang w:val="en-US" w:eastAsia="zh-CN" w:bidi="ar"/>
              </w:rPr>
              <w:t>×100%</w:t>
            </w:r>
            <w:r>
              <w:rPr>
                <w:rStyle w:val="15"/>
                <w:lang w:val="en-US" w:eastAsia="zh-CN" w:bidi="ar"/>
              </w:rPr>
              <w:t>。</w:t>
            </w:r>
          </w:p>
          <w:p>
            <w:pPr>
              <w:keepNext w:val="0"/>
              <w:keepLines w:val="0"/>
              <w:widowControl/>
              <w:suppressLineNumbers w:val="0"/>
              <w:jc w:val="left"/>
              <w:textAlignment w:val="center"/>
              <w:rPr>
                <w:rStyle w:val="15"/>
                <w:lang w:val="en-US" w:eastAsia="zh-CN" w:bidi="ar"/>
              </w:rPr>
            </w:pPr>
            <w:r>
              <w:rPr>
                <w:rStyle w:val="15"/>
                <w:lang w:val="en-US" w:eastAsia="zh-CN" w:bidi="ar"/>
              </w:rPr>
              <w:t>重点工作是指党委、政府、人大、相关部门交办或下达的工作任务。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办结率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效果</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w:t>
            </w:r>
            <w:r>
              <w:rPr>
                <w:rStyle w:val="14"/>
                <w:rFonts w:eastAsia="宋体"/>
                <w:lang w:val="en-US" w:eastAsia="zh-CN" w:bidi="ar"/>
              </w:rPr>
              <w:t>17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履职效益（</w:t>
            </w:r>
            <w:r>
              <w:rPr>
                <w:rStyle w:val="16"/>
                <w:rFonts w:eastAsia="宋体"/>
                <w:lang w:val="en-US" w:eastAsia="zh-CN" w:bidi="ar"/>
              </w:rPr>
              <w:t>17</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经济</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r>
              <w:rPr>
                <w:rStyle w:val="15"/>
                <w:lang w:val="en-US" w:eastAsia="zh-CN" w:bidi="ar"/>
              </w:rPr>
              <w:t>此三项指标可根据部门实际并结合部门整体支出绩效目标设立情况有选择的进行评价。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社会</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生态</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p>
          <w:p>
            <w:pPr>
              <w:keepNext w:val="0"/>
              <w:keepLines w:val="0"/>
              <w:widowControl/>
              <w:suppressLineNumbers w:val="0"/>
              <w:jc w:val="left"/>
              <w:textAlignment w:val="center"/>
              <w:rPr>
                <w:rStyle w:val="15"/>
                <w:lang w:val="en-US" w:eastAsia="zh-CN" w:bidi="ar"/>
              </w:rPr>
            </w:pPr>
            <w:r>
              <w:rPr>
                <w:rStyle w:val="15"/>
                <w:lang w:val="en-US" w:eastAsia="zh-CN" w:bidi="ar"/>
              </w:rPr>
              <w:t>社会公众或服务对象是指部门履行职责而影响到的部门、群体或个人。一般采取社会调查的方式</w:t>
            </w:r>
            <w:r>
              <w:rPr>
                <w:rStyle w:val="16"/>
                <w:rFonts w:eastAsia="宋体"/>
                <w:lang w:val="en-US" w:eastAsia="zh-CN" w:bidi="ar"/>
              </w:rPr>
              <w:t>(</w:t>
            </w:r>
            <w:r>
              <w:rPr>
                <w:rStyle w:val="15"/>
                <w:lang w:val="en-US" w:eastAsia="zh-CN" w:bidi="ar"/>
              </w:rPr>
              <w:t>不少于</w:t>
            </w:r>
            <w:r>
              <w:rPr>
                <w:rStyle w:val="16"/>
                <w:rFonts w:eastAsia="宋体"/>
                <w:lang w:val="en-US" w:eastAsia="zh-CN" w:bidi="ar"/>
              </w:rPr>
              <w:t>30</w:t>
            </w:r>
            <w:r>
              <w:rPr>
                <w:rStyle w:val="15"/>
                <w:lang w:val="en-US" w:eastAsia="zh-CN" w:bidi="ar"/>
              </w:rPr>
              <w:t>份</w:t>
            </w:r>
            <w:r>
              <w:rPr>
                <w:rStyle w:val="16"/>
                <w:rFonts w:eastAsia="宋体"/>
                <w:lang w:val="en-US" w:eastAsia="zh-CN" w:bidi="ar"/>
              </w:rPr>
              <w:t>)</w:t>
            </w:r>
            <w:r>
              <w:rPr>
                <w:rStyle w:val="15"/>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满意率</w:t>
            </w:r>
            <w:r>
              <w:rPr>
                <w:rStyle w:val="16"/>
                <w:rFonts w:eastAsia="宋体"/>
                <w:lang w:val="en-US" w:eastAsia="zh-CN" w:bidi="ar"/>
              </w:rPr>
              <w:t>×8</w:t>
            </w:r>
            <w:r>
              <w:rPr>
                <w:rStyle w:val="15"/>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合</w:t>
            </w:r>
            <w:r>
              <w:rPr>
                <w:rStyle w:val="18"/>
                <w:rFonts w:eastAsia="宋体"/>
                <w:lang w:val="en-US" w:eastAsia="zh-CN" w:bidi="ar"/>
              </w:rPr>
              <w:t xml:space="preserve">  </w:t>
            </w:r>
            <w:r>
              <w:rPr>
                <w:rStyle w:val="17"/>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95</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6"/>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7"/>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1335"/>
        <w:gridCol w:w="1080"/>
        <w:gridCol w:w="21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111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114</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17.89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17.89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133.9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tabs>
                <w:tab w:val="center" w:pos="972"/>
              </w:tabs>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tabs>
                <w:tab w:val="left" w:pos="595"/>
              </w:tabs>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32.24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22.22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68.67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10.77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numPr>
                <w:ilvl w:val="0"/>
                <w:numId w:val="5"/>
              </w:numP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厉行节约，严格控制“三公经费支出”。</w:t>
            </w:r>
          </w:p>
          <w:p>
            <w:pPr>
              <w:numPr>
                <w:ilvl w:val="0"/>
                <w:numId w:val="0"/>
              </w:numP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2.把握控制会议及培训的数量、时间和规模。</w:t>
            </w:r>
          </w:p>
        </w:tc>
      </w:tr>
    </w:tbl>
    <w:p>
      <w:pPr>
        <w:pStyle w:val="6"/>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6"/>
        <w:ind w:left="0" w:leftChars="0" w:firstLine="0" w:firstLineChars="0"/>
        <w:rPr>
          <w:rFonts w:hint="eastAsia" w:ascii="仿宋" w:hAnsi="仿宋" w:eastAsia="仿宋" w:cs="仿宋"/>
          <w:sz w:val="24"/>
          <w:szCs w:val="24"/>
          <w:lang w:val="en-US" w:eastAsia="zh-CN"/>
        </w:rPr>
      </w:pPr>
    </w:p>
    <w:p>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填表人：何凯    联系电话：15207394658       单位负责人签字：</w:t>
      </w: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D5BFF"/>
    <w:multiLevelType w:val="singleLevel"/>
    <w:tmpl w:val="8E1D5BFF"/>
    <w:lvl w:ilvl="0" w:tentative="0">
      <w:start w:val="1"/>
      <w:numFmt w:val="decimal"/>
      <w:lvlText w:val="%1."/>
      <w:lvlJc w:val="left"/>
      <w:pPr>
        <w:tabs>
          <w:tab w:val="left" w:pos="312"/>
        </w:tabs>
      </w:pPr>
    </w:lvl>
  </w:abstractNum>
  <w:abstractNum w:abstractNumId="1">
    <w:nsid w:val="D881756C"/>
    <w:multiLevelType w:val="singleLevel"/>
    <w:tmpl w:val="D881756C"/>
    <w:lvl w:ilvl="0" w:tentative="0">
      <w:start w:val="2"/>
      <w:numFmt w:val="chineseCounting"/>
      <w:suff w:val="nothing"/>
      <w:lvlText w:val="（%1）"/>
      <w:lvlJc w:val="left"/>
      <w:rPr>
        <w:rFonts w:hint="eastAsia"/>
      </w:rPr>
    </w:lvl>
  </w:abstractNum>
  <w:abstractNum w:abstractNumId="2">
    <w:nsid w:val="F1A2FB3C"/>
    <w:multiLevelType w:val="singleLevel"/>
    <w:tmpl w:val="F1A2FB3C"/>
    <w:lvl w:ilvl="0" w:tentative="0">
      <w:start w:val="3"/>
      <w:numFmt w:val="chineseCounting"/>
      <w:suff w:val="nothing"/>
      <w:lvlText w:val="%1、"/>
      <w:lvlJc w:val="left"/>
      <w:rPr>
        <w:rFonts w:hint="eastAsia"/>
      </w:rPr>
    </w:lvl>
  </w:abstractNum>
  <w:abstractNum w:abstractNumId="3">
    <w:nsid w:val="00CDD489"/>
    <w:multiLevelType w:val="singleLevel"/>
    <w:tmpl w:val="00CDD489"/>
    <w:lvl w:ilvl="0" w:tentative="0">
      <w:start w:val="8"/>
      <w:numFmt w:val="chineseCounting"/>
      <w:suff w:val="nothing"/>
      <w:lvlText w:val="%1、"/>
      <w:lvlJc w:val="left"/>
      <w:rPr>
        <w:rFonts w:hint="eastAsia"/>
      </w:rPr>
    </w:lvl>
  </w:abstractNum>
  <w:abstractNum w:abstractNumId="4">
    <w:nsid w:val="3E67A6A9"/>
    <w:multiLevelType w:val="singleLevel"/>
    <w:tmpl w:val="3E67A6A9"/>
    <w:lvl w:ilvl="0" w:tentative="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NTgzYTZjNzEyMmY0NDc0MWViNGJlYmQzM2QyNjY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62736E9"/>
    <w:rsid w:val="06B14C94"/>
    <w:rsid w:val="07061C60"/>
    <w:rsid w:val="07601F6F"/>
    <w:rsid w:val="07C477E3"/>
    <w:rsid w:val="0859360A"/>
    <w:rsid w:val="087251E8"/>
    <w:rsid w:val="08AA0601"/>
    <w:rsid w:val="090C0797"/>
    <w:rsid w:val="092550F0"/>
    <w:rsid w:val="09636F12"/>
    <w:rsid w:val="09E12F56"/>
    <w:rsid w:val="0B402ED3"/>
    <w:rsid w:val="0B5575DE"/>
    <w:rsid w:val="0B595BEC"/>
    <w:rsid w:val="0D013842"/>
    <w:rsid w:val="0D605FA4"/>
    <w:rsid w:val="0DAC1131"/>
    <w:rsid w:val="0DCD1FE2"/>
    <w:rsid w:val="0F0351A9"/>
    <w:rsid w:val="0F6040CA"/>
    <w:rsid w:val="0F686EA2"/>
    <w:rsid w:val="0FA4224E"/>
    <w:rsid w:val="10125033"/>
    <w:rsid w:val="10831E63"/>
    <w:rsid w:val="129C7619"/>
    <w:rsid w:val="13063EC3"/>
    <w:rsid w:val="1360648C"/>
    <w:rsid w:val="13683380"/>
    <w:rsid w:val="17163A31"/>
    <w:rsid w:val="194621AC"/>
    <w:rsid w:val="1C96001A"/>
    <w:rsid w:val="1DA67C4F"/>
    <w:rsid w:val="1E4A056C"/>
    <w:rsid w:val="1E546CEA"/>
    <w:rsid w:val="1F43738D"/>
    <w:rsid w:val="2051109F"/>
    <w:rsid w:val="20B56069"/>
    <w:rsid w:val="20DC27D1"/>
    <w:rsid w:val="213F01B2"/>
    <w:rsid w:val="21486D67"/>
    <w:rsid w:val="217355DC"/>
    <w:rsid w:val="23B26890"/>
    <w:rsid w:val="23F62381"/>
    <w:rsid w:val="257C53A7"/>
    <w:rsid w:val="26A1499A"/>
    <w:rsid w:val="26CA0729"/>
    <w:rsid w:val="26EC76C6"/>
    <w:rsid w:val="273137CC"/>
    <w:rsid w:val="27654B82"/>
    <w:rsid w:val="279C010A"/>
    <w:rsid w:val="27BB7CDD"/>
    <w:rsid w:val="297E7214"/>
    <w:rsid w:val="2ACD4C49"/>
    <w:rsid w:val="2B21227D"/>
    <w:rsid w:val="2B9C3577"/>
    <w:rsid w:val="2BBA09D7"/>
    <w:rsid w:val="2BD440AE"/>
    <w:rsid w:val="2BD575BF"/>
    <w:rsid w:val="2C6944DC"/>
    <w:rsid w:val="2DB2495A"/>
    <w:rsid w:val="2EF0518E"/>
    <w:rsid w:val="2F373F0A"/>
    <w:rsid w:val="2F465CE9"/>
    <w:rsid w:val="30133FEC"/>
    <w:rsid w:val="301467A7"/>
    <w:rsid w:val="313F5482"/>
    <w:rsid w:val="319E58AE"/>
    <w:rsid w:val="31E60E9F"/>
    <w:rsid w:val="32A777DC"/>
    <w:rsid w:val="32E672DE"/>
    <w:rsid w:val="33173320"/>
    <w:rsid w:val="33F47CCB"/>
    <w:rsid w:val="34873421"/>
    <w:rsid w:val="367E6347"/>
    <w:rsid w:val="36B74B2C"/>
    <w:rsid w:val="376A7251"/>
    <w:rsid w:val="38FF20BA"/>
    <w:rsid w:val="3AC61D1B"/>
    <w:rsid w:val="3B4A4976"/>
    <w:rsid w:val="3D6A788A"/>
    <w:rsid w:val="3E1C6CCE"/>
    <w:rsid w:val="3F07230B"/>
    <w:rsid w:val="3F461440"/>
    <w:rsid w:val="3F892743"/>
    <w:rsid w:val="401A4DB7"/>
    <w:rsid w:val="40534AFF"/>
    <w:rsid w:val="40551718"/>
    <w:rsid w:val="40BE466E"/>
    <w:rsid w:val="40E666D6"/>
    <w:rsid w:val="412A5093"/>
    <w:rsid w:val="41D96CAB"/>
    <w:rsid w:val="41F02AD8"/>
    <w:rsid w:val="436A2480"/>
    <w:rsid w:val="438C45B0"/>
    <w:rsid w:val="43B14858"/>
    <w:rsid w:val="43CA6E24"/>
    <w:rsid w:val="448C37A5"/>
    <w:rsid w:val="44AE371A"/>
    <w:rsid w:val="464949DA"/>
    <w:rsid w:val="4750610E"/>
    <w:rsid w:val="476A2E5A"/>
    <w:rsid w:val="478E00F0"/>
    <w:rsid w:val="48551EFC"/>
    <w:rsid w:val="489A0C4E"/>
    <w:rsid w:val="489D2DBB"/>
    <w:rsid w:val="48D77849"/>
    <w:rsid w:val="492E6CEA"/>
    <w:rsid w:val="499C5626"/>
    <w:rsid w:val="49D62A28"/>
    <w:rsid w:val="4A6A422A"/>
    <w:rsid w:val="4C3126A7"/>
    <w:rsid w:val="4C985623"/>
    <w:rsid w:val="4D0553D3"/>
    <w:rsid w:val="4D1D75B1"/>
    <w:rsid w:val="4DC14C54"/>
    <w:rsid w:val="4FE636C6"/>
    <w:rsid w:val="5025403F"/>
    <w:rsid w:val="50B024ED"/>
    <w:rsid w:val="512D283B"/>
    <w:rsid w:val="51706157"/>
    <w:rsid w:val="51A64FE7"/>
    <w:rsid w:val="51F85506"/>
    <w:rsid w:val="52245ABB"/>
    <w:rsid w:val="527E3298"/>
    <w:rsid w:val="534E1882"/>
    <w:rsid w:val="544E62B5"/>
    <w:rsid w:val="54D83964"/>
    <w:rsid w:val="551E5284"/>
    <w:rsid w:val="569958AC"/>
    <w:rsid w:val="576158FB"/>
    <w:rsid w:val="57965D12"/>
    <w:rsid w:val="587F7BAB"/>
    <w:rsid w:val="590B7824"/>
    <w:rsid w:val="598A0134"/>
    <w:rsid w:val="59BA41A7"/>
    <w:rsid w:val="5A6776CD"/>
    <w:rsid w:val="5B0867BA"/>
    <w:rsid w:val="5E2D0ECA"/>
    <w:rsid w:val="5E7E2E48"/>
    <w:rsid w:val="5EB920A6"/>
    <w:rsid w:val="5EE15247"/>
    <w:rsid w:val="5FEB66AA"/>
    <w:rsid w:val="611C2A4E"/>
    <w:rsid w:val="61ED0983"/>
    <w:rsid w:val="621A2785"/>
    <w:rsid w:val="62380621"/>
    <w:rsid w:val="62882906"/>
    <w:rsid w:val="6296592A"/>
    <w:rsid w:val="62AA63A9"/>
    <w:rsid w:val="63ED479F"/>
    <w:rsid w:val="64322AF9"/>
    <w:rsid w:val="64653D4C"/>
    <w:rsid w:val="64821F10"/>
    <w:rsid w:val="64BB7C34"/>
    <w:rsid w:val="65312DB1"/>
    <w:rsid w:val="657A4758"/>
    <w:rsid w:val="674943E2"/>
    <w:rsid w:val="68AF16DD"/>
    <w:rsid w:val="693B1A2C"/>
    <w:rsid w:val="6BDD159D"/>
    <w:rsid w:val="6FB978E1"/>
    <w:rsid w:val="70561C9A"/>
    <w:rsid w:val="71AF52DC"/>
    <w:rsid w:val="71C15269"/>
    <w:rsid w:val="72C74D55"/>
    <w:rsid w:val="73597C2D"/>
    <w:rsid w:val="73CD6FBB"/>
    <w:rsid w:val="749B3DA3"/>
    <w:rsid w:val="752D41F9"/>
    <w:rsid w:val="75BC2223"/>
    <w:rsid w:val="75E023B5"/>
    <w:rsid w:val="76EB5281"/>
    <w:rsid w:val="77C70EBD"/>
    <w:rsid w:val="77E43CB3"/>
    <w:rsid w:val="77F770D8"/>
    <w:rsid w:val="783F1A66"/>
    <w:rsid w:val="786A32D4"/>
    <w:rsid w:val="788155F2"/>
    <w:rsid w:val="788D204F"/>
    <w:rsid w:val="78E461EB"/>
    <w:rsid w:val="78EF290F"/>
    <w:rsid w:val="792C3B64"/>
    <w:rsid w:val="79C142AC"/>
    <w:rsid w:val="7A794B87"/>
    <w:rsid w:val="7AC915E7"/>
    <w:rsid w:val="7ACB2BF8"/>
    <w:rsid w:val="7B71346D"/>
    <w:rsid w:val="7C086755"/>
    <w:rsid w:val="7CB73744"/>
    <w:rsid w:val="7CBC0100"/>
    <w:rsid w:val="7D0243DA"/>
    <w:rsid w:val="7D425704"/>
    <w:rsid w:val="7E0E41C6"/>
    <w:rsid w:val="7E0F0A9B"/>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6">
    <w:name w:val="Body Text First Indent 2"/>
    <w:basedOn w:val="2"/>
    <w:autoRedefine/>
    <w:qFormat/>
    <w:uiPriority w:val="0"/>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paragraph" w:styleId="11">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9"/>
    <w:link w:val="3"/>
    <w:autoRedefine/>
    <w:qFormat/>
    <w:uiPriority w:val="99"/>
    <w:rPr>
      <w:kern w:val="2"/>
      <w:sz w:val="18"/>
      <w:szCs w:val="18"/>
    </w:rPr>
  </w:style>
  <w:style w:type="character" w:customStyle="1" w:styleId="13">
    <w:name w:val="font41"/>
    <w:basedOn w:val="9"/>
    <w:autoRedefine/>
    <w:qFormat/>
    <w:uiPriority w:val="0"/>
    <w:rPr>
      <w:rFonts w:hint="eastAsia" w:ascii="宋体" w:hAnsi="宋体" w:eastAsia="宋体" w:cs="宋体"/>
      <w:color w:val="000000"/>
      <w:sz w:val="18"/>
      <w:szCs w:val="18"/>
      <w:u w:val="none"/>
    </w:rPr>
  </w:style>
  <w:style w:type="character" w:customStyle="1" w:styleId="14">
    <w:name w:val="font51"/>
    <w:basedOn w:val="9"/>
    <w:autoRedefine/>
    <w:qFormat/>
    <w:uiPriority w:val="0"/>
    <w:rPr>
      <w:rFonts w:hint="default" w:ascii="Times New Roman" w:hAnsi="Times New Roman" w:cs="Times New Roman"/>
      <w:color w:val="000000"/>
      <w:sz w:val="18"/>
      <w:szCs w:val="18"/>
      <w:u w:val="none"/>
    </w:rPr>
  </w:style>
  <w:style w:type="character" w:customStyle="1" w:styleId="15">
    <w:name w:val="font71"/>
    <w:basedOn w:val="9"/>
    <w:autoRedefine/>
    <w:qFormat/>
    <w:uiPriority w:val="0"/>
    <w:rPr>
      <w:rFonts w:hint="eastAsia" w:ascii="宋体" w:hAnsi="宋体" w:eastAsia="宋体" w:cs="宋体"/>
      <w:color w:val="000000"/>
      <w:sz w:val="18"/>
      <w:szCs w:val="18"/>
      <w:u w:val="none"/>
    </w:rPr>
  </w:style>
  <w:style w:type="character" w:customStyle="1" w:styleId="16">
    <w:name w:val="font61"/>
    <w:basedOn w:val="9"/>
    <w:autoRedefine/>
    <w:qFormat/>
    <w:uiPriority w:val="0"/>
    <w:rPr>
      <w:rFonts w:hint="default" w:ascii="Times New Roman" w:hAnsi="Times New Roman" w:cs="Times New Roman"/>
      <w:color w:val="000000"/>
      <w:sz w:val="18"/>
      <w:szCs w:val="18"/>
      <w:u w:val="none"/>
    </w:rPr>
  </w:style>
  <w:style w:type="character" w:customStyle="1" w:styleId="17">
    <w:name w:val="font11"/>
    <w:basedOn w:val="9"/>
    <w:autoRedefine/>
    <w:qFormat/>
    <w:uiPriority w:val="0"/>
    <w:rPr>
      <w:rFonts w:hint="eastAsia" w:ascii="宋体" w:hAnsi="宋体" w:eastAsia="宋体" w:cs="宋体"/>
      <w:color w:val="000000"/>
      <w:sz w:val="18"/>
      <w:szCs w:val="18"/>
      <w:u w:val="none"/>
    </w:rPr>
  </w:style>
  <w:style w:type="character" w:customStyle="1" w:styleId="18">
    <w:name w:val="font81"/>
    <w:basedOn w:val="9"/>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22</Pages>
  <Words>12194</Words>
  <Characters>12777</Characters>
  <Lines>56</Lines>
  <Paragraphs>15</Paragraphs>
  <TotalTime>16</TotalTime>
  <ScaleCrop>false</ScaleCrop>
  <LinksUpToDate>false</LinksUpToDate>
  <CharactersWithSpaces>12840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撕铁</cp:lastModifiedBy>
  <cp:lastPrinted>2024-02-29T01:34:00Z</cp:lastPrinted>
  <dcterms:modified xsi:type="dcterms:W3CDTF">2024-07-11T02:51:27Z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8153C0D62C014D79B52514CA790F8633_13</vt:lpwstr>
  </property>
</Properties>
</file>