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697"/>
        <w:gridCol w:w="292"/>
        <w:gridCol w:w="423"/>
        <w:gridCol w:w="313"/>
        <w:gridCol w:w="396"/>
        <w:gridCol w:w="400"/>
        <w:gridCol w:w="308"/>
        <w:gridCol w:w="431"/>
        <w:gridCol w:w="278"/>
        <w:gridCol w:w="709"/>
        <w:gridCol w:w="696"/>
        <w:gridCol w:w="13"/>
        <w:gridCol w:w="708"/>
        <w:gridCol w:w="214"/>
        <w:gridCol w:w="220"/>
        <w:gridCol w:w="846"/>
        <w:gridCol w:w="992"/>
        <w:gridCol w:w="22"/>
        <w:gridCol w:w="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ind w:firstLine="161" w:firstLineChars="50"/>
              <w:rPr>
                <w:rFonts w:hint="eastAsia"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附件1</w:t>
            </w:r>
          </w:p>
        </w:tc>
        <w:tc>
          <w:tcPr>
            <w:tcW w:w="786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3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</w:rPr>
              <w:t>部门整体支出绩效目标申报表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3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 xml:space="preserve">（   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2020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 xml:space="preserve">    年度）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431" w:type="dxa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填报单位（盖章）：                                       金额单位：万元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部门基本信息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  名称</w:t>
            </w:r>
          </w:p>
        </w:tc>
        <w:tc>
          <w:tcPr>
            <w:tcW w:w="786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邵阳县市场监督管理局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编制 人数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240</w:t>
            </w:r>
          </w:p>
        </w:tc>
        <w:tc>
          <w:tcPr>
            <w:tcW w:w="79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实有  人数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203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单位预算绩效   管理联系人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唐红华</w:t>
            </w:r>
          </w:p>
        </w:tc>
        <w:tc>
          <w:tcPr>
            <w:tcW w:w="84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   电话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18073978989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   职能   概述</w:t>
            </w:r>
          </w:p>
        </w:tc>
        <w:tc>
          <w:tcPr>
            <w:tcW w:w="7862" w:type="dxa"/>
            <w:gridSpan w:val="17"/>
            <w:vAlign w:val="center"/>
          </w:tcPr>
          <w:p>
            <w:pPr>
              <w:pStyle w:val="2"/>
              <w:snapToGrid w:val="0"/>
              <w:spacing w:line="600" w:lineRule="exact"/>
              <w:ind w:firstLine="560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县市场监督管理局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负责市场综合监督管理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负责市场主体统一登记注册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负责组织和指导全县市场监管综合执法工作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负责反垄断执法调查工作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负责监督管理市场秩序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负责宏观质量管理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负责产品质量安全监督管理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负责特种设备安全监督管理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负责食品安全监督管理综合协调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食品安全监督管理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负责统一管理计量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统一管理标准化工作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统一管理检验检测和认证认可工作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负责市场监督管理、知识产权领域科技和信息化建设、新闻宣传、对外交流与合作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实施知识产权战略，推进知识产权强县建设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保护知识产权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知识产权创造运用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负责组织开展有关服务领域消费维权工作，查处假冒伪劣等违法行为，指导消费者咨询、申诉、举报受理、处理和网络体系建设等工作，保护经营者、消费者合法权益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负责权限内药品、医疗器械、化妆品行政许可备案；负责药品、医疗器械、保健食品广告内容的监测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药品（含中药、民族药，下同）、医疗器械和化妆品安全监督管理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职责范围内的药品、医疗器械和化妆品标准管理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药品、医疗器械和化妆品质量管理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负责药品、医疗器械和化妆品上市后风险管理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组织实施药品、医疗器械和化妆品监督检查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完成县委、县政府交办的其他任务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829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年度收入预算</w:t>
            </w:r>
          </w:p>
        </w:tc>
        <w:tc>
          <w:tcPr>
            <w:tcW w:w="2127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年度支出预算</w:t>
            </w:r>
          </w:p>
        </w:tc>
        <w:tc>
          <w:tcPr>
            <w:tcW w:w="3895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三公经费预算支出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财政安排     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非税    收入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其他    收入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收入     合计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基本    支出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    支出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支出    合计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公务    接待费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公务用车运行和购置费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因公出国（境）费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2686.54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150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30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2866.54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283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6.54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30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2866.54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17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19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0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  <w:jc w:val="center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部门</w:t>
            </w:r>
            <w:r>
              <w:rPr>
                <w:rFonts w:hint="eastAsia" w:ascii="黑体" w:hAnsi="黑体" w:eastAsia="黑体" w:cs="黑体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</w:rPr>
              <w:t>整体</w:t>
            </w:r>
            <w:r>
              <w:rPr>
                <w:rFonts w:hint="eastAsia" w:ascii="黑体" w:hAnsi="黑体" w:eastAsia="黑体" w:cs="黑体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</w:rPr>
              <w:t>支出</w:t>
            </w:r>
            <w:r>
              <w:rPr>
                <w:rFonts w:hint="eastAsia" w:ascii="黑体" w:hAnsi="黑体" w:eastAsia="黑体" w:cs="黑体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</w:rPr>
              <w:t>绩效</w:t>
            </w:r>
            <w:r>
              <w:rPr>
                <w:rFonts w:hint="eastAsia" w:ascii="黑体" w:hAnsi="黑体" w:eastAsia="黑体" w:cs="黑体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</w:rPr>
              <w:t>目标</w:t>
            </w:r>
          </w:p>
        </w:tc>
        <w:tc>
          <w:tcPr>
            <w:tcW w:w="8851" w:type="dxa"/>
            <w:gridSpan w:val="19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在今年收支预算内，确保完成以下整体目标：</w:t>
            </w:r>
            <w:r>
              <w:rPr>
                <w:rFonts w:hint="eastAsia" w:ascii="黑体" w:hAnsi="黑体" w:eastAsia="黑体" w:cs="黑体"/>
                <w:sz w:val="24"/>
              </w:rPr>
              <w:br w:type="textWrapping"/>
            </w:r>
          </w:p>
          <w:p>
            <w:pPr>
              <w:spacing w:line="560" w:lineRule="exact"/>
              <w:ind w:firstLine="48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目标1：</w:t>
            </w:r>
            <w:r>
              <w:rPr>
                <w:rFonts w:hint="eastAsia" w:ascii="楷体_GB2312" w:eastAsia="楷体_GB2312"/>
                <w:b w:val="0"/>
                <w:bCs/>
                <w:sz w:val="28"/>
                <w:szCs w:val="28"/>
              </w:rPr>
              <w:t>积极创建省级文明标兵单位</w:t>
            </w:r>
            <w:r>
              <w:rPr>
                <w:rFonts w:hint="eastAsia" w:ascii="楷体_GB2312" w:eastAsia="楷体_GB2312"/>
                <w:b/>
                <w:sz w:val="28"/>
                <w:szCs w:val="28"/>
              </w:rPr>
              <w:t>。</w:t>
            </w:r>
            <w:r>
              <w:rPr>
                <w:rFonts w:hint="eastAsia" w:ascii="仿宋_GB2312" w:eastAsia="仿宋_GB2312"/>
                <w:sz w:val="28"/>
                <w:szCs w:val="28"/>
              </w:rPr>
              <w:t>2020年是文明创建的“大比”之年、是检验成果的关键一年。奋战2020年，时不我待，我们将以更大的热情投入到创建省级文明标兵工作之中，当好先锋队、展现新作为。</w:t>
            </w:r>
          </w:p>
          <w:p>
            <w:pPr>
              <w:spacing w:line="560" w:lineRule="exact"/>
              <w:ind w:firstLine="48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目标2：</w:t>
            </w:r>
            <w:r>
              <w:rPr>
                <w:rFonts w:hint="eastAsia" w:ascii="楷体_GB2312" w:eastAsia="楷体_GB2312"/>
                <w:b w:val="0"/>
                <w:bCs/>
                <w:sz w:val="28"/>
                <w:szCs w:val="28"/>
              </w:rPr>
              <w:t>持续推进商事制度改革。</w:t>
            </w:r>
            <w:r>
              <w:rPr>
                <w:rFonts w:ascii="楷体_GB2312" w:eastAsia="楷体_GB2312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一是推进“一件事一次办”。</w:t>
            </w:r>
            <w:r>
              <w:rPr>
                <w:rFonts w:hint="eastAsia" w:ascii="仿宋_GB2312" w:eastAsia="仿宋_GB2312"/>
                <w:sz w:val="28"/>
                <w:szCs w:val="28"/>
              </w:rPr>
              <w:t>进一步做好压缩企业开办时间，加强各部门业务的协同机制建设，坚决打通涉企信息推送传输、共享共用的“难点”“卡点”。深化开展“一件事一次办”，助推县域经济社会稳步发展。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二是推进“双随机一公开”。</w:t>
            </w:r>
            <w:r>
              <w:rPr>
                <w:rFonts w:hint="eastAsia" w:ascii="仿宋_GB2312" w:eastAsia="仿宋_GB2312"/>
                <w:sz w:val="28"/>
                <w:szCs w:val="28"/>
              </w:rPr>
              <w:t>将落实好总局、省局“双随机一公开”不定向抽查，并合理规划抽查工作的领域、范围和频次，改变了以往执法工作按部就班的模式，创新监管方式，强化事中事后监管。做到监管效能最大化、监管成本最优化、对市场主体干扰最小化，努力营造良好营商环境、有序竞争环境和放心消费环境。</w:t>
            </w:r>
          </w:p>
          <w:p>
            <w:pPr>
              <w:spacing w:line="560" w:lineRule="exact"/>
              <w:ind w:firstLine="48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目标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3：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三是推进质量强县、品牌兴县工作。</w:t>
            </w:r>
            <w:r>
              <w:rPr>
                <w:rFonts w:hint="eastAsia" w:ascii="仿宋_GB2312" w:eastAsia="仿宋_GB2312"/>
                <w:sz w:val="28"/>
                <w:szCs w:val="28"/>
              </w:rPr>
              <w:t>围绕重点领域高质量发展，加大质量品牌的培育力度，鼓励企业争先创优。深挖特色产业商标资源，认真履行知识产权监督管理职责，积极拓宽服务渠道，充分发挥商标品牌引领示范作用，市场主体商标注册、运用、管理水平不断提升。加强知识产权、专利宣传，在企业申请专利、商标等方面予以引导和支持。同时，注重落实知识产权奖补政策的兑现，更好激励企业加强知识产权创新，提高核心竞争力，实现可持续长远发展。</w:t>
            </w:r>
          </w:p>
          <w:p>
            <w:pPr>
              <w:spacing w:line="560" w:lineRule="exact"/>
              <w:ind w:firstLine="48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目标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4：</w:t>
            </w:r>
            <w:r>
              <w:rPr>
                <w:rFonts w:hint="eastAsia" w:ascii="楷体_GB2312" w:eastAsia="楷体_GB2312"/>
                <w:b w:val="0"/>
                <w:bCs/>
                <w:sz w:val="28"/>
                <w:szCs w:val="28"/>
              </w:rPr>
              <w:t>严格监管，维护市场安全稳定秩序。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一是守好安全底线。</w:t>
            </w:r>
            <w:r>
              <w:rPr>
                <w:rFonts w:hint="eastAsia" w:ascii="仿宋_GB2312" w:eastAsia="仿宋_GB2312"/>
                <w:sz w:val="28"/>
                <w:szCs w:val="28"/>
              </w:rPr>
              <w:t>食品、药品、特种设备是人民群众关注的热点，也是民生安全的底线。要充分利用职能，抓好日常监管、专项检查、抽检监测、执法办案，着力解决群众反映强烈的突出问题，按“四最”标准抓紧抓实食品、药品安全；进一步强化电梯的安装、维保监管。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二是抓好消费环境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。</w:t>
            </w:r>
            <w:r>
              <w:rPr>
                <w:rFonts w:hint="eastAsia" w:ascii="仿宋_GB2312" w:eastAsia="仿宋_GB2312"/>
                <w:sz w:val="28"/>
                <w:szCs w:val="28"/>
              </w:rPr>
              <w:t>以全国12315平台投诉举报 “五线合一”为抓手，做到一个平台受理，实现24小时值班制，保证投诉咨询畅通无阻。开展省级、市级“诚信企业”、“放心消费示范单位”认定工作。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三是履好监管职责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。</w:t>
            </w:r>
            <w:r>
              <w:rPr>
                <w:rFonts w:hint="eastAsia" w:ascii="仿宋_GB2312" w:eastAsia="仿宋_GB2312"/>
                <w:sz w:val="28"/>
                <w:szCs w:val="28"/>
              </w:rPr>
              <w:t>以专项整治行动为抓手，加强日常监管，对重点领域、重点行业、重点企业高标准高水平开展专项整治，整顿和维护公平健康的市场秩序。强化案件查办，特别是对涉及食品、药品、特种设备的案件从严从紧办理，将专项整治落到实处。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58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部门</w:t>
            </w:r>
            <w:r>
              <w:rPr>
                <w:rFonts w:hint="eastAsia" w:ascii="黑体" w:hAnsi="黑体" w:eastAsia="黑体" w:cs="黑体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</w:rPr>
              <w:t>整体       支出</w:t>
            </w:r>
            <w:r>
              <w:rPr>
                <w:rFonts w:hint="eastAsia" w:ascii="黑体" w:hAnsi="黑体" w:eastAsia="黑体" w:cs="黑体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</w:rPr>
              <w:t>绩效</w:t>
            </w:r>
            <w:r>
              <w:rPr>
                <w:rFonts w:hint="eastAsia" w:ascii="黑体" w:hAnsi="黑体" w:eastAsia="黑体" w:cs="黑体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</w:rPr>
              <w:t>指标</w:t>
            </w:r>
          </w:p>
        </w:tc>
        <w:tc>
          <w:tcPr>
            <w:tcW w:w="172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一级指标</w:t>
            </w:r>
          </w:p>
        </w:tc>
        <w:tc>
          <w:tcPr>
            <w:tcW w:w="153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二级指标</w:t>
            </w:r>
          </w:p>
        </w:tc>
        <w:tc>
          <w:tcPr>
            <w:tcW w:w="2618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指标内容</w:t>
            </w:r>
          </w:p>
        </w:tc>
        <w:tc>
          <w:tcPr>
            <w:tcW w:w="208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指标值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25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产出指标</w:t>
            </w:r>
          </w:p>
        </w:tc>
        <w:tc>
          <w:tcPr>
            <w:tcW w:w="153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数量指标</w:t>
            </w:r>
          </w:p>
        </w:tc>
        <w:tc>
          <w:tcPr>
            <w:tcW w:w="2618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三公经费下降率</w:t>
            </w:r>
          </w:p>
        </w:tc>
        <w:tc>
          <w:tcPr>
            <w:tcW w:w="208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在去年的基础上下降5%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25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3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质量指标</w:t>
            </w:r>
          </w:p>
        </w:tc>
        <w:tc>
          <w:tcPr>
            <w:tcW w:w="2618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质量达标率</w:t>
            </w:r>
          </w:p>
        </w:tc>
        <w:tc>
          <w:tcPr>
            <w:tcW w:w="208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100%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2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效益指标</w:t>
            </w:r>
          </w:p>
        </w:tc>
        <w:tc>
          <w:tcPr>
            <w:tcW w:w="153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经济及社会效益</w:t>
            </w:r>
          </w:p>
        </w:tc>
        <w:tc>
          <w:tcPr>
            <w:tcW w:w="2618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非税完成数及社会公众满意度</w:t>
            </w:r>
          </w:p>
        </w:tc>
        <w:tc>
          <w:tcPr>
            <w:tcW w:w="208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完成非税任务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300万元，社会公众满意度95%以上。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5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…</w:t>
            </w:r>
          </w:p>
        </w:tc>
        <w:tc>
          <w:tcPr>
            <w:tcW w:w="153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61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0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8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  <w:jc w:val="center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财政部门审核意见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归口 业务 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股</w:t>
            </w:r>
            <w:r>
              <w:rPr>
                <w:rFonts w:hint="eastAsia" w:ascii="黑体" w:hAnsi="黑体" w:eastAsia="黑体" w:cs="黑体"/>
                <w:sz w:val="24"/>
              </w:rPr>
              <w:t>室 审核 意见</w:t>
            </w:r>
          </w:p>
        </w:tc>
        <w:tc>
          <w:tcPr>
            <w:tcW w:w="786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</w:rPr>
              <w:t xml:space="preserve">         审核人：        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股室盖章</w:t>
            </w:r>
            <w:r>
              <w:rPr>
                <w:rFonts w:hint="eastAsia" w:ascii="黑体" w:hAnsi="黑体" w:eastAsia="黑体" w:cs="黑体"/>
                <w:sz w:val="24"/>
              </w:rPr>
              <w:t>：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绩效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管理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股室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 审核   意见</w:t>
            </w:r>
          </w:p>
        </w:tc>
        <w:tc>
          <w:tcPr>
            <w:tcW w:w="786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</w:rPr>
              <w:t xml:space="preserve">         审核人：        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股室盖章</w:t>
            </w:r>
            <w:r>
              <w:rPr>
                <w:rFonts w:hint="eastAsia" w:ascii="黑体" w:hAnsi="黑体" w:eastAsia="黑体" w:cs="黑体"/>
                <w:sz w:val="24"/>
              </w:rPr>
              <w:t>：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840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填报人：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唐红华</w:t>
            </w:r>
          </w:p>
        </w:tc>
        <w:tc>
          <w:tcPr>
            <w:tcW w:w="5591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联系电话：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6810373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填报时间：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2020</w:t>
            </w:r>
            <w:r>
              <w:rPr>
                <w:rFonts w:hint="eastAsia" w:ascii="黑体" w:hAnsi="黑体" w:eastAsia="黑体" w:cs="黑体"/>
                <w:sz w:val="24"/>
              </w:rPr>
              <w:t xml:space="preserve">年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4"/>
              </w:rPr>
              <w:t>月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22</w:t>
            </w:r>
            <w:r>
              <w:rPr>
                <w:rFonts w:hint="eastAsia" w:ascii="黑体" w:hAnsi="黑体" w:eastAsia="黑体" w:cs="黑体"/>
                <w:sz w:val="24"/>
              </w:rPr>
              <w:t xml:space="preserve"> 日</w:t>
            </w:r>
          </w:p>
        </w:tc>
      </w:tr>
    </w:tbl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B5DDF"/>
    <w:rsid w:val="07FB5DDF"/>
    <w:rsid w:val="1C2F417C"/>
    <w:rsid w:val="38895189"/>
    <w:rsid w:val="621F1369"/>
    <w:rsid w:val="735D1F3D"/>
    <w:rsid w:val="747100BB"/>
    <w:rsid w:val="78EA12C8"/>
    <w:rsid w:val="7BCB66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2018-04-18T09:23:00Z</dcterms:created>
  <dc:creator>Administrator</dc:creator>
  <cp:lastModifiedBy>Administrator</cp:lastModifiedBy>
  <cp:lastPrinted>2019-04-22T03:45:00Z</cp:lastPrinted>
  <dcterms:modified xsi:type="dcterms:W3CDTF">2020-06-01T07:55:50Z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