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ascii="黑体" w:eastAsia="黑体"/>
          <w:sz w:val="28"/>
          <w:szCs w:val="28"/>
        </w:rPr>
      </w:pPr>
      <w:r>
        <w:rPr>
          <w:rFonts w:hint="eastAsia" w:ascii="黑体" w:eastAsia="黑体"/>
          <w:sz w:val="28"/>
          <w:szCs w:val="28"/>
        </w:rPr>
        <w:t>附件2</w:t>
      </w:r>
    </w:p>
    <w:p>
      <w:pPr>
        <w:adjustRightInd w:val="0"/>
        <w:spacing w:line="600" w:lineRule="exact"/>
        <w:ind w:right="641"/>
        <w:jc w:val="center"/>
        <w:rPr>
          <w:rFonts w:eastAsia="方正小标宋_GBK"/>
          <w:sz w:val="28"/>
          <w:szCs w:val="28"/>
        </w:rPr>
      </w:pPr>
      <w:r>
        <w:rPr>
          <w:rFonts w:hint="eastAsia" w:eastAsia="方正小标宋_GBK"/>
          <w:sz w:val="28"/>
          <w:szCs w:val="28"/>
        </w:rPr>
        <w:t xml:space="preserve">   部门整体</w:t>
      </w:r>
      <w:r>
        <w:rPr>
          <w:rFonts w:eastAsia="方正小标宋_GBK"/>
          <w:sz w:val="28"/>
          <w:szCs w:val="28"/>
        </w:rPr>
        <w:t>支出绩效报告</w:t>
      </w:r>
    </w:p>
    <w:p>
      <w:pPr>
        <w:adjustRightInd w:val="0"/>
        <w:spacing w:line="600" w:lineRule="exact"/>
        <w:ind w:right="641"/>
        <w:rPr>
          <w:rFonts w:eastAsia="仿宋_GB2312"/>
          <w:sz w:val="28"/>
          <w:szCs w:val="28"/>
        </w:rPr>
      </w:pPr>
    </w:p>
    <w:p>
      <w:pPr>
        <w:numPr>
          <w:ilvl w:val="0"/>
          <w:numId w:val="1"/>
        </w:numPr>
        <w:adjustRightInd w:val="0"/>
        <w:snapToGrid w:val="0"/>
        <w:spacing w:line="600" w:lineRule="exact"/>
        <w:ind w:firstLine="560" w:firstLineChars="200"/>
        <w:rPr>
          <w:rFonts w:ascii="仿宋_GB2312" w:eastAsia="仿宋_GB2312"/>
          <w:sz w:val="28"/>
          <w:szCs w:val="28"/>
        </w:rPr>
      </w:pPr>
      <w:r>
        <w:rPr>
          <w:rFonts w:hint="eastAsia" w:ascii="仿宋_GB2312" w:eastAsia="仿宋_GB2312"/>
          <w:sz w:val="28"/>
          <w:szCs w:val="28"/>
        </w:rPr>
        <w:t>部门概况</w:t>
      </w:r>
    </w:p>
    <w:p>
      <w:pPr>
        <w:tabs>
          <w:tab w:val="left" w:pos="1032"/>
        </w:tabs>
        <w:adjustRightInd w:val="0"/>
        <w:snapToGrid w:val="0"/>
        <w:spacing w:line="60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邵阳县市场服务中心为副科级全额拨款事业单位，内设办公室、人事股、建设股、财务股、等4个股室。截止202</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年12月底市场服务中心实有人数1</w:t>
      </w: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人，在职1</w:t>
      </w:r>
      <w:r>
        <w:rPr>
          <w:rFonts w:hint="eastAsia" w:ascii="仿宋_GB2312" w:hAnsi="仿宋" w:eastAsia="仿宋_GB2312" w:cs="仿宋"/>
          <w:sz w:val="30"/>
          <w:szCs w:val="30"/>
          <w:lang w:val="en-US" w:eastAsia="zh-CN"/>
        </w:rPr>
        <w:t>3</w:t>
      </w:r>
      <w:r>
        <w:rPr>
          <w:rFonts w:hint="eastAsia" w:ascii="仿宋_GB2312" w:hAnsi="仿宋" w:eastAsia="仿宋_GB2312" w:cs="仿宋"/>
          <w:sz w:val="30"/>
          <w:szCs w:val="30"/>
        </w:rPr>
        <w:t>人，退休</w:t>
      </w:r>
      <w:r>
        <w:rPr>
          <w:rFonts w:hint="eastAsia" w:ascii="仿宋_GB2312" w:hAnsi="仿宋" w:eastAsia="仿宋_GB2312" w:cs="仿宋"/>
          <w:sz w:val="30"/>
          <w:szCs w:val="30"/>
          <w:lang w:val="en-US" w:eastAsia="zh-CN"/>
        </w:rPr>
        <w:t>2</w:t>
      </w:r>
      <w:r>
        <w:rPr>
          <w:rFonts w:hint="eastAsia" w:ascii="仿宋_GB2312" w:hAnsi="仿宋" w:eastAsia="仿宋_GB2312" w:cs="仿宋"/>
          <w:sz w:val="30"/>
          <w:szCs w:val="30"/>
        </w:rPr>
        <w:t>人,公务用车0辆。主要职能:管理农贸市场服务工作，承办县政府及城管局交办的其他事项等。</w:t>
      </w:r>
    </w:p>
    <w:p>
      <w:pPr>
        <w:adjustRightInd w:val="0"/>
        <w:snapToGrid w:val="0"/>
        <w:spacing w:line="600" w:lineRule="exact"/>
        <w:ind w:firstLine="600" w:firstLineChars="200"/>
        <w:jc w:val="left"/>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2</w:t>
      </w:r>
      <w:r>
        <w:rPr>
          <w:rFonts w:hint="eastAsia" w:ascii="仿宋_GB2312" w:eastAsia="仿宋_GB2312"/>
          <w:sz w:val="30"/>
          <w:szCs w:val="30"/>
        </w:rPr>
        <w:t>年本单位整体支出</w:t>
      </w:r>
      <w:r>
        <w:rPr>
          <w:rFonts w:hint="eastAsia" w:ascii="仿宋" w:hAnsi="仿宋" w:eastAsia="仿宋" w:cs="仿宋"/>
          <w:bCs/>
          <w:sz w:val="30"/>
          <w:szCs w:val="30"/>
          <w:lang w:val="en-US" w:eastAsia="zh-CN"/>
        </w:rPr>
        <w:t>1790.42</w:t>
      </w:r>
      <w:r>
        <w:rPr>
          <w:rFonts w:hint="eastAsia" w:ascii="仿宋_GB2312" w:eastAsia="仿宋_GB2312"/>
          <w:sz w:val="30"/>
          <w:szCs w:val="30"/>
        </w:rPr>
        <w:t>万元，其中:人员经费支出</w:t>
      </w:r>
      <w:r>
        <w:rPr>
          <w:rFonts w:hint="eastAsia" w:ascii="仿宋" w:hAnsi="仿宋" w:eastAsia="仿宋" w:cs="仿宋"/>
          <w:bCs/>
          <w:sz w:val="30"/>
          <w:szCs w:val="30"/>
          <w:lang w:val="en-US" w:eastAsia="zh-CN"/>
        </w:rPr>
        <w:t>1504</w:t>
      </w:r>
      <w:r>
        <w:rPr>
          <w:rFonts w:hint="eastAsia" w:ascii="仿宋_GB2312" w:eastAsia="仿宋_GB2312"/>
          <w:sz w:val="30"/>
          <w:szCs w:val="30"/>
        </w:rPr>
        <w:t>万元：全年用于工资福利支出</w:t>
      </w:r>
      <w:r>
        <w:rPr>
          <w:rFonts w:hint="eastAsia" w:ascii="仿宋" w:hAnsi="仿宋" w:eastAsia="仿宋" w:cs="仿宋"/>
          <w:bCs/>
          <w:sz w:val="30"/>
          <w:szCs w:val="30"/>
          <w:lang w:val="en-US" w:eastAsia="zh-CN"/>
        </w:rPr>
        <w:t>1496.78</w:t>
      </w:r>
      <w:r>
        <w:rPr>
          <w:rFonts w:hint="eastAsia" w:ascii="仿宋_GB2312" w:eastAsia="仿宋_GB2312"/>
          <w:sz w:val="30"/>
          <w:szCs w:val="30"/>
        </w:rPr>
        <w:t>万元，对个人和家庭的补助支出</w:t>
      </w:r>
      <w:r>
        <w:rPr>
          <w:rFonts w:hint="eastAsia" w:ascii="仿宋_GB2312" w:eastAsia="仿宋_GB2312"/>
          <w:sz w:val="30"/>
          <w:szCs w:val="30"/>
          <w:lang w:val="en-US" w:eastAsia="zh-CN"/>
        </w:rPr>
        <w:t>7.22</w:t>
      </w:r>
      <w:r>
        <w:rPr>
          <w:rFonts w:hint="eastAsia" w:ascii="仿宋_GB2312" w:eastAsia="仿宋_GB2312"/>
          <w:sz w:val="30"/>
          <w:szCs w:val="30"/>
        </w:rPr>
        <w:t>万元。公用经费支出</w:t>
      </w:r>
      <w:r>
        <w:rPr>
          <w:rFonts w:hint="eastAsia" w:ascii="仿宋_GB2312" w:eastAsia="仿宋_GB2312"/>
          <w:sz w:val="30"/>
          <w:szCs w:val="30"/>
          <w:lang w:val="en-US" w:eastAsia="zh-CN"/>
        </w:rPr>
        <w:t>286.32</w:t>
      </w:r>
      <w:r>
        <w:rPr>
          <w:rFonts w:hint="eastAsia" w:ascii="仿宋_GB2312" w:eastAsia="仿宋_GB2312"/>
          <w:sz w:val="30"/>
          <w:szCs w:val="30"/>
        </w:rPr>
        <w:t>万元：商品和服务支出</w:t>
      </w:r>
      <w:r>
        <w:rPr>
          <w:rFonts w:hint="eastAsia" w:ascii="仿宋" w:hAnsi="仿宋" w:eastAsia="仿宋" w:cs="仿宋"/>
          <w:bCs/>
          <w:sz w:val="30"/>
          <w:szCs w:val="30"/>
          <w:lang w:val="en-US" w:eastAsia="zh-CN"/>
        </w:rPr>
        <w:t>286.32</w:t>
      </w:r>
      <w:r>
        <w:rPr>
          <w:rFonts w:hint="eastAsia" w:ascii="仿宋_GB2312" w:eastAsia="仿宋_GB2312"/>
          <w:sz w:val="30"/>
          <w:szCs w:val="30"/>
        </w:rPr>
        <w:t>万元，资本性支出</w:t>
      </w:r>
      <w:r>
        <w:rPr>
          <w:rFonts w:hint="eastAsia" w:ascii="仿宋_GB2312" w:eastAsia="仿宋_GB2312"/>
          <w:sz w:val="30"/>
          <w:szCs w:val="30"/>
          <w:lang w:val="en-US" w:eastAsia="zh-CN"/>
        </w:rPr>
        <w:t>0</w:t>
      </w:r>
      <w:r>
        <w:rPr>
          <w:rFonts w:hint="eastAsia" w:ascii="仿宋_GB2312" w:eastAsia="仿宋_GB2312"/>
          <w:sz w:val="30"/>
          <w:szCs w:val="30"/>
        </w:rPr>
        <w:t>万元。非税收入返回270万元。</w:t>
      </w:r>
    </w:p>
    <w:p>
      <w:pPr>
        <w:adjustRightInd w:val="0"/>
        <w:snapToGrid w:val="0"/>
        <w:spacing w:line="600" w:lineRule="exact"/>
        <w:ind w:firstLine="560" w:firstLineChars="200"/>
        <w:rPr>
          <w:rFonts w:eastAsia="黑体"/>
          <w:color w:val="FF0000"/>
          <w:sz w:val="28"/>
          <w:szCs w:val="28"/>
        </w:rPr>
      </w:pPr>
      <w:r>
        <w:rPr>
          <w:rFonts w:eastAsia="黑体"/>
          <w:sz w:val="28"/>
          <w:szCs w:val="28"/>
        </w:rPr>
        <w:t>二、</w:t>
      </w:r>
      <w:r>
        <w:rPr>
          <w:rFonts w:hint="eastAsia" w:eastAsia="黑体"/>
          <w:sz w:val="28"/>
          <w:szCs w:val="28"/>
        </w:rPr>
        <w:t>部门整体支出</w:t>
      </w:r>
      <w:r>
        <w:rPr>
          <w:rFonts w:eastAsia="黑体"/>
          <w:sz w:val="28"/>
          <w:szCs w:val="28"/>
        </w:rPr>
        <w:t>管理及使用情况</w:t>
      </w:r>
    </w:p>
    <w:p>
      <w:pPr>
        <w:adjustRightInd w:val="0"/>
        <w:snapToGrid w:val="0"/>
        <w:spacing w:line="600" w:lineRule="exact"/>
        <w:ind w:firstLine="602" w:firstLineChars="200"/>
        <w:rPr>
          <w:rFonts w:ascii="仿宋" w:hAnsi="仿宋" w:eastAsia="仿宋" w:cs="仿宋"/>
          <w:b/>
          <w:sz w:val="30"/>
          <w:szCs w:val="30"/>
        </w:rPr>
      </w:pPr>
      <w:r>
        <w:rPr>
          <w:rFonts w:hint="eastAsia" w:ascii="仿宋" w:hAnsi="仿宋" w:eastAsia="仿宋" w:cs="仿宋"/>
          <w:b/>
          <w:sz w:val="30"/>
          <w:szCs w:val="30"/>
        </w:rPr>
        <w:t>（一）预算执行情况</w:t>
      </w:r>
    </w:p>
    <w:p>
      <w:pPr>
        <w:adjustRightInd w:val="0"/>
        <w:snapToGrid w:val="0"/>
        <w:spacing w:line="600" w:lineRule="exact"/>
        <w:ind w:firstLine="600" w:firstLineChars="200"/>
        <w:rPr>
          <w:rFonts w:ascii="楷体_GB2312" w:eastAsia="楷体_GB2312"/>
          <w:bCs/>
          <w:color w:val="FF0000"/>
          <w:sz w:val="28"/>
          <w:szCs w:val="28"/>
        </w:rPr>
      </w:pP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年市场服务中心</w:t>
      </w:r>
      <w:r>
        <w:rPr>
          <w:rFonts w:hint="eastAsia" w:ascii="仿宋" w:hAnsi="仿宋" w:eastAsia="仿宋" w:cs="仿宋"/>
          <w:bCs/>
          <w:sz w:val="30"/>
          <w:szCs w:val="30"/>
          <w:lang w:eastAsia="zh-CN"/>
        </w:rPr>
        <w:t>年初预算</w:t>
      </w:r>
      <w:r>
        <w:rPr>
          <w:rFonts w:hint="eastAsia" w:ascii="仿宋" w:hAnsi="仿宋" w:eastAsia="仿宋" w:cs="仿宋"/>
          <w:bCs/>
          <w:sz w:val="30"/>
          <w:szCs w:val="30"/>
          <w:lang w:val="en-US" w:eastAsia="zh-CN"/>
        </w:rPr>
        <w:t>2149.89</w:t>
      </w:r>
      <w:r>
        <w:rPr>
          <w:rFonts w:hint="eastAsia" w:ascii="仿宋" w:hAnsi="仿宋" w:eastAsia="仿宋" w:cs="仿宋"/>
          <w:bCs/>
          <w:sz w:val="30"/>
          <w:szCs w:val="30"/>
        </w:rPr>
        <w:t>万元，其中工资福利支出</w:t>
      </w:r>
      <w:r>
        <w:rPr>
          <w:rFonts w:hint="eastAsia" w:ascii="仿宋" w:hAnsi="仿宋" w:eastAsia="仿宋" w:cs="仿宋"/>
          <w:bCs/>
          <w:sz w:val="30"/>
          <w:szCs w:val="30"/>
          <w:lang w:val="en-US" w:eastAsia="zh-CN"/>
        </w:rPr>
        <w:t>1207.3</w:t>
      </w:r>
      <w:r>
        <w:rPr>
          <w:rFonts w:hint="eastAsia" w:ascii="仿宋" w:hAnsi="仿宋" w:eastAsia="仿宋" w:cs="仿宋"/>
          <w:bCs/>
          <w:sz w:val="30"/>
          <w:szCs w:val="30"/>
        </w:rPr>
        <w:t>万元，对个人和家庭的补助</w:t>
      </w:r>
      <w:r>
        <w:rPr>
          <w:rFonts w:hint="eastAsia" w:ascii="仿宋" w:hAnsi="仿宋" w:eastAsia="仿宋" w:cs="仿宋"/>
          <w:bCs/>
          <w:sz w:val="30"/>
          <w:szCs w:val="30"/>
          <w:lang w:val="en-US" w:eastAsia="zh-CN"/>
        </w:rPr>
        <w:t>4.4</w:t>
      </w:r>
      <w:r>
        <w:rPr>
          <w:rFonts w:hint="eastAsia" w:ascii="仿宋" w:hAnsi="仿宋" w:eastAsia="仿宋" w:cs="仿宋"/>
          <w:bCs/>
          <w:sz w:val="30"/>
          <w:szCs w:val="30"/>
        </w:rPr>
        <w:t>万元，商品与服务支出</w:t>
      </w:r>
      <w:r>
        <w:rPr>
          <w:rFonts w:hint="eastAsia" w:ascii="仿宋" w:hAnsi="仿宋" w:eastAsia="仿宋" w:cs="仿宋"/>
          <w:bCs/>
          <w:sz w:val="30"/>
          <w:szCs w:val="30"/>
          <w:lang w:val="en-US" w:eastAsia="zh-CN"/>
        </w:rPr>
        <w:t>13.02</w:t>
      </w:r>
      <w:r>
        <w:rPr>
          <w:rFonts w:hint="eastAsia" w:ascii="仿宋" w:hAnsi="仿宋" w:eastAsia="仿宋" w:cs="仿宋"/>
          <w:bCs/>
          <w:sz w:val="30"/>
          <w:szCs w:val="30"/>
        </w:rPr>
        <w:t>万元</w:t>
      </w:r>
      <w:r>
        <w:rPr>
          <w:rFonts w:hint="eastAsia" w:ascii="仿宋" w:hAnsi="仿宋" w:eastAsia="仿宋" w:cs="仿宋"/>
          <w:bCs/>
          <w:sz w:val="30"/>
          <w:szCs w:val="30"/>
          <w:lang w:eastAsia="zh-CN"/>
        </w:rPr>
        <w:t>，收入返回</w:t>
      </w:r>
      <w:r>
        <w:rPr>
          <w:rFonts w:hint="eastAsia" w:ascii="仿宋" w:hAnsi="仿宋" w:eastAsia="仿宋" w:cs="仿宋"/>
          <w:bCs/>
          <w:sz w:val="30"/>
          <w:szCs w:val="30"/>
          <w:lang w:val="en-US" w:eastAsia="zh-CN"/>
        </w:rPr>
        <w:t>270万元</w:t>
      </w:r>
      <w:r>
        <w:rPr>
          <w:rFonts w:hint="eastAsia" w:ascii="仿宋" w:hAnsi="仿宋" w:eastAsia="仿宋" w:cs="仿宋"/>
          <w:bCs/>
          <w:sz w:val="30"/>
          <w:szCs w:val="30"/>
          <w:lang w:eastAsia="zh-CN"/>
        </w:rPr>
        <w:t>。</w:t>
      </w:r>
      <w:r>
        <w:rPr>
          <w:rFonts w:hint="eastAsia" w:ascii="仿宋" w:hAnsi="仿宋" w:eastAsia="仿宋" w:cs="仿宋"/>
          <w:bCs/>
          <w:sz w:val="30"/>
          <w:szCs w:val="30"/>
        </w:rPr>
        <w:t>县财政下达市场服务中心的财政收入任务300万元，实际完成</w:t>
      </w:r>
      <w:r>
        <w:rPr>
          <w:rFonts w:hint="eastAsia" w:ascii="宋体" w:hAnsi="宋体"/>
          <w:bCs/>
          <w:sz w:val="30"/>
          <w:szCs w:val="30"/>
        </w:rPr>
        <w:t>300</w:t>
      </w:r>
      <w:r>
        <w:rPr>
          <w:rFonts w:hint="eastAsia" w:ascii="仿宋" w:hAnsi="仿宋" w:eastAsia="仿宋" w:cs="仿宋"/>
          <w:bCs/>
          <w:sz w:val="30"/>
          <w:szCs w:val="30"/>
        </w:rPr>
        <w:t>万元完成率100%，财政收入任务完成情况良好。</w:t>
      </w:r>
    </w:p>
    <w:p>
      <w:pPr>
        <w:numPr>
          <w:ilvl w:val="0"/>
          <w:numId w:val="2"/>
        </w:numPr>
        <w:adjustRightInd w:val="0"/>
        <w:snapToGrid w:val="0"/>
        <w:spacing w:line="600" w:lineRule="exact"/>
        <w:ind w:firstLine="562" w:firstLineChars="200"/>
        <w:rPr>
          <w:rFonts w:ascii="楷体_GB2312" w:eastAsia="楷体_GB2312"/>
          <w:b/>
          <w:sz w:val="28"/>
          <w:szCs w:val="28"/>
        </w:rPr>
      </w:pPr>
      <w:r>
        <w:rPr>
          <w:rFonts w:hint="eastAsia" w:ascii="楷体_GB2312" w:eastAsia="楷体_GB2312"/>
          <w:b/>
          <w:sz w:val="28"/>
          <w:szCs w:val="28"/>
        </w:rPr>
        <w:t>基本支出</w:t>
      </w:r>
    </w:p>
    <w:p>
      <w:pPr>
        <w:adjustRightInd w:val="0"/>
        <w:snapToGrid w:val="0"/>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市场服务中心202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年基本支出</w:t>
      </w:r>
      <w:r>
        <w:rPr>
          <w:rFonts w:hint="eastAsia" w:ascii="仿宋" w:hAnsi="仿宋" w:eastAsia="仿宋" w:cs="仿宋"/>
          <w:bCs/>
          <w:sz w:val="30"/>
          <w:szCs w:val="30"/>
          <w:lang w:val="en-US" w:eastAsia="zh-CN"/>
        </w:rPr>
        <w:t>1790.42</w:t>
      </w:r>
      <w:r>
        <w:rPr>
          <w:rFonts w:hint="eastAsia" w:ascii="仿宋" w:hAnsi="仿宋" w:eastAsia="仿宋" w:cs="仿宋"/>
          <w:bCs/>
          <w:sz w:val="30"/>
          <w:szCs w:val="30"/>
        </w:rPr>
        <w:t>万元，其中人员经费</w:t>
      </w:r>
      <w:r>
        <w:rPr>
          <w:rFonts w:hint="eastAsia" w:ascii="仿宋" w:hAnsi="仿宋" w:eastAsia="仿宋" w:cs="仿宋"/>
          <w:bCs/>
          <w:sz w:val="30"/>
          <w:szCs w:val="30"/>
          <w:lang w:val="en-US" w:eastAsia="zh-CN"/>
        </w:rPr>
        <w:t>1504</w:t>
      </w:r>
      <w:r>
        <w:rPr>
          <w:rFonts w:hint="eastAsia" w:ascii="仿宋" w:hAnsi="仿宋" w:eastAsia="仿宋" w:cs="仿宋"/>
          <w:bCs/>
          <w:sz w:val="30"/>
          <w:szCs w:val="30"/>
        </w:rPr>
        <w:t>万元（工资福利支出</w:t>
      </w:r>
      <w:r>
        <w:rPr>
          <w:rFonts w:hint="eastAsia" w:ascii="仿宋" w:hAnsi="仿宋" w:eastAsia="仿宋" w:cs="仿宋"/>
          <w:bCs/>
          <w:sz w:val="30"/>
          <w:szCs w:val="30"/>
          <w:lang w:val="en-US" w:eastAsia="zh-CN"/>
        </w:rPr>
        <w:t>1496.78</w:t>
      </w:r>
      <w:r>
        <w:rPr>
          <w:rFonts w:hint="eastAsia" w:ascii="仿宋" w:hAnsi="仿宋" w:eastAsia="仿宋" w:cs="仿宋"/>
          <w:bCs/>
          <w:sz w:val="30"/>
          <w:szCs w:val="30"/>
        </w:rPr>
        <w:t>万元，对个人和家庭的补助</w:t>
      </w:r>
      <w:r>
        <w:rPr>
          <w:rFonts w:hint="eastAsia" w:ascii="仿宋" w:hAnsi="仿宋" w:eastAsia="仿宋" w:cs="仿宋"/>
          <w:bCs/>
          <w:sz w:val="30"/>
          <w:szCs w:val="30"/>
          <w:lang w:val="en-US" w:eastAsia="zh-CN"/>
        </w:rPr>
        <w:t>7.22</w:t>
      </w:r>
      <w:r>
        <w:rPr>
          <w:rFonts w:hint="eastAsia" w:ascii="仿宋" w:hAnsi="仿宋" w:eastAsia="仿宋" w:cs="仿宋"/>
          <w:bCs/>
          <w:sz w:val="30"/>
          <w:szCs w:val="30"/>
        </w:rPr>
        <w:t>万元），公用经费支出</w:t>
      </w:r>
      <w:r>
        <w:rPr>
          <w:rFonts w:hint="eastAsia" w:ascii="仿宋" w:hAnsi="仿宋" w:eastAsia="仿宋" w:cs="仿宋"/>
          <w:bCs/>
          <w:sz w:val="30"/>
          <w:szCs w:val="30"/>
          <w:lang w:val="en-US" w:eastAsia="zh-CN"/>
        </w:rPr>
        <w:t>286.32</w:t>
      </w:r>
      <w:r>
        <w:rPr>
          <w:rFonts w:hint="eastAsia" w:ascii="仿宋" w:hAnsi="仿宋" w:eastAsia="仿宋" w:cs="仿宋"/>
          <w:bCs/>
          <w:sz w:val="30"/>
          <w:szCs w:val="30"/>
        </w:rPr>
        <w:t>万元（商品与服务支出</w:t>
      </w:r>
      <w:r>
        <w:rPr>
          <w:rFonts w:hint="eastAsia" w:ascii="仿宋" w:hAnsi="仿宋" w:eastAsia="仿宋" w:cs="仿宋"/>
          <w:bCs/>
          <w:sz w:val="30"/>
          <w:szCs w:val="30"/>
          <w:lang w:val="en-US" w:eastAsia="zh-CN"/>
        </w:rPr>
        <w:t>286.32</w:t>
      </w:r>
      <w:r>
        <w:rPr>
          <w:rFonts w:hint="eastAsia" w:ascii="仿宋" w:hAnsi="仿宋" w:eastAsia="仿宋" w:cs="仿宋"/>
          <w:bCs/>
          <w:sz w:val="30"/>
          <w:szCs w:val="30"/>
        </w:rPr>
        <w:t>万元，资本性支出</w:t>
      </w:r>
      <w:r>
        <w:rPr>
          <w:rFonts w:hint="eastAsia" w:ascii="仿宋" w:hAnsi="仿宋" w:eastAsia="仿宋" w:cs="仿宋"/>
          <w:bCs/>
          <w:sz w:val="30"/>
          <w:szCs w:val="30"/>
          <w:lang w:val="en-US" w:eastAsia="zh-CN"/>
        </w:rPr>
        <w:t>0</w:t>
      </w:r>
      <w:r>
        <w:rPr>
          <w:rFonts w:hint="eastAsia" w:ascii="仿宋" w:hAnsi="仿宋" w:eastAsia="仿宋" w:cs="仿宋"/>
          <w:bCs/>
          <w:sz w:val="30"/>
          <w:szCs w:val="30"/>
        </w:rPr>
        <w:t>万元）。</w:t>
      </w:r>
    </w:p>
    <w:p>
      <w:pPr>
        <w:adjustRightInd w:val="0"/>
        <w:snapToGrid w:val="0"/>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202</w:t>
      </w:r>
      <w:r>
        <w:rPr>
          <w:rFonts w:hint="eastAsia" w:ascii="仿宋" w:hAnsi="仿宋" w:eastAsia="仿宋" w:cs="仿宋"/>
          <w:bCs/>
          <w:sz w:val="30"/>
          <w:szCs w:val="30"/>
          <w:lang w:val="en-US" w:eastAsia="zh-CN"/>
        </w:rPr>
        <w:t>2</w:t>
      </w:r>
      <w:r>
        <w:rPr>
          <w:rFonts w:hint="eastAsia" w:ascii="仿宋" w:hAnsi="仿宋" w:eastAsia="仿宋" w:cs="仿宋"/>
          <w:bCs/>
          <w:sz w:val="30"/>
          <w:szCs w:val="30"/>
        </w:rPr>
        <w:t>年市场服务中心“三公”经费支出</w:t>
      </w:r>
      <w:r>
        <w:rPr>
          <w:rFonts w:hint="eastAsia" w:ascii="仿宋" w:hAnsi="仿宋" w:eastAsia="仿宋" w:cs="仿宋"/>
          <w:bCs/>
          <w:sz w:val="30"/>
          <w:szCs w:val="30"/>
          <w:lang w:val="en-US" w:eastAsia="zh-CN"/>
        </w:rPr>
        <w:t>0</w:t>
      </w:r>
      <w:r>
        <w:rPr>
          <w:rFonts w:hint="eastAsia" w:ascii="仿宋" w:hAnsi="仿宋" w:eastAsia="仿宋" w:cs="仿宋"/>
          <w:bCs/>
          <w:sz w:val="30"/>
          <w:szCs w:val="30"/>
        </w:rPr>
        <w:t>万元。“三公”经费严格控制在年初预算范围内，较好地达成年度预算设定的绩效目标。</w:t>
      </w:r>
    </w:p>
    <w:p>
      <w:pPr>
        <w:adjustRightInd w:val="0"/>
        <w:snapToGrid w:val="0"/>
        <w:spacing w:line="600" w:lineRule="exact"/>
        <w:rPr>
          <w:rFonts w:ascii="仿宋" w:hAnsi="仿宋" w:eastAsia="仿宋" w:cs="仿宋"/>
          <w:bCs/>
          <w:sz w:val="30"/>
          <w:szCs w:val="30"/>
        </w:rPr>
      </w:pPr>
    </w:p>
    <w:p>
      <w:pPr>
        <w:adjustRightInd w:val="0"/>
        <w:snapToGrid w:val="0"/>
        <w:spacing w:line="600" w:lineRule="exact"/>
        <w:ind w:left="420" w:leftChars="200" w:firstLine="280" w:firstLineChars="100"/>
        <w:rPr>
          <w:rFonts w:eastAsia="黑体"/>
          <w:sz w:val="28"/>
          <w:szCs w:val="28"/>
        </w:rPr>
      </w:pPr>
      <w:r>
        <w:rPr>
          <w:rFonts w:hint="eastAsia" w:eastAsia="黑体"/>
          <w:sz w:val="28"/>
          <w:szCs w:val="28"/>
        </w:rPr>
        <w:t>三、部门专项</w:t>
      </w:r>
      <w:r>
        <w:rPr>
          <w:rFonts w:eastAsia="黑体"/>
          <w:sz w:val="28"/>
          <w:szCs w:val="28"/>
        </w:rPr>
        <w:t>组织实施情况</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在各项目实施过程中，本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 xml:space="preserve"> 资产管理情况</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固定资产的管理按照财政规定，对所有固定资产按类进行登记，保证财实相符，固定资产的购入及时进行申报、登记、及时进行财务核算，对报废不能用的严格履行审批手续，未经报批不得处置。</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绩效评价工作情况</w:t>
      </w:r>
    </w:p>
    <w:p>
      <w:pPr>
        <w:adjustRightInd w:val="0"/>
        <w:snapToGrid w:val="0"/>
        <w:spacing w:line="600" w:lineRule="exact"/>
        <w:rPr>
          <w:rFonts w:ascii="仿宋" w:hAnsi="仿宋" w:eastAsia="仿宋" w:cs="仿宋"/>
          <w:sz w:val="30"/>
          <w:szCs w:val="30"/>
        </w:rPr>
      </w:pPr>
      <w:r>
        <w:rPr>
          <w:rFonts w:hint="eastAsia" w:eastAsia="黑体"/>
          <w:sz w:val="28"/>
          <w:szCs w:val="28"/>
        </w:rPr>
        <w:t xml:space="preserve">    </w:t>
      </w:r>
      <w:r>
        <w:rPr>
          <w:rFonts w:hint="eastAsia" w:ascii="仿宋" w:hAnsi="仿宋" w:eastAsia="仿宋" w:cs="仿宋"/>
          <w:sz w:val="30"/>
          <w:szCs w:val="30"/>
        </w:rPr>
        <w:t>1.管理制度健全性上，中心根据国家有关财经法律法规和工作实际，制定了《邵阳县市场服务中心财务报销审核审批制度》，且相关管理制度得到了认真执行。</w:t>
      </w:r>
    </w:p>
    <w:p>
      <w:pPr>
        <w:adjustRightInd w:val="0"/>
        <w:snapToGrid w:val="0"/>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2.资金使用合规性上，中心在资金使用上一直按照国家财经法规和本单位财务管理制度规定以及有关专项资金管理办法的规定收支，资金拨付有完整的审批程序和手续，按照财经制度的有关要求，做到专款专用，专人保管，实行财务集中会审制，保证资金使用的合法性。资金使用无截留、挤占、挪用、虚列支出等情况。</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综合评价情况及评价结论</w:t>
      </w:r>
    </w:p>
    <w:p>
      <w:pPr>
        <w:adjustRightInd w:val="0"/>
        <w:snapToGrid w:val="0"/>
        <w:spacing w:line="600" w:lineRule="exact"/>
        <w:rPr>
          <w:rFonts w:eastAsia="黑体"/>
          <w:sz w:val="28"/>
          <w:szCs w:val="28"/>
        </w:rPr>
      </w:pPr>
      <w:r>
        <w:rPr>
          <w:rFonts w:hint="eastAsia" w:eastAsia="黑体"/>
          <w:sz w:val="28"/>
          <w:szCs w:val="28"/>
        </w:rPr>
        <w:t xml:space="preserve">    </w:t>
      </w:r>
      <w:r>
        <w:rPr>
          <w:rFonts w:hint="eastAsia" w:ascii="仿宋" w:hAnsi="仿宋" w:eastAsia="仿宋" w:cs="仿宋"/>
          <w:sz w:val="30"/>
          <w:szCs w:val="30"/>
        </w:rPr>
        <w:t>2021年本单位部门整体支出综合评价情况良好，预算配置、执行、管理、资产管理、绩效管理、职责履行执行及完成情况良好，社会公众或服务对象满意度较高。2021年度整体支出绩效评为良好。</w:t>
      </w:r>
    </w:p>
    <w:p>
      <w:pPr>
        <w:numPr>
          <w:ilvl w:val="0"/>
          <w:numId w:val="3"/>
        </w:numPr>
        <w:adjustRightInd w:val="0"/>
        <w:snapToGrid w:val="0"/>
        <w:spacing w:line="600" w:lineRule="exact"/>
        <w:ind w:firstLine="560" w:firstLineChars="200"/>
        <w:rPr>
          <w:rFonts w:eastAsia="黑体"/>
          <w:sz w:val="28"/>
          <w:szCs w:val="28"/>
        </w:rPr>
      </w:pPr>
      <w:r>
        <w:rPr>
          <w:rFonts w:hint="eastAsia" w:eastAsia="黑体"/>
          <w:sz w:val="28"/>
          <w:szCs w:val="28"/>
        </w:rPr>
        <w:t>部门整体支出主要</w:t>
      </w:r>
      <w:r>
        <w:rPr>
          <w:rFonts w:eastAsia="黑体"/>
          <w:sz w:val="28"/>
          <w:szCs w:val="28"/>
        </w:rPr>
        <w:t>绩效</w:t>
      </w:r>
    </w:p>
    <w:p>
      <w:pPr>
        <w:adjustRightInd w:val="0"/>
        <w:snapToGrid w:val="0"/>
        <w:spacing w:line="600" w:lineRule="exact"/>
        <w:ind w:firstLine="560" w:firstLineChars="200"/>
        <w:rPr>
          <w:rFonts w:ascii="仿宋" w:hAnsi="仿宋" w:eastAsia="仿宋" w:cs="仿宋"/>
          <w:sz w:val="30"/>
          <w:szCs w:val="30"/>
        </w:rPr>
      </w:pPr>
      <w:r>
        <w:rPr>
          <w:rFonts w:hint="eastAsia" w:eastAsia="黑体"/>
          <w:sz w:val="28"/>
          <w:szCs w:val="28"/>
        </w:rPr>
        <w:t xml:space="preserve"> </w:t>
      </w:r>
      <w:r>
        <w:rPr>
          <w:rFonts w:hint="eastAsia" w:ascii="仿宋" w:hAnsi="仿宋" w:eastAsia="仿宋" w:cs="仿宋"/>
          <w:sz w:val="30"/>
          <w:szCs w:val="30"/>
        </w:rPr>
        <w:t>202</w:t>
      </w:r>
      <w:r>
        <w:rPr>
          <w:rFonts w:hint="eastAsia" w:ascii="仿宋" w:hAnsi="仿宋" w:eastAsia="仿宋" w:cs="仿宋"/>
          <w:sz w:val="30"/>
          <w:szCs w:val="30"/>
          <w:lang w:val="en-US" w:eastAsia="zh-CN"/>
        </w:rPr>
        <w:t>2</w:t>
      </w:r>
      <w:r>
        <w:rPr>
          <w:rFonts w:hint="eastAsia" w:ascii="仿宋" w:hAnsi="仿宋" w:eastAsia="仿宋" w:cs="仿宋"/>
          <w:sz w:val="30"/>
          <w:szCs w:val="30"/>
        </w:rPr>
        <w:t>年，市场服务中心把强化工作责任心，提高工作质量，优化工作态度，提高工作对象对我们工作满意度做为主要工作来抓，各股室工作按照年初的计划有序的开展，办事效益进一步提高，服务态度进一步优化。基本支出严格按年初预算执行，特别是严控“三公经费”支出，“三公经费”支出较往年稳步下降。进一步规范资金使用，把好“支出关”。单位经费开支按预算和单位财务管理制度执行，基本支出做到不铺张浪费，开源节流。推进预算等重要信息的公开透明，202</w:t>
      </w:r>
      <w:r>
        <w:rPr>
          <w:rFonts w:hint="eastAsia" w:ascii="仿宋" w:hAnsi="仿宋" w:eastAsia="仿宋" w:cs="仿宋"/>
          <w:sz w:val="30"/>
          <w:szCs w:val="30"/>
          <w:lang w:val="en-US" w:eastAsia="zh-CN"/>
        </w:rPr>
        <w:t>1</w:t>
      </w:r>
      <w:r>
        <w:rPr>
          <w:rFonts w:hint="eastAsia" w:ascii="仿宋" w:hAnsi="仿宋" w:eastAsia="仿宋" w:cs="仿宋"/>
          <w:sz w:val="30"/>
          <w:szCs w:val="30"/>
        </w:rPr>
        <w:t>年度在网站上公开部门预算信息及单位整体财务情况，做到主动接受社会公众的监督。</w:t>
      </w:r>
    </w:p>
    <w:p>
      <w:pPr>
        <w:numPr>
          <w:ilvl w:val="0"/>
          <w:numId w:val="3"/>
        </w:numPr>
        <w:adjustRightInd w:val="0"/>
        <w:snapToGrid w:val="0"/>
        <w:spacing w:line="600" w:lineRule="exact"/>
        <w:ind w:firstLine="618" w:firstLineChars="221"/>
        <w:rPr>
          <w:rFonts w:ascii="黑体" w:eastAsia="黑体"/>
          <w:sz w:val="28"/>
          <w:szCs w:val="28"/>
        </w:rPr>
      </w:pPr>
      <w:r>
        <w:rPr>
          <w:rFonts w:hint="eastAsia" w:ascii="黑体" w:eastAsia="黑体"/>
          <w:sz w:val="28"/>
          <w:szCs w:val="28"/>
        </w:rPr>
        <w:t>存在的问题</w:t>
      </w:r>
    </w:p>
    <w:p>
      <w:pPr>
        <w:adjustRightInd w:val="0"/>
        <w:snapToGrid w:val="0"/>
        <w:spacing w:line="600" w:lineRule="exact"/>
        <w:rPr>
          <w:rFonts w:ascii="仿宋" w:hAnsi="仿宋" w:eastAsia="仿宋" w:cs="仿宋"/>
          <w:sz w:val="30"/>
          <w:szCs w:val="30"/>
        </w:rPr>
      </w:pPr>
      <w:r>
        <w:rPr>
          <w:rFonts w:hint="eastAsia" w:ascii="仿宋" w:hAnsi="仿宋" w:eastAsia="仿宋" w:cs="仿宋"/>
          <w:sz w:val="30"/>
          <w:szCs w:val="30"/>
        </w:rPr>
        <w:t xml:space="preserve">     1.因财政资金紧张，各类开支不能及时报账，导致资金的拨使用存在不协调，年终预算指标结转结余数额较大，实际工作中很多工作不能及时开展及推进，存在较多潜在的风险。</w:t>
      </w:r>
    </w:p>
    <w:p>
      <w:pPr>
        <w:adjustRightInd w:val="0"/>
        <w:snapToGrid w:val="0"/>
        <w:spacing w:line="600" w:lineRule="exact"/>
        <w:ind w:firstLine="600" w:firstLineChars="200"/>
        <w:rPr>
          <w:rFonts w:eastAsia="黑体"/>
          <w:sz w:val="28"/>
          <w:szCs w:val="28"/>
        </w:rPr>
      </w:pPr>
      <w:r>
        <w:rPr>
          <w:rFonts w:hint="eastAsia" w:ascii="仿宋" w:hAnsi="仿宋" w:eastAsia="仿宋" w:cs="仿宋"/>
          <w:sz w:val="30"/>
          <w:szCs w:val="30"/>
        </w:rPr>
        <w:t>2.对于绩效评价的认识不够深入，实际工作中存在把预算绩效简单等同于工作目标、工作考核，绩效目标和指标往往根据项目实际完成情况制定，对项目执行过程有效约束不够，存在一定的偏差。</w:t>
      </w:r>
    </w:p>
    <w:p>
      <w:pPr>
        <w:adjustRightInd w:val="0"/>
        <w:snapToGrid w:val="0"/>
        <w:spacing w:line="600" w:lineRule="exact"/>
        <w:ind w:firstLine="840" w:firstLineChars="300"/>
        <w:rPr>
          <w:rFonts w:eastAsia="黑体"/>
          <w:sz w:val="28"/>
          <w:szCs w:val="28"/>
        </w:rPr>
      </w:pPr>
      <w:r>
        <w:rPr>
          <w:rFonts w:hint="eastAsia" w:eastAsia="黑体"/>
          <w:sz w:val="28"/>
          <w:szCs w:val="28"/>
        </w:rPr>
        <w:t>九</w:t>
      </w:r>
      <w:r>
        <w:rPr>
          <w:rFonts w:eastAsia="黑体"/>
          <w:sz w:val="28"/>
          <w:szCs w:val="28"/>
        </w:rPr>
        <w:t>、</w:t>
      </w:r>
      <w:r>
        <w:rPr>
          <w:rFonts w:hint="eastAsia" w:eastAsia="黑体"/>
          <w:sz w:val="28"/>
          <w:szCs w:val="28"/>
        </w:rPr>
        <w:t>改进措施和有关建议</w:t>
      </w:r>
    </w:p>
    <w:p>
      <w:pPr>
        <w:spacing w:line="600" w:lineRule="exact"/>
        <w:rPr>
          <w:rFonts w:ascii="仿宋" w:hAnsi="仿宋" w:eastAsia="仿宋" w:cs="仿宋"/>
          <w:sz w:val="30"/>
          <w:szCs w:val="30"/>
        </w:rPr>
      </w:pPr>
      <w:r>
        <w:rPr>
          <w:rFonts w:hint="eastAsia" w:ascii="黑体" w:eastAsia="黑体"/>
          <w:sz w:val="28"/>
          <w:szCs w:val="28"/>
        </w:rPr>
        <w:t xml:space="preserve">     </w:t>
      </w:r>
      <w:r>
        <w:rPr>
          <w:rFonts w:hint="eastAsia" w:ascii="仿宋" w:hAnsi="仿宋" w:eastAsia="仿宋" w:cs="仿宋"/>
          <w:sz w:val="30"/>
          <w:szCs w:val="30"/>
        </w:rPr>
        <w:t>进一步完善、明确和细化各项费用支出管理制度，严格控制各项费用。加强与财政的沟通协调，提升财政资金使用效率。规范绩效评价管理资料的手机整理，确保资料完整可靠。</w:t>
      </w:r>
    </w:p>
    <w:p>
      <w:pPr>
        <w:rPr>
          <w:rFonts w:ascii="黑体" w:eastAsia="黑体"/>
          <w:sz w:val="28"/>
          <w:szCs w:val="28"/>
        </w:rPr>
      </w:pPr>
    </w:p>
    <w:p>
      <w:pPr>
        <w:ind w:firstLine="5850" w:firstLineChars="1950"/>
        <w:rPr>
          <w:rFonts w:ascii="仿宋" w:hAnsi="仿宋" w:eastAsia="仿宋" w:cs="仿宋"/>
          <w:sz w:val="30"/>
          <w:szCs w:val="30"/>
        </w:rPr>
      </w:pPr>
      <w:r>
        <w:rPr>
          <w:rFonts w:hint="eastAsia" w:ascii="仿宋" w:hAnsi="仿宋" w:eastAsia="仿宋" w:cs="仿宋"/>
          <w:sz w:val="30"/>
          <w:szCs w:val="30"/>
        </w:rPr>
        <w:t>邵阳县市场服务中心</w:t>
      </w:r>
    </w:p>
    <w:p>
      <w:pPr>
        <w:rPr>
          <w:rFonts w:ascii="仿宋" w:hAnsi="仿宋" w:eastAsia="仿宋" w:cs="仿宋"/>
          <w:sz w:val="30"/>
          <w:szCs w:val="30"/>
        </w:rPr>
      </w:pPr>
    </w:p>
    <w:p>
      <w:pPr>
        <w:rPr>
          <w:rFonts w:ascii="黑体" w:eastAsia="黑体"/>
          <w:sz w:val="32"/>
          <w:szCs w:val="32"/>
        </w:rPr>
      </w:pPr>
      <w:r>
        <w:rPr>
          <w:rFonts w:hint="eastAsia" w:ascii="仿宋" w:hAnsi="仿宋" w:eastAsia="仿宋" w:cs="仿宋"/>
          <w:sz w:val="30"/>
          <w:szCs w:val="30"/>
        </w:rPr>
        <w:t xml:space="preserve">                                         202</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val="en-US" w:eastAsia="zh-CN"/>
        </w:rPr>
        <w:t>11</w:t>
      </w:r>
      <w:r>
        <w:rPr>
          <w:rFonts w:hint="eastAsia" w:ascii="仿宋" w:hAnsi="仿宋" w:eastAsia="仿宋" w:cs="仿宋"/>
          <w:sz w:val="30"/>
          <w:szCs w:val="30"/>
        </w:rPr>
        <w:t>月</w:t>
      </w:r>
      <w:r>
        <w:rPr>
          <w:rFonts w:hint="eastAsia" w:ascii="仿宋" w:hAnsi="仿宋" w:eastAsia="仿宋" w:cs="仿宋"/>
          <w:sz w:val="30"/>
          <w:szCs w:val="30"/>
          <w:lang w:val="en-US" w:eastAsia="zh-CN"/>
        </w:rPr>
        <w:t>9</w:t>
      </w:r>
      <w:r>
        <w:rPr>
          <w:rFonts w:hint="eastAsia" w:ascii="仿宋" w:hAnsi="仿宋" w:eastAsia="仿宋" w:cs="仿宋"/>
          <w:sz w:val="30"/>
          <w:szCs w:val="30"/>
        </w:rPr>
        <w:t>日</w:t>
      </w:r>
    </w:p>
    <w:p>
      <w:pPr>
        <w:rPr>
          <w:rFonts w:ascii="黑体" w:eastAsia="黑体"/>
          <w:sz w:val="32"/>
          <w:szCs w:val="32"/>
        </w:rPr>
      </w:pPr>
    </w:p>
    <w:p>
      <w:pPr>
        <w:jc w:val="left"/>
        <w:rPr>
          <w:rFonts w:ascii="黑体" w:hAnsi="黑体" w:eastAsia="黑体" w:cs="黑体"/>
          <w:sz w:val="32"/>
          <w:szCs w:val="32"/>
        </w:rPr>
      </w:pPr>
    </w:p>
    <w:p>
      <w:pPr>
        <w:rPr>
          <w:rFonts w:ascii="宋体" w:hAnsi="宋体"/>
          <w:b/>
          <w:bCs/>
          <w:sz w:val="44"/>
          <w:szCs w:val="44"/>
        </w:rPr>
      </w:pPr>
    </w:p>
    <w:p>
      <w:pPr>
        <w:rPr>
          <w:rFonts w:ascii="宋体" w:hAnsi="宋体"/>
          <w:b/>
          <w:bCs/>
          <w:sz w:val="44"/>
          <w:szCs w:val="44"/>
        </w:rPr>
      </w:pPr>
    </w:p>
    <w:p>
      <w:pPr>
        <w:rPr>
          <w:rFonts w:ascii="宋体" w:hAnsi="宋体"/>
          <w:b/>
          <w:bCs/>
          <w:sz w:val="44"/>
          <w:szCs w:val="44"/>
        </w:rPr>
      </w:pPr>
    </w:p>
    <w:p>
      <w:pPr>
        <w:rPr>
          <w:rFonts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hint="eastAsia" w:ascii="宋体" w:hAnsi="宋体"/>
          <w:b/>
          <w:bCs/>
          <w:sz w:val="44"/>
          <w:szCs w:val="44"/>
        </w:rPr>
      </w:pPr>
    </w:p>
    <w:p>
      <w:pPr>
        <w:rPr>
          <w:rFonts w:ascii="宋体" w:hAnsi="宋体"/>
          <w:b/>
          <w:bCs/>
          <w:sz w:val="44"/>
          <w:szCs w:val="44"/>
        </w:rPr>
      </w:pPr>
      <w:r>
        <w:rPr>
          <w:rFonts w:hint="eastAsia" w:ascii="宋体" w:hAnsi="宋体"/>
          <w:b/>
          <w:bCs/>
          <w:sz w:val="44"/>
          <w:szCs w:val="44"/>
        </w:rPr>
        <w:t>邵阳县202</w:t>
      </w:r>
      <w:r>
        <w:rPr>
          <w:rFonts w:hint="eastAsia" w:ascii="宋体" w:hAnsi="宋体"/>
          <w:b/>
          <w:bCs/>
          <w:sz w:val="44"/>
          <w:szCs w:val="44"/>
          <w:lang w:val="en-US" w:eastAsia="zh-CN"/>
        </w:rPr>
        <w:t>2</w:t>
      </w:r>
      <w:r>
        <w:rPr>
          <w:rFonts w:hint="eastAsia" w:ascii="宋体" w:hAnsi="宋体"/>
          <w:b/>
          <w:bCs/>
          <w:sz w:val="44"/>
          <w:szCs w:val="44"/>
        </w:rPr>
        <w:t xml:space="preserve">年度部门整体支出绩效自评报告   </w:t>
      </w:r>
    </w:p>
    <w:p>
      <w:pPr>
        <w:jc w:val="center"/>
        <w:rPr>
          <w:rFonts w:ascii="宋体" w:hAnsi="宋体"/>
          <w:b/>
          <w:bCs/>
          <w:sz w:val="44"/>
          <w:szCs w:val="44"/>
        </w:rPr>
      </w:pPr>
      <w:r>
        <w:rPr>
          <w:rFonts w:hint="eastAsia" w:ascii="宋体" w:hAnsi="宋体"/>
          <w:b/>
          <w:bCs/>
          <w:sz w:val="44"/>
          <w:szCs w:val="44"/>
        </w:rPr>
        <w:t>（封面）</w:t>
      </w:r>
    </w:p>
    <w:p>
      <w:pPr>
        <w:jc w:val="center"/>
        <w:rPr>
          <w:rFonts w:ascii="宋体" w:hAnsi="宋体"/>
          <w:b/>
          <w:bCs/>
          <w:sz w:val="44"/>
          <w:szCs w:val="44"/>
        </w:rPr>
      </w:pPr>
    </w:p>
    <w:p>
      <w:pPr>
        <w:spacing w:line="600" w:lineRule="exact"/>
        <w:rPr>
          <w:sz w:val="36"/>
        </w:rPr>
      </w:pPr>
    </w:p>
    <w:p>
      <w:pPr>
        <w:spacing w:line="1000" w:lineRule="exact"/>
        <w:ind w:firstLine="643" w:firstLineChars="200"/>
        <w:rPr>
          <w:b/>
          <w:bCs/>
          <w:sz w:val="32"/>
          <w:szCs w:val="32"/>
          <w:u w:val="single"/>
        </w:rPr>
      </w:pPr>
      <w:r>
        <w:rPr>
          <w:rFonts w:hint="eastAsia"/>
          <w:b/>
          <w:bCs/>
          <w:sz w:val="32"/>
          <w:szCs w:val="32"/>
        </w:rPr>
        <w:t xml:space="preserve">自评单位：     </w:t>
      </w:r>
      <w:r>
        <w:rPr>
          <w:rFonts w:hint="eastAsia"/>
          <w:b/>
          <w:bCs/>
          <w:sz w:val="32"/>
          <w:szCs w:val="32"/>
          <w:u w:val="single"/>
        </w:rPr>
        <w:t>邵阳县市场服务中心　</w:t>
      </w:r>
    </w:p>
    <w:p>
      <w:pPr>
        <w:spacing w:line="1000" w:lineRule="exact"/>
        <w:ind w:firstLine="3520" w:firstLineChars="1100"/>
        <w:rPr>
          <w:bCs/>
          <w:sz w:val="32"/>
          <w:szCs w:val="32"/>
          <w:u w:val="single"/>
        </w:rPr>
      </w:pP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p>
    <w:p>
      <w:pPr>
        <w:spacing w:line="600" w:lineRule="exact"/>
        <w:jc w:val="center"/>
        <w:rPr>
          <w:rFonts w:ascii="楷体" w:hAnsi="楷体" w:eastAsia="楷体" w:cs="楷体"/>
          <w:sz w:val="36"/>
        </w:rPr>
      </w:pPr>
    </w:p>
    <w:p>
      <w:pPr>
        <w:spacing w:line="600" w:lineRule="exact"/>
        <w:jc w:val="center"/>
        <w:rPr>
          <w:rFonts w:ascii="黑体" w:hAnsi="黑体" w:eastAsia="黑体" w:cs="黑体"/>
          <w:sz w:val="32"/>
          <w:szCs w:val="32"/>
        </w:rPr>
      </w:pPr>
      <w:r>
        <w:rPr>
          <w:rFonts w:hint="eastAsia" w:ascii="楷体" w:hAnsi="楷体" w:eastAsia="楷体" w:cs="楷体"/>
          <w:sz w:val="36"/>
        </w:rPr>
        <w:t>日期：202</w:t>
      </w:r>
      <w:r>
        <w:rPr>
          <w:rFonts w:hint="eastAsia" w:ascii="楷体" w:hAnsi="楷体" w:eastAsia="楷体" w:cs="楷体"/>
          <w:sz w:val="36"/>
          <w:lang w:val="en-US" w:eastAsia="zh-CN"/>
        </w:rPr>
        <w:t>3</w:t>
      </w:r>
      <w:r>
        <w:rPr>
          <w:rFonts w:hint="eastAsia" w:ascii="楷体" w:hAnsi="楷体" w:eastAsia="楷体" w:cs="楷体"/>
          <w:sz w:val="36"/>
        </w:rPr>
        <w:t>年　</w:t>
      </w:r>
      <w:r>
        <w:rPr>
          <w:rFonts w:hint="eastAsia" w:ascii="楷体" w:hAnsi="楷体" w:eastAsia="楷体" w:cs="楷体"/>
          <w:sz w:val="36"/>
          <w:lang w:val="en-US" w:eastAsia="zh-CN"/>
        </w:rPr>
        <w:t>11</w:t>
      </w:r>
      <w:r>
        <w:rPr>
          <w:rFonts w:hint="eastAsia" w:ascii="楷体" w:hAnsi="楷体" w:eastAsia="楷体" w:cs="楷体"/>
          <w:sz w:val="36"/>
        </w:rPr>
        <w:t>月</w:t>
      </w:r>
      <w:r>
        <w:rPr>
          <w:rFonts w:hint="eastAsia" w:ascii="楷体" w:hAnsi="楷体" w:eastAsia="楷体" w:cs="楷体"/>
          <w:sz w:val="36"/>
          <w:lang w:val="en-US" w:eastAsia="zh-CN"/>
        </w:rPr>
        <w:t>9</w:t>
      </w:r>
      <w:bookmarkStart w:id="0" w:name="_GoBack"/>
      <w:bookmarkEnd w:id="0"/>
      <w:r>
        <w:rPr>
          <w:rFonts w:hint="eastAsia" w:ascii="楷体" w:hAnsi="楷体" w:eastAsia="楷体" w:cs="楷体"/>
          <w:sz w:val="36"/>
        </w:rPr>
        <w:t>日</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hint="eastAsia" w:ascii="黑体" w:hAnsi="黑体" w:eastAsia="黑体" w:cs="黑体"/>
          <w:sz w:val="32"/>
          <w:szCs w:val="32"/>
        </w:rPr>
      </w:pPr>
    </w:p>
    <w:p>
      <w:pPr>
        <w:jc w:val="left"/>
        <w:rPr>
          <w:rFonts w:hint="eastAsia" w:ascii="黑体" w:hAnsi="黑体" w:eastAsia="黑体" w:cs="黑体"/>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D4E57"/>
    <w:multiLevelType w:val="singleLevel"/>
    <w:tmpl w:val="892D4E57"/>
    <w:lvl w:ilvl="0" w:tentative="0">
      <w:start w:val="1"/>
      <w:numFmt w:val="chineseCounting"/>
      <w:suff w:val="nothing"/>
      <w:lvlText w:val="%1、"/>
      <w:lvlJc w:val="left"/>
      <w:rPr>
        <w:rFonts w:hint="eastAsia"/>
      </w:rPr>
    </w:lvl>
  </w:abstractNum>
  <w:abstractNum w:abstractNumId="1">
    <w:nsid w:val="A9B11C6A"/>
    <w:multiLevelType w:val="singleLevel"/>
    <w:tmpl w:val="A9B11C6A"/>
    <w:lvl w:ilvl="0" w:tentative="0">
      <w:start w:val="2"/>
      <w:numFmt w:val="chineseCounting"/>
      <w:suff w:val="nothing"/>
      <w:lvlText w:val="（%1）"/>
      <w:lvlJc w:val="left"/>
      <w:rPr>
        <w:rFonts w:hint="eastAsia"/>
      </w:rPr>
    </w:lvl>
  </w:abstractNum>
  <w:abstractNum w:abstractNumId="2">
    <w:nsid w:val="1239FFCF"/>
    <w:multiLevelType w:val="singleLevel"/>
    <w:tmpl w:val="1239FFCF"/>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NTNiMjA0NmYxMDgxMWVhZjgwZjAxNjM5YThjOTIifQ=="/>
  </w:docVars>
  <w:rsids>
    <w:rsidRoot w:val="00172A27"/>
    <w:rsid w:val="00020D33"/>
    <w:rsid w:val="00030825"/>
    <w:rsid w:val="00060A62"/>
    <w:rsid w:val="000768C7"/>
    <w:rsid w:val="000B44C0"/>
    <w:rsid w:val="000E049D"/>
    <w:rsid w:val="000E7434"/>
    <w:rsid w:val="001207C7"/>
    <w:rsid w:val="001325BE"/>
    <w:rsid w:val="001423EB"/>
    <w:rsid w:val="00153A3A"/>
    <w:rsid w:val="001658D4"/>
    <w:rsid w:val="00172A27"/>
    <w:rsid w:val="001802CF"/>
    <w:rsid w:val="001B772D"/>
    <w:rsid w:val="001D59EB"/>
    <w:rsid w:val="001E5CDE"/>
    <w:rsid w:val="00241EBF"/>
    <w:rsid w:val="00253DD9"/>
    <w:rsid w:val="00292D3A"/>
    <w:rsid w:val="002A5C3D"/>
    <w:rsid w:val="002A6620"/>
    <w:rsid w:val="002B2D2E"/>
    <w:rsid w:val="002D614D"/>
    <w:rsid w:val="002D7113"/>
    <w:rsid w:val="002E3C7F"/>
    <w:rsid w:val="002F65FE"/>
    <w:rsid w:val="00332386"/>
    <w:rsid w:val="00332970"/>
    <w:rsid w:val="003355CD"/>
    <w:rsid w:val="0036796A"/>
    <w:rsid w:val="003B1FDB"/>
    <w:rsid w:val="003F2C9F"/>
    <w:rsid w:val="004319E5"/>
    <w:rsid w:val="00453C41"/>
    <w:rsid w:val="004563F5"/>
    <w:rsid w:val="00462A9D"/>
    <w:rsid w:val="00463C10"/>
    <w:rsid w:val="00496CD8"/>
    <w:rsid w:val="004A7F44"/>
    <w:rsid w:val="004B47BC"/>
    <w:rsid w:val="004C66F5"/>
    <w:rsid w:val="004F1216"/>
    <w:rsid w:val="00501DDC"/>
    <w:rsid w:val="005672D6"/>
    <w:rsid w:val="0057317D"/>
    <w:rsid w:val="005E73EC"/>
    <w:rsid w:val="00612D17"/>
    <w:rsid w:val="00631A52"/>
    <w:rsid w:val="00645A4C"/>
    <w:rsid w:val="006621F1"/>
    <w:rsid w:val="00676ECE"/>
    <w:rsid w:val="006C3017"/>
    <w:rsid w:val="006E5FF1"/>
    <w:rsid w:val="00700689"/>
    <w:rsid w:val="007067D4"/>
    <w:rsid w:val="0075493C"/>
    <w:rsid w:val="007760AD"/>
    <w:rsid w:val="0078468B"/>
    <w:rsid w:val="007A209E"/>
    <w:rsid w:val="007F01DE"/>
    <w:rsid w:val="008012C0"/>
    <w:rsid w:val="008052AC"/>
    <w:rsid w:val="00817AEC"/>
    <w:rsid w:val="00837118"/>
    <w:rsid w:val="008647BA"/>
    <w:rsid w:val="0087048D"/>
    <w:rsid w:val="008838FC"/>
    <w:rsid w:val="008909E3"/>
    <w:rsid w:val="00890A63"/>
    <w:rsid w:val="008A2B85"/>
    <w:rsid w:val="008D6B2C"/>
    <w:rsid w:val="009140BB"/>
    <w:rsid w:val="00926A7B"/>
    <w:rsid w:val="009461E1"/>
    <w:rsid w:val="00953880"/>
    <w:rsid w:val="00961EF6"/>
    <w:rsid w:val="0097621D"/>
    <w:rsid w:val="0098778D"/>
    <w:rsid w:val="009D1402"/>
    <w:rsid w:val="009F198A"/>
    <w:rsid w:val="009F479D"/>
    <w:rsid w:val="00A022E1"/>
    <w:rsid w:val="00A23493"/>
    <w:rsid w:val="00A43D18"/>
    <w:rsid w:val="00A72D44"/>
    <w:rsid w:val="00AB71CD"/>
    <w:rsid w:val="00AF1164"/>
    <w:rsid w:val="00B007F9"/>
    <w:rsid w:val="00B0704C"/>
    <w:rsid w:val="00B20561"/>
    <w:rsid w:val="00B2595B"/>
    <w:rsid w:val="00B260CD"/>
    <w:rsid w:val="00B41963"/>
    <w:rsid w:val="00B510C4"/>
    <w:rsid w:val="00B53D76"/>
    <w:rsid w:val="00B7296B"/>
    <w:rsid w:val="00B81179"/>
    <w:rsid w:val="00B85F42"/>
    <w:rsid w:val="00BB4FEC"/>
    <w:rsid w:val="00BC3FA3"/>
    <w:rsid w:val="00BF35E4"/>
    <w:rsid w:val="00C16596"/>
    <w:rsid w:val="00C673FA"/>
    <w:rsid w:val="00CA77FB"/>
    <w:rsid w:val="00CC3CDF"/>
    <w:rsid w:val="00CD3317"/>
    <w:rsid w:val="00CD6EB8"/>
    <w:rsid w:val="00CE27D8"/>
    <w:rsid w:val="00CE78A7"/>
    <w:rsid w:val="00CF6A9D"/>
    <w:rsid w:val="00D26F72"/>
    <w:rsid w:val="00D320BB"/>
    <w:rsid w:val="00D339BB"/>
    <w:rsid w:val="00D42735"/>
    <w:rsid w:val="00D47E53"/>
    <w:rsid w:val="00DB08C2"/>
    <w:rsid w:val="00DB2539"/>
    <w:rsid w:val="00DB4D61"/>
    <w:rsid w:val="00DB78B9"/>
    <w:rsid w:val="00DE3F24"/>
    <w:rsid w:val="00DF64ED"/>
    <w:rsid w:val="00E04E28"/>
    <w:rsid w:val="00E055B4"/>
    <w:rsid w:val="00E13476"/>
    <w:rsid w:val="00E61B2B"/>
    <w:rsid w:val="00EB554F"/>
    <w:rsid w:val="00F62AE0"/>
    <w:rsid w:val="00F96CD3"/>
    <w:rsid w:val="00FC1C64"/>
    <w:rsid w:val="00FF0B69"/>
    <w:rsid w:val="00FF2A86"/>
    <w:rsid w:val="00FF4638"/>
    <w:rsid w:val="036F2FCB"/>
    <w:rsid w:val="037D4923"/>
    <w:rsid w:val="03BA01AE"/>
    <w:rsid w:val="05151D26"/>
    <w:rsid w:val="055F72FC"/>
    <w:rsid w:val="060317A8"/>
    <w:rsid w:val="07061C60"/>
    <w:rsid w:val="07542007"/>
    <w:rsid w:val="07601F6F"/>
    <w:rsid w:val="092550F0"/>
    <w:rsid w:val="09636F12"/>
    <w:rsid w:val="0B402ED3"/>
    <w:rsid w:val="0B595BEC"/>
    <w:rsid w:val="0DA222C5"/>
    <w:rsid w:val="0DAC1131"/>
    <w:rsid w:val="0F0351A9"/>
    <w:rsid w:val="0F686EA2"/>
    <w:rsid w:val="10125033"/>
    <w:rsid w:val="1093614E"/>
    <w:rsid w:val="10F27423"/>
    <w:rsid w:val="13063EC3"/>
    <w:rsid w:val="13D62B35"/>
    <w:rsid w:val="18BF51ED"/>
    <w:rsid w:val="194621AC"/>
    <w:rsid w:val="1E730C3D"/>
    <w:rsid w:val="1FB11DD6"/>
    <w:rsid w:val="21486D67"/>
    <w:rsid w:val="215C6B1D"/>
    <w:rsid w:val="2161094E"/>
    <w:rsid w:val="24CB69C1"/>
    <w:rsid w:val="26CA0729"/>
    <w:rsid w:val="26EC76C6"/>
    <w:rsid w:val="27654B82"/>
    <w:rsid w:val="279C010A"/>
    <w:rsid w:val="27C87EF4"/>
    <w:rsid w:val="280D5BEC"/>
    <w:rsid w:val="287F0AA8"/>
    <w:rsid w:val="299D0507"/>
    <w:rsid w:val="2ACD4C49"/>
    <w:rsid w:val="2AFC4894"/>
    <w:rsid w:val="2B9C3577"/>
    <w:rsid w:val="2BB35FAD"/>
    <w:rsid w:val="2CB1385F"/>
    <w:rsid w:val="2EF0518E"/>
    <w:rsid w:val="2F373F0A"/>
    <w:rsid w:val="2F465CE9"/>
    <w:rsid w:val="30133FEC"/>
    <w:rsid w:val="301467A7"/>
    <w:rsid w:val="302851A4"/>
    <w:rsid w:val="31BE238A"/>
    <w:rsid w:val="32285F6F"/>
    <w:rsid w:val="32973865"/>
    <w:rsid w:val="367E6347"/>
    <w:rsid w:val="376A7251"/>
    <w:rsid w:val="3A580C4E"/>
    <w:rsid w:val="3B5C700A"/>
    <w:rsid w:val="3C78644A"/>
    <w:rsid w:val="3DA73A7D"/>
    <w:rsid w:val="3DBF1A70"/>
    <w:rsid w:val="3DF243FA"/>
    <w:rsid w:val="3F07230B"/>
    <w:rsid w:val="3F945E52"/>
    <w:rsid w:val="401A4DB7"/>
    <w:rsid w:val="40551718"/>
    <w:rsid w:val="41D96CAB"/>
    <w:rsid w:val="42BE6BA7"/>
    <w:rsid w:val="42D60561"/>
    <w:rsid w:val="44AE371A"/>
    <w:rsid w:val="44C4107C"/>
    <w:rsid w:val="4750610E"/>
    <w:rsid w:val="4A6A422A"/>
    <w:rsid w:val="4C6A0395"/>
    <w:rsid w:val="4D123792"/>
    <w:rsid w:val="4DC14C54"/>
    <w:rsid w:val="4E5263F6"/>
    <w:rsid w:val="5025403F"/>
    <w:rsid w:val="512D283B"/>
    <w:rsid w:val="533179B1"/>
    <w:rsid w:val="544E62B5"/>
    <w:rsid w:val="58B2640F"/>
    <w:rsid w:val="58D465A7"/>
    <w:rsid w:val="590B7824"/>
    <w:rsid w:val="598A0134"/>
    <w:rsid w:val="59A821B8"/>
    <w:rsid w:val="5B015568"/>
    <w:rsid w:val="5C7F3974"/>
    <w:rsid w:val="5CD2522B"/>
    <w:rsid w:val="5EE15247"/>
    <w:rsid w:val="61231E7F"/>
    <w:rsid w:val="61ED0983"/>
    <w:rsid w:val="621A2785"/>
    <w:rsid w:val="6296592A"/>
    <w:rsid w:val="64653D4C"/>
    <w:rsid w:val="646B11B5"/>
    <w:rsid w:val="64B75715"/>
    <w:rsid w:val="65CA38DD"/>
    <w:rsid w:val="66E539FA"/>
    <w:rsid w:val="69404DBE"/>
    <w:rsid w:val="6B0549F7"/>
    <w:rsid w:val="6BF01D7A"/>
    <w:rsid w:val="6DAC6A13"/>
    <w:rsid w:val="6DF757D5"/>
    <w:rsid w:val="72881CA5"/>
    <w:rsid w:val="72A47750"/>
    <w:rsid w:val="72B20228"/>
    <w:rsid w:val="74E47546"/>
    <w:rsid w:val="752D41F9"/>
    <w:rsid w:val="75CB7C6B"/>
    <w:rsid w:val="77F770D8"/>
    <w:rsid w:val="786A32D4"/>
    <w:rsid w:val="7E0E41C6"/>
    <w:rsid w:val="7E405E3C"/>
    <w:rsid w:val="7FA23F24"/>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1664</Words>
  <Characters>1812</Characters>
  <Lines>56</Lines>
  <Paragraphs>16</Paragraphs>
  <TotalTime>14</TotalTime>
  <ScaleCrop>false</ScaleCrop>
  <LinksUpToDate>false</LinksUpToDate>
  <CharactersWithSpaces>1889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2022-11-17T02:47:00Z</dcterms:created>
  <dc:creator>何阳之</dc:creator>
  <cp:lastModifiedBy>Administrator</cp:lastModifiedBy>
  <cp:lastPrinted>2022-04-29T01:33:00Z</cp:lastPrinted>
  <dcterms:modified xsi:type="dcterms:W3CDTF">2023-11-10T01:32:32Z</dcterms:modified>
  <dc:title>湖南省财政厅文件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61957B715A6E427492A6D3811BAB2D57_13</vt:lpwstr>
  </property>
</Properties>
</file>