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BCE1D">
      <w:pPr>
        <w:jc w:val="center"/>
        <w:rPr>
          <w:rFonts w:hint="eastAsia" w:ascii="方正小标宋_GBK" w:hAnsi="方正小标宋_GBK" w:eastAsia="方正小标宋_GBK" w:cs="方正小标宋_GBK"/>
          <w:sz w:val="36"/>
          <w:szCs w:val="36"/>
          <w:lang w:eastAsia="zh-CN"/>
        </w:rPr>
      </w:pPr>
      <w:bookmarkStart w:id="0" w:name="_GoBack"/>
      <w:bookmarkEnd w:id="0"/>
      <w:r>
        <w:rPr>
          <w:rFonts w:hint="eastAsia" w:ascii="方正小标宋_GBK" w:hAnsi="方正小标宋_GBK" w:eastAsia="方正小标宋_GBK" w:cs="方正小标宋_GBK"/>
          <w:sz w:val="36"/>
          <w:szCs w:val="36"/>
        </w:rPr>
        <w:t>邵阳县</w:t>
      </w:r>
      <w:r>
        <w:rPr>
          <w:rFonts w:hint="eastAsia" w:ascii="方正小标宋_GBK" w:hAnsi="方正小标宋_GBK" w:eastAsia="方正小标宋_GBK" w:cs="方正小标宋_GBK"/>
          <w:sz w:val="36"/>
          <w:szCs w:val="36"/>
          <w:lang w:val="en-US" w:eastAsia="zh-CN"/>
        </w:rPr>
        <w:t>审计局</w:t>
      </w:r>
    </w:p>
    <w:p w14:paraId="2D633D84">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2023年整体支出绩效自评报告</w:t>
      </w:r>
    </w:p>
    <w:p w14:paraId="73AC069E">
      <w:pPr>
        <w:ind w:firstLine="640" w:firstLineChars="200"/>
        <w:rPr>
          <w:rFonts w:hint="eastAsia" w:ascii="仿宋" w:hAnsi="仿宋" w:eastAsia="仿宋" w:cs="仿宋"/>
          <w:sz w:val="32"/>
          <w:szCs w:val="32"/>
        </w:rPr>
      </w:pPr>
    </w:p>
    <w:p w14:paraId="5480B0FF">
      <w:pPr>
        <w:ind w:firstLine="640" w:firstLineChars="200"/>
        <w:rPr>
          <w:rFonts w:hint="eastAsia"/>
          <w:sz w:val="32"/>
          <w:szCs w:val="32"/>
        </w:rPr>
      </w:pPr>
      <w:r>
        <w:rPr>
          <w:rFonts w:hint="eastAsia" w:ascii="仿宋" w:hAnsi="仿宋" w:eastAsia="仿宋" w:cs="仿宋"/>
          <w:sz w:val="32"/>
          <w:szCs w:val="32"/>
        </w:rPr>
        <w:t>为加强财政资金管理，切实提高资金使用效益，进一步提高财务科学生精细化管理水平。根据《邵阳县财政局关于开展2023年度部门整体和项目支出绩效自评工作的通知》（邵财绩[2024]4号）的要求，现将我单位2023年度整体支出绩效自评报告如下：</w:t>
      </w:r>
    </w:p>
    <w:p w14:paraId="58FA972C">
      <w:pPr>
        <w:bidi w:val="0"/>
        <w:ind w:firstLine="640" w:firstLineChars="200"/>
        <w:rPr>
          <w:rFonts w:hint="eastAsia"/>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部门</w:t>
      </w:r>
      <w:r>
        <w:rPr>
          <w:rFonts w:hint="eastAsia" w:ascii="黑体" w:hAnsi="黑体" w:eastAsia="黑体" w:cs="黑体"/>
          <w:sz w:val="32"/>
          <w:szCs w:val="32"/>
          <w:lang w:eastAsia="zh-CN"/>
        </w:rPr>
        <w:t>、</w:t>
      </w:r>
      <w:r>
        <w:rPr>
          <w:rFonts w:hint="eastAsia" w:ascii="黑体" w:hAnsi="黑体" w:eastAsia="黑体" w:cs="黑体"/>
          <w:sz w:val="32"/>
          <w:szCs w:val="32"/>
        </w:rPr>
        <w:t>单位基本情况</w:t>
      </w:r>
    </w:p>
    <w:p w14:paraId="7CE49E98">
      <w:pPr>
        <w:ind w:firstLine="640" w:firstLineChars="200"/>
        <w:rPr>
          <w:rFonts w:hint="eastAsia" w:ascii="楷体" w:hAnsi="楷体" w:eastAsia="楷体" w:cs="楷体"/>
          <w:sz w:val="32"/>
          <w:szCs w:val="32"/>
        </w:rPr>
      </w:pPr>
      <w:r>
        <w:rPr>
          <w:rFonts w:hint="eastAsia" w:ascii="楷体" w:hAnsi="楷体" w:eastAsia="楷体" w:cs="楷体"/>
          <w:sz w:val="32"/>
          <w:szCs w:val="32"/>
        </w:rPr>
        <w:t>(一)机构设置情况</w:t>
      </w:r>
    </w:p>
    <w:p w14:paraId="5BFE5937">
      <w:pPr>
        <w:ind w:firstLine="640" w:firstLineChars="200"/>
        <w:rPr>
          <w:rFonts w:hint="eastAsia" w:ascii="仿宋" w:hAnsi="仿宋" w:eastAsia="仿宋" w:cs="仿宋"/>
          <w:sz w:val="32"/>
          <w:szCs w:val="32"/>
        </w:rPr>
      </w:pPr>
      <w:r>
        <w:rPr>
          <w:rFonts w:hint="eastAsia" w:ascii="仿宋" w:hAnsi="仿宋" w:eastAsia="仿宋" w:cs="仿宋"/>
          <w:sz w:val="32"/>
          <w:szCs w:val="32"/>
        </w:rPr>
        <w:t>邵阳县审计局（以下简称我局）为正科级全额拨款行政单位，内设办公室、法规审理与计划统计执行股、财政金融与社会保障审计股、行政事业单位与企业审计股、农业农村与资源环境审计股、固定资产投资与重大项目审计股、经济责任审计股、政策跟踪与电子数据审计股等8个机关股室;下设经济责任审计中心办公室1个二级机构。</w:t>
      </w:r>
    </w:p>
    <w:p w14:paraId="38B88814">
      <w:pPr>
        <w:ind w:firstLine="640" w:firstLineChars="200"/>
        <w:rPr>
          <w:rFonts w:hint="eastAsia" w:ascii="楷体" w:hAnsi="楷体" w:eastAsia="楷体" w:cs="楷体"/>
          <w:sz w:val="32"/>
          <w:szCs w:val="32"/>
        </w:rPr>
      </w:pPr>
      <w:r>
        <w:rPr>
          <w:rFonts w:hint="eastAsia" w:ascii="楷体" w:hAnsi="楷体" w:eastAsia="楷体" w:cs="楷体"/>
          <w:sz w:val="32"/>
          <w:szCs w:val="32"/>
        </w:rPr>
        <w:t>(二)人员编制情况</w:t>
      </w:r>
    </w:p>
    <w:p w14:paraId="5B45010D">
      <w:pPr>
        <w:ind w:firstLine="640" w:firstLineChars="200"/>
        <w:rPr>
          <w:rFonts w:hint="eastAsia" w:ascii="仿宋" w:hAnsi="仿宋" w:eastAsia="仿宋" w:cs="仿宋"/>
          <w:sz w:val="32"/>
          <w:szCs w:val="32"/>
        </w:rPr>
      </w:pPr>
      <w:r>
        <w:rPr>
          <w:rFonts w:hint="eastAsia" w:ascii="仿宋" w:hAnsi="仿宋" w:eastAsia="仿宋" w:cs="仿宋"/>
          <w:sz w:val="32"/>
          <w:szCs w:val="32"/>
        </w:rPr>
        <w:t>截止2023年12月底实有人数35人，在职19人，退休16人。</w:t>
      </w:r>
    </w:p>
    <w:p w14:paraId="77A1A50B">
      <w:pPr>
        <w:ind w:firstLine="640" w:firstLineChars="200"/>
        <w:rPr>
          <w:rFonts w:hint="eastAsia" w:ascii="楷体" w:hAnsi="楷体" w:eastAsia="楷体" w:cs="楷体"/>
          <w:sz w:val="32"/>
          <w:szCs w:val="32"/>
        </w:rPr>
      </w:pPr>
      <w:r>
        <w:rPr>
          <w:rFonts w:hint="eastAsia" w:ascii="楷体" w:hAnsi="楷体" w:eastAsia="楷体" w:cs="楷体"/>
          <w:sz w:val="32"/>
          <w:szCs w:val="32"/>
        </w:rPr>
        <w:t>(三)主要职能职责</w:t>
      </w:r>
    </w:p>
    <w:p w14:paraId="01D27147">
      <w:pPr>
        <w:ind w:firstLine="640" w:firstLineChars="200"/>
        <w:rPr>
          <w:rFonts w:hint="eastAsia" w:ascii="仿宋" w:hAnsi="仿宋" w:eastAsia="仿宋" w:cs="仿宋"/>
          <w:sz w:val="32"/>
          <w:szCs w:val="32"/>
        </w:rPr>
      </w:pPr>
      <w:r>
        <w:rPr>
          <w:rFonts w:hint="eastAsia" w:ascii="仿宋" w:hAnsi="仿宋" w:eastAsia="仿宋" w:cs="仿宋"/>
          <w:sz w:val="32"/>
          <w:szCs w:val="32"/>
        </w:rPr>
        <w:t>1、主管全县审计工作。负责对全县财政收支和法律法规规定属于审计监督范围的财务收支的真实、合法和效益进行审计监督，对公共资金、国有资产、国有资源和领导干部履行经济责任情况实行审计全覆盖，对领导干部实行自然资源资产离任审计，对中央和省委省政府、市委市政府、县委县政府有关重大政策措施贯彻落实情况进行跟踪审计。对全县重大项目进行稽查。对审计、专项审计调查和核查社会审计机构相关审计报告的结果承担责任，并负有督促被审计单位整改的责任。 </w:t>
      </w:r>
    </w:p>
    <w:p w14:paraId="7E6A117F">
      <w:pPr>
        <w:ind w:firstLine="640" w:firstLineChars="200"/>
        <w:rPr>
          <w:rFonts w:hint="eastAsia" w:ascii="仿宋" w:hAnsi="仿宋" w:eastAsia="仿宋" w:cs="仿宋"/>
          <w:sz w:val="32"/>
          <w:szCs w:val="32"/>
        </w:rPr>
      </w:pPr>
      <w:r>
        <w:rPr>
          <w:rFonts w:hint="eastAsia" w:ascii="仿宋" w:hAnsi="仿宋" w:eastAsia="仿宋" w:cs="仿宋"/>
          <w:sz w:val="32"/>
          <w:szCs w:val="32"/>
        </w:rPr>
        <w:t>2、贯彻执行中央、省、市审计工作的方针、政策和法律法规，拟定我县审计政策，制定审计业务制度并监督执行。制定并组织实施全县专业领域审计工作规划。参与起草全县审计、财政经济有关规定和规范性文件草案。对直接审计、调查和核查的事项依法进行审计评价，做出审计决定，提出审计建议。 </w:t>
      </w:r>
    </w:p>
    <w:p w14:paraId="0CB9A25C">
      <w:pPr>
        <w:ind w:firstLine="640" w:firstLineChars="200"/>
        <w:rPr>
          <w:rFonts w:hint="eastAsia" w:ascii="仿宋" w:hAnsi="仿宋" w:eastAsia="仿宋" w:cs="仿宋"/>
          <w:sz w:val="32"/>
          <w:szCs w:val="32"/>
        </w:rPr>
      </w:pPr>
      <w:r>
        <w:rPr>
          <w:rFonts w:hint="eastAsia" w:ascii="仿宋" w:hAnsi="仿宋" w:eastAsia="仿宋" w:cs="仿宋"/>
          <w:sz w:val="32"/>
          <w:szCs w:val="32"/>
        </w:rPr>
        <w:t>3、向县委审计委员会提出年度县级预算执行和其他财政支出情况审计报告。向县政府县长提出年度县级预算执行和其他财政收支情况的审计结果报告。受县政府委托向县人大常委会提出县级预算执行和其他财政收支情况的审计工作报告、审计查出问题整改情况报告。向县委、县政府报告对其他事项的审计和专项审计调查情况及结果。依法向社会公布审计结果。向县直有关部门、乡镇（场）党委和政府通报审计情况和审计结果。</w:t>
      </w:r>
    </w:p>
    <w:p w14:paraId="577A5278">
      <w:pPr>
        <w:ind w:firstLine="640" w:firstLineChars="200"/>
        <w:rPr>
          <w:rFonts w:hint="eastAsia" w:ascii="仿宋" w:hAnsi="仿宋" w:eastAsia="仿宋" w:cs="仿宋"/>
          <w:sz w:val="32"/>
          <w:szCs w:val="32"/>
        </w:rPr>
      </w:pPr>
      <w:r>
        <w:rPr>
          <w:rFonts w:hint="eastAsia" w:ascii="仿宋" w:hAnsi="仿宋" w:eastAsia="仿宋" w:cs="仿宋"/>
          <w:sz w:val="32"/>
          <w:szCs w:val="32"/>
        </w:rPr>
        <w:t>4、直接审计下列事项，出具审计报告，在法定职权范围内做出审计决定：①中央和省委、省政府，市委、市政府，县委县政府有关重大政策措施贯彻落实情况；②县级预算执行情况和其他财政收支，县直各部门（含直属单位）预算执行情况、决算草案和其他财政收支；③乡镇（场）政府预算执行情况、决算草案和其他财政收支，中央和省级财政转移支付资金；⑤县政府投资和以县政府投资为主的建设项目的预算执行情况和决算，县重大公共工程项目的资金管理使用和建设运营情况；⑥自然资源管理、污染防治和生态保护与修复情况；⑦县属国有企业和金融机构、县属资本占控股或主导地位企业和金融机构的资产、负债和损益情况；⑧有关社会保障基金、社会捐赠资金以及其他有关基金、资金的财务收支；⑨国际组织和外国政府的援助、贷款项目；⑩法律法规规定的其他事项。 </w:t>
      </w:r>
    </w:p>
    <w:p w14:paraId="6237A3C7">
      <w:pPr>
        <w:ind w:firstLine="640" w:firstLineChars="200"/>
        <w:rPr>
          <w:rFonts w:hint="eastAsia" w:ascii="仿宋" w:hAnsi="仿宋" w:eastAsia="仿宋" w:cs="仿宋"/>
          <w:sz w:val="32"/>
          <w:szCs w:val="32"/>
        </w:rPr>
      </w:pPr>
      <w:r>
        <w:rPr>
          <w:rFonts w:hint="eastAsia" w:ascii="仿宋" w:hAnsi="仿宋" w:eastAsia="仿宋" w:cs="仿宋"/>
          <w:sz w:val="32"/>
          <w:szCs w:val="32"/>
        </w:rPr>
        <w:t>5、按规定对县管党政主要领导干部及其他单位主要负责人实施经济责任审计和自然资源资产离任审计。 </w:t>
      </w:r>
    </w:p>
    <w:p w14:paraId="627B4746">
      <w:pPr>
        <w:ind w:firstLine="640" w:firstLineChars="200"/>
        <w:rPr>
          <w:rFonts w:hint="eastAsia" w:ascii="仿宋" w:hAnsi="仿宋" w:eastAsia="仿宋" w:cs="仿宋"/>
          <w:sz w:val="32"/>
          <w:szCs w:val="32"/>
        </w:rPr>
      </w:pPr>
      <w:r>
        <w:rPr>
          <w:rFonts w:hint="eastAsia" w:ascii="仿宋" w:hAnsi="仿宋" w:eastAsia="仿宋" w:cs="仿宋"/>
          <w:sz w:val="32"/>
          <w:szCs w:val="32"/>
        </w:rPr>
        <w:t>6、组织实施对国家财经法律、法规、规章、政策和宏观调控措施执行情况、财政预算管理或国有资产管理使用等与国家财政收支有关的特定事项进行专项审计调查。 </w:t>
      </w:r>
    </w:p>
    <w:p w14:paraId="591D21F1">
      <w:pPr>
        <w:ind w:firstLine="640" w:firstLineChars="200"/>
        <w:rPr>
          <w:rFonts w:hint="eastAsia" w:ascii="仿宋" w:hAnsi="仿宋" w:eastAsia="仿宋" w:cs="仿宋"/>
          <w:sz w:val="32"/>
          <w:szCs w:val="32"/>
        </w:rPr>
      </w:pPr>
      <w:r>
        <w:rPr>
          <w:rFonts w:hint="eastAsia" w:ascii="仿宋" w:hAnsi="仿宋" w:eastAsia="仿宋" w:cs="仿宋"/>
          <w:sz w:val="32"/>
          <w:szCs w:val="32"/>
        </w:rPr>
        <w:t>7、负责国家审计署、湖南省审计厅、邵阳市审计局授权的审计项目和专项审计调查项目的组织实施。 </w:t>
      </w:r>
    </w:p>
    <w:p w14:paraId="2F5ACBAF">
      <w:pPr>
        <w:ind w:firstLine="640" w:firstLineChars="200"/>
        <w:rPr>
          <w:rFonts w:hint="eastAsia" w:ascii="仿宋" w:hAnsi="仿宋" w:eastAsia="仿宋" w:cs="仿宋"/>
          <w:sz w:val="32"/>
          <w:szCs w:val="32"/>
        </w:rPr>
      </w:pPr>
      <w:r>
        <w:rPr>
          <w:rFonts w:hint="eastAsia" w:ascii="仿宋" w:hAnsi="仿宋" w:eastAsia="仿宋" w:cs="仿宋"/>
          <w:sz w:val="32"/>
          <w:szCs w:val="32"/>
        </w:rPr>
        <w:t>8、依法检查审计决定执行情况，督促整改审计查出的问题，依法办理被审计单位对审计决定提请行政复议、行政诉讼或县政府裁决中的有关事项。协助配合有关部门查处相关重大案件。</w:t>
      </w:r>
    </w:p>
    <w:p w14:paraId="1F2EF5FD">
      <w:pPr>
        <w:ind w:firstLine="640" w:firstLineChars="200"/>
        <w:rPr>
          <w:rFonts w:hint="eastAsia" w:ascii="仿宋" w:hAnsi="仿宋" w:eastAsia="仿宋" w:cs="仿宋"/>
          <w:sz w:val="32"/>
          <w:szCs w:val="32"/>
        </w:rPr>
      </w:pPr>
      <w:r>
        <w:rPr>
          <w:rFonts w:hint="eastAsia" w:ascii="仿宋" w:hAnsi="仿宋" w:eastAsia="仿宋" w:cs="仿宋"/>
          <w:sz w:val="32"/>
          <w:szCs w:val="32"/>
        </w:rPr>
        <w:t>9、指导和监督内部审计工作，核查社会审计机构对依法属于审计监督对象的单位出具的相关审计报告。</w:t>
      </w:r>
    </w:p>
    <w:p w14:paraId="29108AB9">
      <w:pPr>
        <w:ind w:firstLine="640" w:firstLineChars="200"/>
        <w:rPr>
          <w:rFonts w:hint="eastAsia" w:ascii="仿宋" w:hAnsi="仿宋" w:eastAsia="仿宋" w:cs="仿宋"/>
          <w:sz w:val="32"/>
          <w:szCs w:val="32"/>
        </w:rPr>
      </w:pPr>
      <w:r>
        <w:rPr>
          <w:rFonts w:hint="eastAsia" w:ascii="仿宋" w:hAnsi="仿宋" w:eastAsia="仿宋" w:cs="仿宋"/>
          <w:sz w:val="32"/>
          <w:szCs w:val="32"/>
        </w:rPr>
        <w:t>10、指导和推广信息技术在全县审计系统的应用。 </w:t>
      </w:r>
    </w:p>
    <w:p w14:paraId="49ACE6AD">
      <w:pPr>
        <w:ind w:firstLine="640" w:firstLineChars="200"/>
        <w:rPr>
          <w:rFonts w:hint="eastAsia" w:ascii="仿宋" w:hAnsi="仿宋" w:eastAsia="仿宋" w:cs="仿宋"/>
          <w:sz w:val="32"/>
          <w:szCs w:val="32"/>
        </w:rPr>
      </w:pPr>
      <w:r>
        <w:rPr>
          <w:rFonts w:hint="eastAsia" w:ascii="仿宋" w:hAnsi="仿宋" w:eastAsia="仿宋" w:cs="仿宋"/>
          <w:sz w:val="32"/>
          <w:szCs w:val="32"/>
        </w:rPr>
        <w:t>11、完成县委和县政府交办的其他任务。 </w:t>
      </w:r>
    </w:p>
    <w:p w14:paraId="1485D37D">
      <w:pPr>
        <w:ind w:firstLine="640" w:firstLineChars="200"/>
        <w:rPr>
          <w:rFonts w:hint="eastAsia" w:ascii="仿宋" w:hAnsi="仿宋" w:eastAsia="仿宋" w:cs="仿宋"/>
          <w:sz w:val="32"/>
          <w:szCs w:val="32"/>
        </w:rPr>
      </w:pPr>
      <w:r>
        <w:rPr>
          <w:rFonts w:hint="eastAsia" w:ascii="仿宋" w:hAnsi="仿宋" w:eastAsia="仿宋" w:cs="仿宋"/>
          <w:sz w:val="32"/>
          <w:szCs w:val="32"/>
        </w:rPr>
        <w:t>12、职能转变。进一步完善审计管理体制，加强全县审计工作统筹，明晰审计机关职能定位，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p>
    <w:p w14:paraId="18BF4F57">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一般公共预算支出情况</w:t>
      </w:r>
    </w:p>
    <w:p w14:paraId="75AFC542">
      <w:pPr>
        <w:ind w:firstLine="640" w:firstLineChars="200"/>
        <w:rPr>
          <w:rFonts w:hint="eastAsia" w:ascii="仿宋" w:hAnsi="仿宋" w:eastAsia="仿宋" w:cs="仿宋"/>
          <w:sz w:val="32"/>
          <w:szCs w:val="32"/>
        </w:rPr>
      </w:pPr>
      <w:r>
        <w:rPr>
          <w:rFonts w:hint="eastAsia" w:ascii="楷体" w:hAnsi="楷体" w:eastAsia="楷体" w:cs="楷体"/>
          <w:sz w:val="32"/>
          <w:szCs w:val="32"/>
        </w:rPr>
        <w:t>(一)基本支出情况</w:t>
      </w:r>
      <w:r>
        <w:rPr>
          <w:rFonts w:hint="eastAsia" w:ascii="仿宋" w:hAnsi="仿宋" w:eastAsia="仿宋" w:cs="仿宋"/>
          <w:sz w:val="32"/>
          <w:szCs w:val="32"/>
        </w:rPr>
        <w:t xml:space="preserve"> </w:t>
      </w:r>
    </w:p>
    <w:p w14:paraId="6096490F">
      <w:pPr>
        <w:ind w:firstLine="640" w:firstLineChars="200"/>
        <w:rPr>
          <w:rFonts w:hint="eastAsia" w:ascii="仿宋" w:hAnsi="仿宋" w:eastAsia="仿宋" w:cs="仿宋"/>
          <w:sz w:val="32"/>
          <w:szCs w:val="32"/>
        </w:rPr>
      </w:pPr>
      <w:r>
        <w:rPr>
          <w:rFonts w:hint="eastAsia" w:ascii="仿宋" w:hAnsi="仿宋" w:eastAsia="仿宋" w:cs="仿宋"/>
          <w:sz w:val="32"/>
          <w:szCs w:val="32"/>
        </w:rPr>
        <w:t>1、2023年收入</w:t>
      </w:r>
      <w:r>
        <w:rPr>
          <w:rFonts w:hint="eastAsia" w:ascii="仿宋" w:hAnsi="仿宋" w:eastAsia="仿宋" w:cs="仿宋"/>
          <w:sz w:val="32"/>
          <w:szCs w:val="32"/>
          <w:lang w:val="en-US" w:eastAsia="zh-CN"/>
        </w:rPr>
        <w:t>769.57</w:t>
      </w:r>
      <w:r>
        <w:rPr>
          <w:rFonts w:hint="eastAsia" w:ascii="仿宋" w:hAnsi="仿宋" w:eastAsia="仿宋" w:cs="仿宋"/>
          <w:sz w:val="32"/>
          <w:szCs w:val="32"/>
        </w:rPr>
        <w:t>万元，其中：一般公共预算拨款</w:t>
      </w:r>
      <w:r>
        <w:rPr>
          <w:rFonts w:hint="eastAsia" w:ascii="仿宋" w:hAnsi="仿宋" w:eastAsia="仿宋" w:cs="仿宋"/>
          <w:sz w:val="32"/>
          <w:szCs w:val="32"/>
          <w:lang w:val="en-US" w:eastAsia="zh-CN"/>
        </w:rPr>
        <w:t>769.57</w:t>
      </w:r>
      <w:r>
        <w:rPr>
          <w:rFonts w:hint="eastAsia" w:ascii="仿宋" w:hAnsi="仿宋" w:eastAsia="仿宋" w:cs="仿宋"/>
          <w:sz w:val="32"/>
          <w:szCs w:val="32"/>
        </w:rPr>
        <w:t>万元，政府性基金预算拨款0万元，纳入财政专户管理的非税收入拨款0万元.</w:t>
      </w:r>
    </w:p>
    <w:p w14:paraId="5321C68F">
      <w:pPr>
        <w:ind w:firstLine="640" w:firstLineChars="200"/>
        <w:rPr>
          <w:rFonts w:hint="eastAsia" w:ascii="仿宋" w:hAnsi="仿宋" w:eastAsia="仿宋" w:cs="仿宋"/>
          <w:sz w:val="32"/>
          <w:szCs w:val="32"/>
        </w:rPr>
      </w:pPr>
      <w:r>
        <w:rPr>
          <w:rFonts w:hint="eastAsia" w:ascii="仿宋" w:hAnsi="仿宋" w:eastAsia="仿宋" w:cs="仿宋"/>
          <w:sz w:val="32"/>
          <w:szCs w:val="32"/>
        </w:rPr>
        <w:t>2、2023年整体支出</w:t>
      </w:r>
      <w:r>
        <w:rPr>
          <w:rFonts w:hint="eastAsia" w:ascii="仿宋" w:hAnsi="仿宋" w:eastAsia="仿宋" w:cs="仿宋"/>
          <w:sz w:val="32"/>
          <w:szCs w:val="32"/>
          <w:lang w:val="en-US" w:eastAsia="zh-CN"/>
        </w:rPr>
        <w:t>769.57</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 xml:space="preserve">483.23 </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 xml:space="preserve">300.38 </w:t>
      </w:r>
      <w:r>
        <w:rPr>
          <w:rFonts w:hint="eastAsia" w:ascii="仿宋" w:hAnsi="仿宋" w:eastAsia="仿宋" w:cs="仿宋"/>
          <w:sz w:val="32"/>
          <w:szCs w:val="32"/>
        </w:rPr>
        <w:t>万元、公用经费</w:t>
      </w:r>
      <w:r>
        <w:rPr>
          <w:rFonts w:hint="eastAsia" w:ascii="仿宋" w:hAnsi="仿宋" w:eastAsia="仿宋" w:cs="仿宋"/>
          <w:sz w:val="32"/>
          <w:szCs w:val="32"/>
          <w:lang w:val="en-US" w:eastAsia="zh-CN"/>
        </w:rPr>
        <w:t xml:space="preserve">182.84 </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 xml:space="preserve">286.35 </w:t>
      </w:r>
      <w:r>
        <w:rPr>
          <w:rFonts w:hint="eastAsia" w:ascii="仿宋" w:hAnsi="仿宋" w:eastAsia="仿宋" w:cs="仿宋"/>
          <w:sz w:val="32"/>
          <w:szCs w:val="32"/>
        </w:rPr>
        <w:t>万元。主要包括：工资福利支出</w:t>
      </w:r>
      <w:r>
        <w:rPr>
          <w:rFonts w:hint="eastAsia" w:ascii="仿宋" w:hAnsi="仿宋" w:eastAsia="仿宋" w:cs="仿宋"/>
          <w:sz w:val="32"/>
          <w:szCs w:val="32"/>
          <w:lang w:val="en-US" w:eastAsia="zh-CN"/>
        </w:rPr>
        <w:t>291.23</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469.18</w:t>
      </w:r>
      <w:r>
        <w:rPr>
          <w:rFonts w:hint="eastAsia" w:ascii="仿宋" w:hAnsi="仿宋" w:eastAsia="仿宋" w:cs="仿宋"/>
          <w:sz w:val="32"/>
          <w:szCs w:val="32"/>
        </w:rPr>
        <w:t>万元，对个人和家庭的补助支出</w:t>
      </w:r>
      <w:r>
        <w:rPr>
          <w:rFonts w:hint="eastAsia" w:ascii="仿宋" w:hAnsi="仿宋" w:eastAsia="仿宋" w:cs="仿宋"/>
          <w:sz w:val="32"/>
          <w:szCs w:val="32"/>
          <w:lang w:val="en-US" w:eastAsia="zh-CN"/>
        </w:rPr>
        <w:t>9.15</w:t>
      </w:r>
      <w:r>
        <w:rPr>
          <w:rFonts w:hint="eastAsia" w:ascii="仿宋" w:hAnsi="仿宋" w:eastAsia="仿宋" w:cs="仿宋"/>
          <w:sz w:val="32"/>
          <w:szCs w:val="32"/>
        </w:rPr>
        <w:t>万元，资本性支出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万元，对企业的补助支出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3D4A1D92">
      <w:pPr>
        <w:ind w:firstLine="640" w:firstLineChars="200"/>
        <w:rPr>
          <w:rFonts w:hint="eastAsia" w:ascii="楷体" w:hAnsi="楷体" w:eastAsia="楷体" w:cs="楷体"/>
          <w:sz w:val="32"/>
          <w:szCs w:val="32"/>
        </w:rPr>
      </w:pPr>
      <w:r>
        <w:rPr>
          <w:rFonts w:hint="eastAsia" w:ascii="楷体" w:hAnsi="楷体" w:eastAsia="楷体" w:cs="楷体"/>
          <w:sz w:val="32"/>
          <w:szCs w:val="32"/>
        </w:rPr>
        <w:t>(二)项目支出情况</w:t>
      </w:r>
    </w:p>
    <w:p w14:paraId="18439CF6">
      <w:pPr>
        <w:ind w:firstLine="640" w:firstLineChars="200"/>
        <w:rPr>
          <w:rFonts w:hint="eastAsia"/>
          <w:sz w:val="32"/>
          <w:szCs w:val="32"/>
        </w:rPr>
      </w:pPr>
      <w:r>
        <w:rPr>
          <w:rFonts w:hint="eastAsia" w:ascii="仿宋" w:hAnsi="仿宋" w:eastAsia="仿宋" w:cs="仿宋"/>
          <w:sz w:val="32"/>
          <w:szCs w:val="32"/>
          <w:lang w:val="en-US" w:eastAsia="zh-CN"/>
        </w:rPr>
        <w:t>2023年度专项经费支出共计286.35万元，各项专项经费预算支出和实际支出情况如下：购买社会中介服务248.41万元，审计管理及审计业务37.94万元</w:t>
      </w:r>
      <w:r>
        <w:rPr>
          <w:rFonts w:hint="eastAsia" w:ascii="仿宋" w:hAnsi="仿宋" w:eastAsia="仿宋" w:cs="仿宋"/>
          <w:sz w:val="32"/>
          <w:szCs w:val="32"/>
        </w:rPr>
        <w:t>。</w:t>
      </w:r>
    </w:p>
    <w:p w14:paraId="0A620397">
      <w:pPr>
        <w:ind w:firstLine="640" w:firstLineChars="200"/>
        <w:rPr>
          <w:rFonts w:hint="eastAsia" w:ascii="楷体" w:hAnsi="楷体" w:eastAsia="楷体" w:cs="楷体"/>
          <w:sz w:val="32"/>
          <w:szCs w:val="32"/>
        </w:rPr>
      </w:pPr>
      <w:r>
        <w:rPr>
          <w:rFonts w:hint="eastAsia" w:ascii="楷体" w:hAnsi="楷体" w:eastAsia="楷体" w:cs="楷体"/>
          <w:sz w:val="32"/>
          <w:szCs w:val="32"/>
        </w:rPr>
        <w:t>(三)"三公"经费使用和管理情况</w:t>
      </w:r>
    </w:p>
    <w:p w14:paraId="1036F602">
      <w:pPr>
        <w:ind w:firstLine="640" w:firstLineChars="200"/>
        <w:rPr>
          <w:rFonts w:hint="eastAsia" w:ascii="仿宋" w:hAnsi="仿宋" w:eastAsia="仿宋" w:cs="仿宋"/>
          <w:sz w:val="32"/>
          <w:szCs w:val="32"/>
        </w:rPr>
      </w:pPr>
      <w:r>
        <w:rPr>
          <w:rFonts w:hint="eastAsia" w:ascii="仿宋" w:hAnsi="仿宋" w:eastAsia="仿宋" w:cs="仿宋"/>
          <w:sz w:val="32"/>
          <w:szCs w:val="32"/>
        </w:rPr>
        <w:t>2023年“三公”经费支出</w:t>
      </w:r>
      <w:r>
        <w:rPr>
          <w:rFonts w:hint="eastAsia" w:ascii="仿宋" w:hAnsi="仿宋" w:eastAsia="仿宋" w:cs="仿宋"/>
          <w:sz w:val="32"/>
          <w:szCs w:val="32"/>
          <w:lang w:val="en-US" w:eastAsia="zh-CN"/>
        </w:rPr>
        <w:t>0.</w:t>
      </w:r>
      <w:r>
        <w:rPr>
          <w:rFonts w:hint="eastAsia" w:ascii="仿宋" w:hAnsi="仿宋" w:eastAsia="仿宋" w:cs="仿宋"/>
          <w:sz w:val="32"/>
          <w:szCs w:val="32"/>
        </w:rPr>
        <w:t>47万元。“三公”经费严格控制在年初预算范围内，较好地达成年度预算设定的绩效目标。</w:t>
      </w:r>
    </w:p>
    <w:p w14:paraId="4C02ED92">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政府性基金预算支出情况</w:t>
      </w:r>
    </w:p>
    <w:p w14:paraId="37D3192B">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2023年度本单位无政府性基金支出。</w:t>
      </w:r>
    </w:p>
    <w:p w14:paraId="4161CC24">
      <w:pPr>
        <w:ind w:firstLine="640" w:firstLineChars="200"/>
        <w:rPr>
          <w:rFonts w:hint="eastAsia"/>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国有资本经营预算支出情况</w:t>
      </w:r>
      <w:r>
        <w:rPr>
          <w:rFonts w:hint="eastAsia"/>
          <w:sz w:val="32"/>
          <w:szCs w:val="32"/>
        </w:rPr>
        <w:t xml:space="preserve"> </w:t>
      </w:r>
    </w:p>
    <w:p w14:paraId="342A13FE">
      <w:pPr>
        <w:ind w:firstLine="640" w:firstLineChars="200"/>
        <w:rPr>
          <w:rFonts w:hint="eastAsia" w:ascii="仿宋" w:hAnsi="仿宋" w:eastAsia="仿宋" w:cs="仿宋"/>
          <w:sz w:val="32"/>
          <w:szCs w:val="32"/>
        </w:rPr>
      </w:pPr>
      <w:r>
        <w:rPr>
          <w:rFonts w:hint="eastAsia" w:ascii="仿宋" w:hAnsi="仿宋" w:eastAsia="仿宋" w:cs="仿宋"/>
          <w:sz w:val="32"/>
          <w:szCs w:val="32"/>
        </w:rPr>
        <w:t>2023年度本单位无国有资本经营支出。</w:t>
      </w:r>
    </w:p>
    <w:p w14:paraId="0DB4C857">
      <w:pPr>
        <w:ind w:firstLine="640" w:firstLineChars="200"/>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w:t>
      </w:r>
      <w:r>
        <w:rPr>
          <w:rFonts w:hint="eastAsia" w:ascii="黑体" w:hAnsi="黑体" w:eastAsia="黑体" w:cs="黑体"/>
          <w:sz w:val="32"/>
          <w:szCs w:val="32"/>
        </w:rPr>
        <w:t>社会保险基金预算支出情况</w:t>
      </w:r>
    </w:p>
    <w:p w14:paraId="037B65F9">
      <w:pPr>
        <w:ind w:firstLine="640" w:firstLineChars="200"/>
        <w:rPr>
          <w:rFonts w:hint="eastAsia" w:ascii="仿宋" w:hAnsi="仿宋" w:eastAsia="仿宋" w:cs="仿宋"/>
          <w:sz w:val="32"/>
          <w:szCs w:val="32"/>
        </w:rPr>
      </w:pPr>
      <w:r>
        <w:rPr>
          <w:rFonts w:hint="eastAsia" w:ascii="仿宋" w:hAnsi="仿宋" w:eastAsia="仿宋" w:cs="仿宋"/>
          <w:sz w:val="32"/>
          <w:szCs w:val="32"/>
        </w:rPr>
        <w:t>2023年度本单位无社会保险基金支出。</w:t>
      </w:r>
    </w:p>
    <w:p w14:paraId="46C69DD6">
      <w:pPr>
        <w:ind w:firstLine="640" w:firstLineChars="200"/>
        <w:rPr>
          <w:rFonts w:hint="eastAsia"/>
          <w:sz w:val="32"/>
          <w:szCs w:val="32"/>
        </w:rPr>
      </w:pPr>
      <w:r>
        <w:rPr>
          <w:rFonts w:hint="eastAsia" w:ascii="黑体" w:hAnsi="黑体" w:eastAsia="黑体" w:cs="黑体"/>
          <w:sz w:val="32"/>
          <w:szCs w:val="32"/>
        </w:rPr>
        <w:t xml:space="preserve">六 </w:t>
      </w:r>
      <w:r>
        <w:rPr>
          <w:rFonts w:hint="eastAsia" w:ascii="黑体" w:hAnsi="黑体" w:eastAsia="黑体" w:cs="黑体"/>
          <w:sz w:val="32"/>
          <w:szCs w:val="32"/>
          <w:lang w:eastAsia="zh-CN"/>
        </w:rPr>
        <w:t>、</w:t>
      </w:r>
      <w:r>
        <w:rPr>
          <w:rFonts w:hint="eastAsia" w:ascii="黑体" w:hAnsi="黑体" w:eastAsia="黑体" w:cs="黑体"/>
          <w:sz w:val="32"/>
          <w:szCs w:val="32"/>
        </w:rPr>
        <w:t>部门整体支出绩效情况</w:t>
      </w:r>
    </w:p>
    <w:p w14:paraId="160B59D7">
      <w:pPr>
        <w:ind w:firstLine="640" w:firstLineChars="200"/>
        <w:rPr>
          <w:rFonts w:hint="eastAsia" w:ascii="仿宋" w:hAnsi="仿宋" w:eastAsia="仿宋" w:cs="仿宋"/>
          <w:sz w:val="32"/>
          <w:szCs w:val="32"/>
        </w:rPr>
      </w:pPr>
      <w:r>
        <w:rPr>
          <w:rFonts w:hint="eastAsia" w:ascii="仿宋" w:hAnsi="仿宋" w:eastAsia="仿宋" w:cs="仿宋"/>
          <w:sz w:val="32"/>
          <w:szCs w:val="32"/>
        </w:rPr>
        <w:t>2023年本单位部门整体支出综合评价情况良好，预算配置</w:t>
      </w:r>
      <w:r>
        <w:rPr>
          <w:rFonts w:hint="eastAsia" w:ascii="仿宋" w:hAnsi="仿宋" w:eastAsia="仿宋" w:cs="仿宋"/>
          <w:sz w:val="32"/>
          <w:szCs w:val="32"/>
          <w:lang w:eastAsia="zh-CN"/>
        </w:rPr>
        <w:t>、</w:t>
      </w:r>
      <w:r>
        <w:rPr>
          <w:rFonts w:hint="eastAsia" w:ascii="仿宋" w:hAnsi="仿宋" w:eastAsia="仿宋" w:cs="仿宋"/>
          <w:sz w:val="32"/>
          <w:szCs w:val="32"/>
        </w:rPr>
        <w:t>执行</w:t>
      </w:r>
      <w:r>
        <w:rPr>
          <w:rFonts w:hint="eastAsia" w:ascii="仿宋" w:hAnsi="仿宋" w:eastAsia="仿宋" w:cs="仿宋"/>
          <w:sz w:val="32"/>
          <w:szCs w:val="32"/>
          <w:lang w:eastAsia="zh-CN"/>
        </w:rPr>
        <w:t>、</w:t>
      </w:r>
      <w:r>
        <w:rPr>
          <w:rFonts w:hint="eastAsia" w:ascii="仿宋" w:hAnsi="仿宋" w:eastAsia="仿宋" w:cs="仿宋"/>
          <w:sz w:val="32"/>
          <w:szCs w:val="32"/>
        </w:rPr>
        <w:t>管理</w:t>
      </w:r>
      <w:r>
        <w:rPr>
          <w:rFonts w:hint="eastAsia" w:ascii="仿宋" w:hAnsi="仿宋" w:eastAsia="仿宋" w:cs="仿宋"/>
          <w:sz w:val="32"/>
          <w:szCs w:val="32"/>
          <w:lang w:eastAsia="zh-CN"/>
        </w:rPr>
        <w:t>、</w:t>
      </w:r>
      <w:r>
        <w:rPr>
          <w:rFonts w:hint="eastAsia" w:ascii="仿宋" w:hAnsi="仿宋" w:eastAsia="仿宋" w:cs="仿宋"/>
          <w:sz w:val="32"/>
          <w:szCs w:val="32"/>
        </w:rPr>
        <w:t>资产管理</w:t>
      </w:r>
      <w:r>
        <w:rPr>
          <w:rFonts w:hint="eastAsia" w:ascii="仿宋" w:hAnsi="仿宋" w:eastAsia="仿宋" w:cs="仿宋"/>
          <w:sz w:val="32"/>
          <w:szCs w:val="32"/>
          <w:lang w:eastAsia="zh-CN"/>
        </w:rPr>
        <w:t>、</w:t>
      </w:r>
      <w:r>
        <w:rPr>
          <w:rFonts w:hint="eastAsia" w:ascii="仿宋" w:hAnsi="仿宋" w:eastAsia="仿宋" w:cs="仿宋"/>
          <w:sz w:val="32"/>
          <w:szCs w:val="32"/>
        </w:rPr>
        <w:t>绩效管理</w:t>
      </w:r>
      <w:r>
        <w:rPr>
          <w:rFonts w:hint="eastAsia" w:ascii="仿宋" w:hAnsi="仿宋" w:eastAsia="仿宋" w:cs="仿宋"/>
          <w:sz w:val="32"/>
          <w:szCs w:val="32"/>
          <w:lang w:eastAsia="zh-CN"/>
        </w:rPr>
        <w:t>、</w:t>
      </w:r>
      <w:r>
        <w:rPr>
          <w:rFonts w:hint="eastAsia" w:ascii="仿宋" w:hAnsi="仿宋" w:eastAsia="仿宋" w:cs="仿宋"/>
          <w:sz w:val="32"/>
          <w:szCs w:val="32"/>
        </w:rPr>
        <w:t>职责履行执行及完成情况良好，社会公众或服务对象满意度较高。</w:t>
      </w:r>
    </w:p>
    <w:p w14:paraId="41C8F440">
      <w:pPr>
        <w:ind w:firstLine="640" w:firstLineChars="200"/>
        <w:rPr>
          <w:rFonts w:hint="eastAsia" w:ascii="仿宋" w:hAnsi="仿宋" w:eastAsia="仿宋" w:cs="仿宋"/>
          <w:sz w:val="32"/>
          <w:szCs w:val="32"/>
        </w:rPr>
      </w:pPr>
      <w:r>
        <w:rPr>
          <w:rFonts w:hint="eastAsia" w:ascii="仿宋" w:hAnsi="仿宋" w:eastAsia="仿宋" w:cs="仿宋"/>
          <w:sz w:val="32"/>
          <w:szCs w:val="32"/>
        </w:rPr>
        <w:t>从部门整体支出绩效评价结果来看，单位预算编制科学，民主理财，重大财务事项经由集体研究决策，财务制度健全。单位经费开支按预算和单位财务管理制度执行，进一步推进预决算等重要信息的公开透明。2023年度在网站上公开部门预算信息及单位整体财务情况，做到主动接受社会公众的监督。</w:t>
      </w:r>
    </w:p>
    <w:p w14:paraId="58E0349A">
      <w:pPr>
        <w:ind w:firstLine="640" w:firstLineChars="200"/>
        <w:rPr>
          <w:rFonts w:hint="eastAsia"/>
          <w:sz w:val="32"/>
          <w:szCs w:val="32"/>
        </w:rPr>
      </w:pPr>
      <w:r>
        <w:rPr>
          <w:rFonts w:hint="eastAsia" w:ascii="黑体" w:hAnsi="黑体" w:eastAsia="黑体" w:cs="黑体"/>
          <w:sz w:val="32"/>
          <w:szCs w:val="32"/>
        </w:rPr>
        <w:t>七</w:t>
      </w:r>
      <w:r>
        <w:rPr>
          <w:rFonts w:hint="eastAsia" w:ascii="黑体" w:hAnsi="黑体" w:eastAsia="黑体" w:cs="黑体"/>
          <w:sz w:val="32"/>
          <w:szCs w:val="32"/>
          <w:lang w:eastAsia="zh-CN"/>
        </w:rPr>
        <w:t>、</w:t>
      </w:r>
      <w:r>
        <w:rPr>
          <w:rFonts w:hint="eastAsia" w:ascii="黑体" w:hAnsi="黑体" w:eastAsia="黑体" w:cs="黑体"/>
          <w:sz w:val="32"/>
          <w:szCs w:val="32"/>
        </w:rPr>
        <w:t>存在的问题及原因分析</w:t>
      </w:r>
    </w:p>
    <w:p w14:paraId="149C895A">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财政资金紧张导致报销延迟，资金使用不协调，年终预算结余大，工作推进受阻，存在风险。</w:t>
      </w:r>
    </w:p>
    <w:p w14:paraId="732072CB">
      <w:pPr>
        <w:ind w:firstLine="640" w:firstLineChars="200"/>
        <w:rPr>
          <w:rFonts w:hint="eastAsia" w:ascii="仿宋" w:hAnsi="仿宋" w:eastAsia="仿宋" w:cs="仿宋"/>
          <w:sz w:val="32"/>
          <w:szCs w:val="32"/>
        </w:rPr>
      </w:pPr>
      <w:r>
        <w:rPr>
          <w:rFonts w:hint="eastAsia" w:ascii="仿宋" w:hAnsi="仿宋" w:eastAsia="仿宋" w:cs="仿宋"/>
          <w:sz w:val="32"/>
          <w:szCs w:val="32"/>
        </w:rPr>
        <w:t>2.对于绩效评价的认识不够深入，实际工作中存在把预算绩效简单等同于工作目标</w:t>
      </w:r>
      <w:r>
        <w:rPr>
          <w:rFonts w:hint="eastAsia" w:ascii="仿宋" w:hAnsi="仿宋" w:eastAsia="仿宋" w:cs="仿宋"/>
          <w:sz w:val="32"/>
          <w:szCs w:val="32"/>
          <w:lang w:eastAsia="zh-CN"/>
        </w:rPr>
        <w:t>、</w:t>
      </w:r>
      <w:r>
        <w:rPr>
          <w:rFonts w:hint="eastAsia" w:ascii="仿宋" w:hAnsi="仿宋" w:eastAsia="仿宋" w:cs="仿宋"/>
          <w:sz w:val="32"/>
          <w:szCs w:val="32"/>
        </w:rPr>
        <w:t>工作考核，绩效目标和指标往往根据项目实际完成情况制定，对项目执行过程有效约束不够，存在一定的偏差</w:t>
      </w:r>
    </w:p>
    <w:p w14:paraId="5ED9DEDE">
      <w:pPr>
        <w:ind w:firstLine="640" w:firstLineChars="200"/>
        <w:rPr>
          <w:rFonts w:hint="eastAsia" w:ascii="黑体" w:hAnsi="黑体" w:eastAsia="黑体" w:cs="黑体"/>
          <w:sz w:val="32"/>
          <w:szCs w:val="32"/>
        </w:rPr>
      </w:pPr>
      <w:r>
        <w:rPr>
          <w:rFonts w:hint="eastAsia" w:ascii="黑体" w:hAnsi="黑体" w:eastAsia="黑体" w:cs="黑体"/>
          <w:sz w:val="32"/>
          <w:szCs w:val="32"/>
        </w:rPr>
        <w:t>八</w:t>
      </w:r>
      <w:r>
        <w:rPr>
          <w:rFonts w:hint="eastAsia" w:ascii="黑体" w:hAnsi="黑体" w:eastAsia="黑体" w:cs="黑体"/>
          <w:sz w:val="32"/>
          <w:szCs w:val="32"/>
          <w:lang w:eastAsia="zh-CN"/>
        </w:rPr>
        <w:t>、</w:t>
      </w:r>
      <w:r>
        <w:rPr>
          <w:rFonts w:hint="eastAsia" w:ascii="黑体" w:hAnsi="黑体" w:eastAsia="黑体" w:cs="黑体"/>
          <w:sz w:val="32"/>
          <w:szCs w:val="32"/>
        </w:rPr>
        <w:t>下一步改进措施</w:t>
      </w:r>
    </w:p>
    <w:p w14:paraId="7BE1F1DB">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规范绩效评价管理资料的收集整理，确保相关信息完整</w:t>
      </w:r>
      <w:r>
        <w:rPr>
          <w:rFonts w:hint="eastAsia" w:ascii="仿宋" w:hAnsi="仿宋" w:eastAsia="仿宋" w:cs="仿宋"/>
          <w:sz w:val="32"/>
          <w:szCs w:val="32"/>
          <w:lang w:eastAsia="zh-CN"/>
        </w:rPr>
        <w:t>、</w:t>
      </w:r>
      <w:r>
        <w:rPr>
          <w:rFonts w:hint="eastAsia" w:ascii="仿宋" w:hAnsi="仿宋" w:eastAsia="仿宋" w:cs="仿宋"/>
          <w:sz w:val="32"/>
          <w:szCs w:val="32"/>
        </w:rPr>
        <w:t>可靠，客观公正地反映资金实际使用和产生的绩效状况，为今后资金实施方向及管理方式的改进提供指导</w:t>
      </w:r>
      <w:r>
        <w:rPr>
          <w:rFonts w:hint="eastAsia" w:ascii="仿宋" w:hAnsi="仿宋" w:eastAsia="仿宋" w:cs="仿宋"/>
          <w:sz w:val="32"/>
          <w:szCs w:val="32"/>
          <w:lang w:eastAsia="zh-CN"/>
        </w:rPr>
        <w:t>。</w:t>
      </w:r>
    </w:p>
    <w:p w14:paraId="679ED87A">
      <w:pPr>
        <w:ind w:firstLine="640" w:firstLineChars="200"/>
        <w:rPr>
          <w:rFonts w:hint="eastAsia" w:ascii="黑体" w:hAnsi="黑体" w:eastAsia="黑体" w:cs="黑体"/>
          <w:sz w:val="32"/>
          <w:szCs w:val="32"/>
        </w:rPr>
      </w:pPr>
      <w:r>
        <w:rPr>
          <w:rFonts w:hint="eastAsia" w:ascii="黑体" w:hAnsi="黑体" w:eastAsia="黑体" w:cs="黑体"/>
          <w:sz w:val="32"/>
          <w:szCs w:val="32"/>
        </w:rPr>
        <w:t>九</w:t>
      </w:r>
      <w:r>
        <w:rPr>
          <w:rFonts w:hint="eastAsia" w:ascii="黑体" w:hAnsi="黑体" w:eastAsia="黑体" w:cs="黑体"/>
          <w:sz w:val="32"/>
          <w:szCs w:val="32"/>
          <w:lang w:eastAsia="zh-CN"/>
        </w:rPr>
        <w:t>、</w:t>
      </w:r>
      <w:r>
        <w:rPr>
          <w:rFonts w:hint="eastAsia" w:ascii="黑体" w:hAnsi="黑体" w:eastAsia="黑体" w:cs="黑体"/>
          <w:sz w:val="32"/>
          <w:szCs w:val="32"/>
        </w:rPr>
        <w:t>其他需要说明的情况</w:t>
      </w:r>
    </w:p>
    <w:p w14:paraId="3F7D6B74">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无其他需要说明的情况</w:t>
      </w:r>
      <w:r>
        <w:rPr>
          <w:rFonts w:hint="eastAsia" w:ascii="仿宋" w:hAnsi="仿宋" w:eastAsia="仿宋" w:cs="仿宋"/>
          <w:sz w:val="32"/>
          <w:szCs w:val="32"/>
          <w:lang w:eastAsia="zh-CN"/>
        </w:rPr>
        <w:t>。</w:t>
      </w:r>
    </w:p>
    <w:p w14:paraId="472D3E5B">
      <w:pPr>
        <w:ind w:firstLine="640" w:firstLineChars="200"/>
        <w:rPr>
          <w:rFonts w:hint="eastAsia" w:ascii="仿宋" w:hAnsi="仿宋" w:eastAsia="仿宋" w:cs="仿宋"/>
          <w:sz w:val="32"/>
          <w:szCs w:val="32"/>
          <w:lang w:eastAsia="zh-CN"/>
        </w:rPr>
      </w:pPr>
    </w:p>
    <w:p w14:paraId="1FBFE6AD">
      <w:pPr>
        <w:ind w:firstLine="640" w:firstLineChars="200"/>
        <w:rPr>
          <w:rFonts w:hint="eastAsia" w:ascii="仿宋" w:hAnsi="仿宋" w:eastAsia="仿宋" w:cs="仿宋"/>
          <w:sz w:val="32"/>
          <w:szCs w:val="32"/>
          <w:lang w:eastAsia="zh-CN"/>
        </w:rPr>
      </w:pPr>
    </w:p>
    <w:p w14:paraId="1D593A7D">
      <w:pPr>
        <w:ind w:firstLine="640" w:firstLineChars="200"/>
        <w:rPr>
          <w:rFonts w:hint="eastAsia" w:ascii="仿宋" w:hAnsi="仿宋" w:eastAsia="仿宋" w:cs="仿宋"/>
          <w:sz w:val="32"/>
          <w:szCs w:val="32"/>
          <w:lang w:eastAsia="zh-CN"/>
        </w:rPr>
      </w:pPr>
    </w:p>
    <w:p w14:paraId="4EE2A098">
      <w:pPr>
        <w:ind w:firstLine="640" w:firstLineChars="200"/>
        <w:rPr>
          <w:rFonts w:hint="eastAsia" w:ascii="仿宋" w:hAnsi="仿宋" w:eastAsia="仿宋" w:cs="仿宋"/>
          <w:sz w:val="32"/>
          <w:szCs w:val="32"/>
          <w:lang w:eastAsia="zh-CN"/>
        </w:rPr>
      </w:pPr>
    </w:p>
    <w:p w14:paraId="3109630F">
      <w:pPr>
        <w:ind w:firstLine="640" w:firstLineChars="200"/>
        <w:rPr>
          <w:rFonts w:hint="eastAsia" w:ascii="仿宋" w:hAnsi="仿宋" w:eastAsia="仿宋" w:cs="仿宋"/>
          <w:sz w:val="32"/>
          <w:szCs w:val="32"/>
          <w:lang w:eastAsia="zh-CN"/>
        </w:rPr>
      </w:pPr>
    </w:p>
    <w:p w14:paraId="4D08ED75">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14:paraId="574A349F">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2023</w:t>
      </w:r>
      <w:r>
        <w:rPr>
          <w:rFonts w:hint="eastAsia"/>
          <w:kern w:val="0"/>
          <w:sz w:val="22"/>
        </w:rPr>
        <w:t>年度）</w:t>
      </w:r>
    </w:p>
    <w:tbl>
      <w:tblPr>
        <w:tblStyle w:val="6"/>
        <w:tblW w:w="9322" w:type="dxa"/>
        <w:jc w:val="center"/>
        <w:tblLayout w:type="autofit"/>
        <w:tblCellMar>
          <w:top w:w="0" w:type="dxa"/>
          <w:left w:w="108" w:type="dxa"/>
          <w:bottom w:w="0" w:type="dxa"/>
          <w:right w:w="108" w:type="dxa"/>
        </w:tblCellMar>
      </w:tblPr>
      <w:tblGrid>
        <w:gridCol w:w="946"/>
        <w:gridCol w:w="743"/>
        <w:gridCol w:w="977"/>
        <w:gridCol w:w="1388"/>
        <w:gridCol w:w="2046"/>
        <w:gridCol w:w="974"/>
        <w:gridCol w:w="536"/>
        <w:gridCol w:w="482"/>
        <w:gridCol w:w="256"/>
        <w:gridCol w:w="974"/>
      </w:tblGrid>
      <w:tr w14:paraId="08937D8D">
        <w:tblPrEx>
          <w:tblCellMar>
            <w:top w:w="0" w:type="dxa"/>
            <w:left w:w="108" w:type="dxa"/>
            <w:bottom w:w="0" w:type="dxa"/>
            <w:right w:w="108" w:type="dxa"/>
          </w:tblCellMar>
        </w:tblPrEx>
        <w:trPr>
          <w:trHeight w:val="39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14:paraId="709FEA3E">
            <w:pPr>
              <w:widowControl/>
              <w:spacing w:line="0" w:lineRule="atLeast"/>
              <w:jc w:val="center"/>
              <w:rPr>
                <w:rFonts w:eastAsia="仿宋_GB2312"/>
                <w:kern w:val="0"/>
                <w:szCs w:val="21"/>
              </w:rPr>
            </w:pPr>
            <w:r>
              <w:rPr>
                <w:rFonts w:hint="eastAsia" w:eastAsia="仿宋_GB2312"/>
                <w:kern w:val="0"/>
                <w:szCs w:val="21"/>
              </w:rPr>
              <w:t>项目支</w:t>
            </w:r>
          </w:p>
          <w:p w14:paraId="594A6F1D">
            <w:pPr>
              <w:widowControl/>
              <w:spacing w:line="0" w:lineRule="atLeast"/>
              <w:jc w:val="center"/>
              <w:rPr>
                <w:rFonts w:eastAsia="仿宋_GB2312"/>
                <w:kern w:val="0"/>
                <w:szCs w:val="21"/>
              </w:rPr>
            </w:pPr>
            <w:r>
              <w:rPr>
                <w:rFonts w:hint="eastAsia" w:eastAsia="仿宋_GB2312"/>
                <w:kern w:val="0"/>
                <w:szCs w:val="21"/>
              </w:rPr>
              <w:t>出名称</w:t>
            </w:r>
          </w:p>
        </w:tc>
        <w:tc>
          <w:tcPr>
            <w:tcW w:w="8371" w:type="dxa"/>
            <w:gridSpan w:val="9"/>
            <w:tcBorders>
              <w:top w:val="single" w:color="auto" w:sz="4" w:space="0"/>
              <w:left w:val="nil"/>
              <w:bottom w:val="single" w:color="auto" w:sz="4" w:space="0"/>
              <w:right w:val="single" w:color="000000" w:sz="4" w:space="0"/>
            </w:tcBorders>
            <w:vAlign w:val="center"/>
          </w:tcPr>
          <w:p w14:paraId="08D91642">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固定资产投资审计购买社会中介服务费</w:t>
            </w:r>
          </w:p>
        </w:tc>
      </w:tr>
      <w:tr w14:paraId="6FBB9108">
        <w:tblPrEx>
          <w:tblCellMar>
            <w:top w:w="0" w:type="dxa"/>
            <w:left w:w="108" w:type="dxa"/>
            <w:bottom w:w="0" w:type="dxa"/>
            <w:right w:w="108" w:type="dxa"/>
          </w:tblCellMar>
        </w:tblPrEx>
        <w:trPr>
          <w:trHeight w:val="340" w:hRule="atLeast"/>
          <w:jc w:val="center"/>
        </w:trPr>
        <w:tc>
          <w:tcPr>
            <w:tcW w:w="951" w:type="dxa"/>
            <w:tcBorders>
              <w:top w:val="nil"/>
              <w:left w:val="single" w:color="auto" w:sz="4" w:space="0"/>
              <w:bottom w:val="single" w:color="auto" w:sz="4" w:space="0"/>
              <w:right w:val="single" w:color="auto" w:sz="4" w:space="0"/>
            </w:tcBorders>
            <w:vAlign w:val="center"/>
          </w:tcPr>
          <w:p w14:paraId="4AE7ECF0">
            <w:pPr>
              <w:widowControl/>
              <w:spacing w:line="0" w:lineRule="atLeast"/>
              <w:jc w:val="left"/>
              <w:rPr>
                <w:rFonts w:eastAsia="仿宋_GB2312"/>
                <w:kern w:val="0"/>
                <w:szCs w:val="21"/>
              </w:rPr>
            </w:pPr>
            <w:r>
              <w:rPr>
                <w:rFonts w:hint="eastAsia" w:eastAsia="仿宋_GB2312"/>
                <w:kern w:val="0"/>
                <w:szCs w:val="21"/>
              </w:rPr>
              <w:t>主管部门</w:t>
            </w:r>
          </w:p>
        </w:tc>
        <w:tc>
          <w:tcPr>
            <w:tcW w:w="5192" w:type="dxa"/>
            <w:gridSpan w:val="4"/>
            <w:tcBorders>
              <w:top w:val="single" w:color="auto" w:sz="4" w:space="0"/>
              <w:left w:val="nil"/>
              <w:bottom w:val="single" w:color="auto" w:sz="4" w:space="0"/>
              <w:right w:val="single" w:color="auto" w:sz="4" w:space="0"/>
            </w:tcBorders>
            <w:vAlign w:val="center"/>
          </w:tcPr>
          <w:p w14:paraId="5702C1C4">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邵阳县审计局</w:t>
            </w:r>
          </w:p>
        </w:tc>
        <w:tc>
          <w:tcPr>
            <w:tcW w:w="974" w:type="dxa"/>
            <w:tcBorders>
              <w:top w:val="single" w:color="auto" w:sz="4" w:space="0"/>
              <w:left w:val="nil"/>
              <w:bottom w:val="single" w:color="auto" w:sz="4" w:space="0"/>
              <w:right w:val="single" w:color="000000" w:sz="4" w:space="0"/>
            </w:tcBorders>
            <w:vAlign w:val="center"/>
          </w:tcPr>
          <w:p w14:paraId="0741CEEC">
            <w:pPr>
              <w:widowControl/>
              <w:spacing w:line="0" w:lineRule="atLeast"/>
              <w:jc w:val="center"/>
              <w:rPr>
                <w:rFonts w:eastAsia="仿宋_GB2312"/>
                <w:kern w:val="0"/>
                <w:szCs w:val="21"/>
              </w:rPr>
            </w:pPr>
            <w:r>
              <w:rPr>
                <w:rFonts w:hint="eastAsia" w:eastAsia="仿宋_GB2312"/>
                <w:kern w:val="0"/>
                <w:szCs w:val="21"/>
              </w:rPr>
              <w:t>实施单位</w:t>
            </w:r>
          </w:p>
        </w:tc>
        <w:tc>
          <w:tcPr>
            <w:tcW w:w="2205" w:type="dxa"/>
            <w:gridSpan w:val="4"/>
            <w:tcBorders>
              <w:top w:val="single" w:color="auto" w:sz="4" w:space="0"/>
              <w:left w:val="nil"/>
              <w:bottom w:val="single" w:color="auto" w:sz="4" w:space="0"/>
              <w:right w:val="single" w:color="auto" w:sz="4" w:space="0"/>
            </w:tcBorders>
            <w:vAlign w:val="center"/>
          </w:tcPr>
          <w:p w14:paraId="23F002E4">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邵阳县审计局</w:t>
            </w:r>
          </w:p>
        </w:tc>
      </w:tr>
      <w:tr w14:paraId="720052E0">
        <w:tblPrEx>
          <w:tblCellMar>
            <w:top w:w="0" w:type="dxa"/>
            <w:left w:w="108" w:type="dxa"/>
            <w:bottom w:w="0" w:type="dxa"/>
            <w:right w:w="108" w:type="dxa"/>
          </w:tblCellMar>
        </w:tblPrEx>
        <w:trPr>
          <w:trHeight w:val="373" w:hRule="atLeast"/>
          <w:jc w:val="center"/>
        </w:trPr>
        <w:tc>
          <w:tcPr>
            <w:tcW w:w="951" w:type="dxa"/>
            <w:vMerge w:val="restart"/>
            <w:tcBorders>
              <w:top w:val="nil"/>
              <w:left w:val="single" w:color="auto" w:sz="4" w:space="0"/>
              <w:bottom w:val="single" w:color="000000" w:sz="4" w:space="0"/>
              <w:right w:val="single" w:color="auto" w:sz="4" w:space="0"/>
            </w:tcBorders>
            <w:vAlign w:val="center"/>
          </w:tcPr>
          <w:p w14:paraId="5BB46937">
            <w:pPr>
              <w:widowControl/>
              <w:spacing w:line="0" w:lineRule="atLeast"/>
              <w:jc w:val="center"/>
              <w:rPr>
                <w:rFonts w:hint="eastAsia" w:eastAsia="仿宋_GB2312"/>
                <w:kern w:val="0"/>
                <w:szCs w:val="21"/>
                <w:lang w:eastAsia="zh-CN"/>
              </w:rPr>
            </w:pPr>
            <w:r>
              <w:rPr>
                <w:rFonts w:hint="eastAsia" w:eastAsia="仿宋_GB2312"/>
                <w:kern w:val="0"/>
                <w:szCs w:val="21"/>
              </w:rPr>
              <w:t>项目资金</w:t>
            </w:r>
          </w:p>
          <w:p w14:paraId="0A11ABFA">
            <w:pPr>
              <w:widowControl/>
              <w:spacing w:line="0" w:lineRule="atLeast"/>
              <w:jc w:val="center"/>
              <w:rPr>
                <w:rFonts w:eastAsia="仿宋_GB2312"/>
                <w:kern w:val="0"/>
                <w:szCs w:val="21"/>
              </w:rPr>
            </w:pPr>
            <w:r>
              <w:rPr>
                <w:rFonts w:hint="eastAsia" w:eastAsia="仿宋_GB2312"/>
                <w:kern w:val="0"/>
                <w:szCs w:val="21"/>
              </w:rPr>
              <w:t>（万元）</w:t>
            </w:r>
          </w:p>
        </w:tc>
        <w:tc>
          <w:tcPr>
            <w:tcW w:w="1731" w:type="dxa"/>
            <w:gridSpan w:val="2"/>
            <w:tcBorders>
              <w:top w:val="nil"/>
              <w:left w:val="nil"/>
              <w:bottom w:val="single" w:color="auto" w:sz="4" w:space="0"/>
              <w:right w:val="single" w:color="auto" w:sz="4" w:space="0"/>
            </w:tcBorders>
            <w:vAlign w:val="center"/>
          </w:tcPr>
          <w:p w14:paraId="3F093148">
            <w:pPr>
              <w:widowControl/>
              <w:spacing w:line="0" w:lineRule="atLeast"/>
              <w:jc w:val="left"/>
              <w:rPr>
                <w:rFonts w:eastAsia="仿宋_GB2312"/>
                <w:kern w:val="0"/>
                <w:szCs w:val="21"/>
              </w:rPr>
            </w:pPr>
            <w:r>
              <w:rPr>
                <w:rFonts w:hint="eastAsia" w:eastAsia="仿宋_GB2312"/>
                <w:kern w:val="0"/>
                <w:szCs w:val="21"/>
              </w:rPr>
              <w:t>　</w:t>
            </w:r>
          </w:p>
        </w:tc>
        <w:tc>
          <w:tcPr>
            <w:tcW w:w="1399" w:type="dxa"/>
            <w:tcBorders>
              <w:top w:val="nil"/>
              <w:left w:val="nil"/>
              <w:bottom w:val="single" w:color="auto" w:sz="4" w:space="0"/>
              <w:right w:val="single" w:color="auto" w:sz="4" w:space="0"/>
            </w:tcBorders>
            <w:vAlign w:val="center"/>
          </w:tcPr>
          <w:p w14:paraId="4356144C">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14:paraId="36E9718A">
            <w:pPr>
              <w:widowControl/>
              <w:spacing w:line="0" w:lineRule="atLeast"/>
              <w:jc w:val="left"/>
              <w:rPr>
                <w:rFonts w:eastAsia="仿宋_GB2312"/>
                <w:kern w:val="0"/>
                <w:szCs w:val="21"/>
              </w:rPr>
            </w:pPr>
            <w:r>
              <w:rPr>
                <w:rFonts w:hint="eastAsia" w:eastAsia="仿宋_GB2312"/>
                <w:kern w:val="0"/>
                <w:szCs w:val="21"/>
              </w:rPr>
              <w:t>全年预算数</w:t>
            </w:r>
          </w:p>
        </w:tc>
        <w:tc>
          <w:tcPr>
            <w:tcW w:w="974" w:type="dxa"/>
            <w:tcBorders>
              <w:top w:val="nil"/>
              <w:left w:val="nil"/>
              <w:bottom w:val="single" w:color="auto" w:sz="4" w:space="0"/>
              <w:right w:val="single" w:color="auto" w:sz="4" w:space="0"/>
            </w:tcBorders>
            <w:vAlign w:val="center"/>
          </w:tcPr>
          <w:p w14:paraId="64C5AB6B">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14:paraId="0EA106C4">
            <w:pPr>
              <w:spacing w:line="0" w:lineRule="atLeast"/>
              <w:ind w:leftChars="-54" w:hanging="113" w:hangingChars="54"/>
              <w:jc w:val="center"/>
              <w:rPr>
                <w:rFonts w:eastAsia="仿宋_GB2312"/>
                <w:szCs w:val="21"/>
              </w:rPr>
            </w:pPr>
            <w:r>
              <w:rPr>
                <w:rFonts w:hint="eastAsia" w:eastAsia="仿宋_GB2312"/>
                <w:szCs w:val="21"/>
              </w:rPr>
              <w:t>分值</w:t>
            </w:r>
          </w:p>
        </w:tc>
        <w:tc>
          <w:tcPr>
            <w:tcW w:w="688" w:type="dxa"/>
            <w:gridSpan w:val="2"/>
            <w:tcBorders>
              <w:top w:val="nil"/>
              <w:left w:val="nil"/>
              <w:bottom w:val="single" w:color="auto" w:sz="4" w:space="0"/>
              <w:right w:val="single" w:color="auto" w:sz="4" w:space="0"/>
            </w:tcBorders>
            <w:vAlign w:val="center"/>
          </w:tcPr>
          <w:p w14:paraId="50F85453">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981" w:type="dxa"/>
            <w:tcBorders>
              <w:top w:val="nil"/>
              <w:left w:val="nil"/>
              <w:bottom w:val="single" w:color="auto" w:sz="4" w:space="0"/>
              <w:right w:val="single" w:color="auto" w:sz="4" w:space="0"/>
            </w:tcBorders>
            <w:vAlign w:val="center"/>
          </w:tcPr>
          <w:p w14:paraId="39877B72">
            <w:pPr>
              <w:spacing w:line="0" w:lineRule="atLeast"/>
              <w:jc w:val="center"/>
              <w:rPr>
                <w:rFonts w:eastAsia="仿宋_GB2312"/>
                <w:szCs w:val="21"/>
              </w:rPr>
            </w:pPr>
            <w:r>
              <w:rPr>
                <w:rFonts w:hint="eastAsia" w:eastAsia="仿宋_GB2312"/>
                <w:szCs w:val="21"/>
              </w:rPr>
              <w:t>得分</w:t>
            </w:r>
          </w:p>
        </w:tc>
      </w:tr>
      <w:tr w14:paraId="680687B3">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14:paraId="489572BF">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14:paraId="72A9B668">
            <w:pPr>
              <w:widowControl/>
              <w:spacing w:line="0" w:lineRule="atLeast"/>
              <w:jc w:val="left"/>
              <w:rPr>
                <w:rFonts w:eastAsia="仿宋_GB2312"/>
                <w:kern w:val="0"/>
                <w:szCs w:val="21"/>
              </w:rPr>
            </w:pPr>
            <w:r>
              <w:rPr>
                <w:rFonts w:hint="eastAsia" w:eastAsia="仿宋_GB2312"/>
                <w:kern w:val="0"/>
                <w:szCs w:val="21"/>
              </w:rPr>
              <w:t>年度资金总额　</w:t>
            </w:r>
          </w:p>
        </w:tc>
        <w:tc>
          <w:tcPr>
            <w:tcW w:w="1399" w:type="dxa"/>
            <w:tcBorders>
              <w:top w:val="nil"/>
              <w:left w:val="nil"/>
              <w:bottom w:val="single" w:color="auto" w:sz="4" w:space="0"/>
              <w:right w:val="single" w:color="auto" w:sz="4" w:space="0"/>
            </w:tcBorders>
            <w:vAlign w:val="center"/>
          </w:tcPr>
          <w:p w14:paraId="21560278">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300万元</w:t>
            </w:r>
          </w:p>
        </w:tc>
        <w:tc>
          <w:tcPr>
            <w:tcW w:w="0" w:type="auto"/>
            <w:tcBorders>
              <w:top w:val="nil"/>
              <w:left w:val="nil"/>
              <w:bottom w:val="single" w:color="auto" w:sz="4" w:space="0"/>
              <w:right w:val="single" w:color="auto" w:sz="4" w:space="0"/>
            </w:tcBorders>
            <w:vAlign w:val="center"/>
          </w:tcPr>
          <w:p w14:paraId="0973F738">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300万元</w:t>
            </w:r>
          </w:p>
        </w:tc>
        <w:tc>
          <w:tcPr>
            <w:tcW w:w="974" w:type="dxa"/>
            <w:tcBorders>
              <w:top w:val="nil"/>
              <w:left w:val="nil"/>
              <w:bottom w:val="single" w:color="auto" w:sz="4" w:space="0"/>
              <w:right w:val="single" w:color="auto" w:sz="4" w:space="0"/>
            </w:tcBorders>
            <w:vAlign w:val="center"/>
          </w:tcPr>
          <w:p w14:paraId="4A8F0F9A">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285.9万元</w:t>
            </w:r>
          </w:p>
        </w:tc>
        <w:tc>
          <w:tcPr>
            <w:tcW w:w="536" w:type="dxa"/>
            <w:tcBorders>
              <w:top w:val="nil"/>
              <w:left w:val="nil"/>
              <w:bottom w:val="single" w:color="auto" w:sz="4" w:space="0"/>
              <w:right w:val="single" w:color="auto" w:sz="4" w:space="0"/>
            </w:tcBorders>
            <w:vAlign w:val="center"/>
          </w:tcPr>
          <w:p w14:paraId="0A18304C">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88" w:type="dxa"/>
            <w:gridSpan w:val="2"/>
            <w:tcBorders>
              <w:top w:val="nil"/>
              <w:left w:val="nil"/>
              <w:bottom w:val="single" w:color="auto" w:sz="4" w:space="0"/>
              <w:right w:val="single" w:color="auto" w:sz="4" w:space="0"/>
            </w:tcBorders>
            <w:vAlign w:val="center"/>
          </w:tcPr>
          <w:p w14:paraId="7B694B7D">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98%</w:t>
            </w:r>
          </w:p>
        </w:tc>
        <w:tc>
          <w:tcPr>
            <w:tcW w:w="981" w:type="dxa"/>
            <w:tcBorders>
              <w:top w:val="nil"/>
              <w:left w:val="nil"/>
              <w:bottom w:val="single" w:color="auto" w:sz="4" w:space="0"/>
              <w:right w:val="single" w:color="auto" w:sz="4" w:space="0"/>
            </w:tcBorders>
            <w:vAlign w:val="center"/>
          </w:tcPr>
          <w:p w14:paraId="5BF6DA29">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9.8</w:t>
            </w:r>
          </w:p>
        </w:tc>
      </w:tr>
      <w:tr w14:paraId="24601ADA">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14:paraId="70CCF246">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14:paraId="13E47450">
            <w:pPr>
              <w:widowControl/>
              <w:spacing w:line="0" w:lineRule="atLeast"/>
              <w:jc w:val="left"/>
              <w:rPr>
                <w:rFonts w:eastAsia="仿宋_GB2312"/>
                <w:kern w:val="0"/>
                <w:szCs w:val="21"/>
              </w:rPr>
            </w:pPr>
            <w:r>
              <w:rPr>
                <w:rFonts w:hint="eastAsia" w:eastAsia="仿宋_GB2312"/>
                <w:kern w:val="0"/>
                <w:szCs w:val="21"/>
              </w:rPr>
              <w:t>其中：当年财政拨款　</w:t>
            </w:r>
          </w:p>
        </w:tc>
        <w:tc>
          <w:tcPr>
            <w:tcW w:w="1399" w:type="dxa"/>
            <w:tcBorders>
              <w:top w:val="nil"/>
              <w:left w:val="nil"/>
              <w:bottom w:val="single" w:color="auto" w:sz="4" w:space="0"/>
              <w:right w:val="single" w:color="auto" w:sz="4" w:space="0"/>
            </w:tcBorders>
            <w:vAlign w:val="center"/>
          </w:tcPr>
          <w:p w14:paraId="5990447D">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291.7万元</w:t>
            </w:r>
          </w:p>
        </w:tc>
        <w:tc>
          <w:tcPr>
            <w:tcW w:w="0" w:type="auto"/>
            <w:tcBorders>
              <w:top w:val="nil"/>
              <w:left w:val="nil"/>
              <w:bottom w:val="single" w:color="auto" w:sz="4" w:space="0"/>
              <w:right w:val="single" w:color="auto" w:sz="4" w:space="0"/>
            </w:tcBorders>
            <w:vAlign w:val="center"/>
          </w:tcPr>
          <w:p w14:paraId="1136ABD8">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291.7万元</w:t>
            </w:r>
          </w:p>
        </w:tc>
        <w:tc>
          <w:tcPr>
            <w:tcW w:w="974" w:type="dxa"/>
            <w:tcBorders>
              <w:top w:val="nil"/>
              <w:left w:val="nil"/>
              <w:bottom w:val="single" w:color="auto" w:sz="4" w:space="0"/>
              <w:right w:val="single" w:color="auto" w:sz="4" w:space="0"/>
            </w:tcBorders>
            <w:vAlign w:val="center"/>
          </w:tcPr>
          <w:p w14:paraId="03F22529">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285.9万元</w:t>
            </w:r>
          </w:p>
        </w:tc>
        <w:tc>
          <w:tcPr>
            <w:tcW w:w="536" w:type="dxa"/>
            <w:tcBorders>
              <w:top w:val="nil"/>
              <w:left w:val="nil"/>
              <w:bottom w:val="single" w:color="auto" w:sz="4" w:space="0"/>
              <w:right w:val="single" w:color="auto" w:sz="4" w:space="0"/>
            </w:tcBorders>
            <w:vAlign w:val="center"/>
          </w:tcPr>
          <w:p w14:paraId="66F5D9B5">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14:paraId="7A8EF4AA">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14:paraId="4EA02E4B">
            <w:pPr>
              <w:widowControl/>
              <w:spacing w:line="0" w:lineRule="atLeast"/>
              <w:jc w:val="left"/>
              <w:rPr>
                <w:rFonts w:eastAsia="仿宋_GB2312"/>
                <w:kern w:val="0"/>
                <w:szCs w:val="21"/>
              </w:rPr>
            </w:pPr>
            <w:r>
              <w:rPr>
                <w:rFonts w:hint="eastAsia" w:eastAsia="仿宋_GB2312"/>
                <w:kern w:val="0"/>
                <w:szCs w:val="21"/>
              </w:rPr>
              <w:t>　</w:t>
            </w:r>
          </w:p>
        </w:tc>
      </w:tr>
      <w:tr w14:paraId="4092EF11">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14:paraId="3EB42BB7">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14:paraId="40E8B851">
            <w:pPr>
              <w:widowControl/>
              <w:spacing w:line="0" w:lineRule="atLeast"/>
              <w:jc w:val="left"/>
              <w:rPr>
                <w:rFonts w:eastAsia="仿宋_GB2312"/>
                <w:kern w:val="0"/>
                <w:szCs w:val="21"/>
              </w:rPr>
            </w:pPr>
            <w:r>
              <w:rPr>
                <w:rFonts w:hint="eastAsia" w:eastAsia="仿宋_GB2312"/>
                <w:kern w:val="0"/>
                <w:szCs w:val="21"/>
              </w:rPr>
              <w:t>上年结转资金　</w:t>
            </w:r>
          </w:p>
        </w:tc>
        <w:tc>
          <w:tcPr>
            <w:tcW w:w="1399" w:type="dxa"/>
            <w:tcBorders>
              <w:top w:val="nil"/>
              <w:left w:val="nil"/>
              <w:bottom w:val="single" w:color="auto" w:sz="4" w:space="0"/>
              <w:right w:val="single" w:color="auto" w:sz="4" w:space="0"/>
            </w:tcBorders>
            <w:vAlign w:val="center"/>
          </w:tcPr>
          <w:p w14:paraId="4FAC6700">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14:paraId="41D45E68">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14:paraId="3906CBF9">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14:paraId="4166C07B">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14:paraId="24949D4F">
            <w:pPr>
              <w:widowControl/>
              <w:spacing w:line="0" w:lineRule="atLeast"/>
              <w:jc w:val="center"/>
              <w:rPr>
                <w:rFonts w:eastAsia="仿宋_GB2312"/>
                <w:kern w:val="0"/>
                <w:szCs w:val="21"/>
              </w:rPr>
            </w:pPr>
          </w:p>
        </w:tc>
        <w:tc>
          <w:tcPr>
            <w:tcW w:w="981" w:type="dxa"/>
            <w:tcBorders>
              <w:top w:val="nil"/>
              <w:left w:val="nil"/>
              <w:bottom w:val="single" w:color="auto" w:sz="4" w:space="0"/>
              <w:right w:val="single" w:color="auto" w:sz="4" w:space="0"/>
            </w:tcBorders>
            <w:vAlign w:val="center"/>
          </w:tcPr>
          <w:p w14:paraId="1AC36FEE">
            <w:pPr>
              <w:widowControl/>
              <w:spacing w:line="0" w:lineRule="atLeast"/>
              <w:jc w:val="left"/>
              <w:rPr>
                <w:rFonts w:eastAsia="仿宋_GB2312"/>
                <w:kern w:val="0"/>
                <w:szCs w:val="21"/>
              </w:rPr>
            </w:pPr>
            <w:r>
              <w:rPr>
                <w:rFonts w:hint="eastAsia" w:eastAsia="仿宋_GB2312"/>
                <w:kern w:val="0"/>
                <w:szCs w:val="21"/>
              </w:rPr>
              <w:t>　</w:t>
            </w:r>
          </w:p>
        </w:tc>
      </w:tr>
      <w:tr w14:paraId="41117245">
        <w:tblPrEx>
          <w:tblCellMar>
            <w:top w:w="0" w:type="dxa"/>
            <w:left w:w="108" w:type="dxa"/>
            <w:bottom w:w="0" w:type="dxa"/>
            <w:right w:w="108" w:type="dxa"/>
          </w:tblCellMar>
        </w:tblPrEx>
        <w:trPr>
          <w:trHeight w:val="340" w:hRule="atLeast"/>
          <w:jc w:val="center"/>
        </w:trPr>
        <w:tc>
          <w:tcPr>
            <w:tcW w:w="951" w:type="dxa"/>
            <w:vMerge w:val="continue"/>
            <w:tcBorders>
              <w:top w:val="nil"/>
              <w:left w:val="single" w:color="auto" w:sz="4" w:space="0"/>
              <w:bottom w:val="single" w:color="000000" w:sz="4" w:space="0"/>
              <w:right w:val="single" w:color="auto" w:sz="4" w:space="0"/>
            </w:tcBorders>
            <w:vAlign w:val="center"/>
          </w:tcPr>
          <w:p w14:paraId="3A061E51">
            <w:pPr>
              <w:widowControl/>
              <w:spacing w:line="0" w:lineRule="atLeast"/>
              <w:jc w:val="left"/>
              <w:rPr>
                <w:rFonts w:eastAsia="仿宋_GB2312"/>
                <w:kern w:val="0"/>
                <w:szCs w:val="21"/>
              </w:rPr>
            </w:pPr>
          </w:p>
        </w:tc>
        <w:tc>
          <w:tcPr>
            <w:tcW w:w="1731" w:type="dxa"/>
            <w:gridSpan w:val="2"/>
            <w:tcBorders>
              <w:top w:val="nil"/>
              <w:left w:val="nil"/>
              <w:bottom w:val="single" w:color="auto" w:sz="4" w:space="0"/>
              <w:right w:val="single" w:color="auto" w:sz="4" w:space="0"/>
            </w:tcBorders>
            <w:vAlign w:val="center"/>
          </w:tcPr>
          <w:p w14:paraId="7F7CA94A">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399" w:type="dxa"/>
            <w:tcBorders>
              <w:top w:val="nil"/>
              <w:left w:val="nil"/>
              <w:bottom w:val="single" w:color="auto" w:sz="4" w:space="0"/>
              <w:right w:val="single" w:color="auto" w:sz="4" w:space="0"/>
            </w:tcBorders>
            <w:vAlign w:val="center"/>
          </w:tcPr>
          <w:p w14:paraId="4FDC545F">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14:paraId="58165BF4">
            <w:pPr>
              <w:widowControl/>
              <w:spacing w:line="0" w:lineRule="atLeast"/>
              <w:jc w:val="left"/>
              <w:rPr>
                <w:rFonts w:eastAsia="仿宋_GB2312"/>
                <w:kern w:val="0"/>
                <w:szCs w:val="21"/>
              </w:rPr>
            </w:pPr>
            <w:r>
              <w:rPr>
                <w:rFonts w:hint="eastAsia" w:eastAsia="仿宋_GB2312"/>
                <w:kern w:val="0"/>
                <w:szCs w:val="21"/>
              </w:rPr>
              <w:t>　</w:t>
            </w:r>
          </w:p>
        </w:tc>
        <w:tc>
          <w:tcPr>
            <w:tcW w:w="974" w:type="dxa"/>
            <w:tcBorders>
              <w:top w:val="nil"/>
              <w:left w:val="nil"/>
              <w:bottom w:val="single" w:color="auto" w:sz="4" w:space="0"/>
              <w:right w:val="single" w:color="auto" w:sz="4" w:space="0"/>
            </w:tcBorders>
            <w:vAlign w:val="center"/>
          </w:tcPr>
          <w:p w14:paraId="4B9F3859">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14:paraId="6B1CC7F1">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14:paraId="56DE0A29">
            <w:pPr>
              <w:widowControl/>
              <w:spacing w:line="0" w:lineRule="atLeast"/>
              <w:jc w:val="left"/>
              <w:rPr>
                <w:rFonts w:eastAsia="仿宋_GB2312"/>
                <w:kern w:val="0"/>
                <w:szCs w:val="21"/>
              </w:rPr>
            </w:pPr>
            <w:r>
              <w:rPr>
                <w:rFonts w:hint="eastAsia" w:eastAsia="仿宋_GB2312"/>
                <w:kern w:val="0"/>
                <w:szCs w:val="21"/>
              </w:rPr>
              <w:t>　</w:t>
            </w:r>
          </w:p>
        </w:tc>
        <w:tc>
          <w:tcPr>
            <w:tcW w:w="981" w:type="dxa"/>
            <w:tcBorders>
              <w:top w:val="nil"/>
              <w:left w:val="nil"/>
              <w:bottom w:val="single" w:color="auto" w:sz="4" w:space="0"/>
              <w:right w:val="single" w:color="auto" w:sz="4" w:space="0"/>
            </w:tcBorders>
            <w:vAlign w:val="center"/>
          </w:tcPr>
          <w:p w14:paraId="5B71FF0A">
            <w:pPr>
              <w:widowControl/>
              <w:spacing w:line="0" w:lineRule="atLeast"/>
              <w:jc w:val="left"/>
              <w:rPr>
                <w:rFonts w:eastAsia="仿宋_GB2312"/>
                <w:kern w:val="0"/>
                <w:szCs w:val="21"/>
              </w:rPr>
            </w:pPr>
            <w:r>
              <w:rPr>
                <w:rFonts w:hint="eastAsia" w:eastAsia="仿宋_GB2312"/>
                <w:kern w:val="0"/>
                <w:szCs w:val="21"/>
              </w:rPr>
              <w:t>　</w:t>
            </w:r>
          </w:p>
        </w:tc>
      </w:tr>
      <w:tr w14:paraId="41EC24E2">
        <w:tblPrEx>
          <w:tblCellMar>
            <w:top w:w="0" w:type="dxa"/>
            <w:left w:w="108" w:type="dxa"/>
            <w:bottom w:w="0" w:type="dxa"/>
            <w:right w:w="108" w:type="dxa"/>
          </w:tblCellMar>
        </w:tblPrEx>
        <w:trPr>
          <w:trHeight w:val="340" w:hRule="atLeast"/>
          <w:jc w:val="center"/>
        </w:trPr>
        <w:tc>
          <w:tcPr>
            <w:tcW w:w="951" w:type="dxa"/>
            <w:vMerge w:val="restart"/>
            <w:tcBorders>
              <w:top w:val="nil"/>
              <w:left w:val="single" w:color="auto" w:sz="4" w:space="0"/>
              <w:bottom w:val="single" w:color="auto" w:sz="4" w:space="0"/>
              <w:right w:val="single" w:color="auto" w:sz="4" w:space="0"/>
            </w:tcBorders>
            <w:vAlign w:val="center"/>
          </w:tcPr>
          <w:p w14:paraId="4E5A91CA">
            <w:pPr>
              <w:widowControl/>
              <w:spacing w:line="0" w:lineRule="atLeast"/>
              <w:jc w:val="center"/>
              <w:rPr>
                <w:rFonts w:eastAsia="仿宋_GB2312"/>
                <w:kern w:val="0"/>
                <w:szCs w:val="21"/>
              </w:rPr>
            </w:pPr>
            <w:r>
              <w:rPr>
                <w:rFonts w:hint="eastAsia" w:eastAsia="仿宋_GB2312"/>
                <w:kern w:val="0"/>
                <w:szCs w:val="21"/>
              </w:rPr>
              <w:t>年度总</w:t>
            </w:r>
          </w:p>
          <w:p w14:paraId="200A3FD9">
            <w:pPr>
              <w:widowControl/>
              <w:spacing w:line="0" w:lineRule="atLeast"/>
              <w:jc w:val="center"/>
              <w:rPr>
                <w:rFonts w:eastAsia="仿宋_GB2312"/>
                <w:kern w:val="0"/>
                <w:szCs w:val="21"/>
              </w:rPr>
            </w:pPr>
            <w:r>
              <w:rPr>
                <w:rFonts w:hint="eastAsia" w:eastAsia="仿宋_GB2312"/>
                <w:kern w:val="0"/>
                <w:szCs w:val="21"/>
              </w:rPr>
              <w:t>体目标</w:t>
            </w:r>
          </w:p>
        </w:tc>
        <w:tc>
          <w:tcPr>
            <w:tcW w:w="5192" w:type="dxa"/>
            <w:gridSpan w:val="4"/>
            <w:tcBorders>
              <w:top w:val="single" w:color="auto" w:sz="4" w:space="0"/>
              <w:left w:val="nil"/>
              <w:bottom w:val="single" w:color="auto" w:sz="4" w:space="0"/>
              <w:right w:val="single" w:color="000000" w:sz="4" w:space="0"/>
            </w:tcBorders>
            <w:vAlign w:val="center"/>
          </w:tcPr>
          <w:p w14:paraId="56A0BD4B">
            <w:pPr>
              <w:widowControl/>
              <w:spacing w:line="0" w:lineRule="atLeast"/>
              <w:jc w:val="center"/>
              <w:rPr>
                <w:rFonts w:eastAsia="仿宋_GB2312"/>
                <w:kern w:val="0"/>
                <w:szCs w:val="21"/>
              </w:rPr>
            </w:pPr>
            <w:r>
              <w:rPr>
                <w:rFonts w:hint="eastAsia" w:eastAsia="仿宋_GB2312"/>
                <w:kern w:val="0"/>
                <w:szCs w:val="21"/>
              </w:rPr>
              <w:t>预期目标</w:t>
            </w:r>
          </w:p>
        </w:tc>
        <w:tc>
          <w:tcPr>
            <w:tcW w:w="3179" w:type="dxa"/>
            <w:gridSpan w:val="5"/>
            <w:tcBorders>
              <w:top w:val="single" w:color="auto" w:sz="4" w:space="0"/>
              <w:left w:val="nil"/>
              <w:bottom w:val="single" w:color="auto" w:sz="4" w:space="0"/>
              <w:right w:val="single" w:color="auto" w:sz="4" w:space="0"/>
            </w:tcBorders>
            <w:vAlign w:val="center"/>
          </w:tcPr>
          <w:p w14:paraId="3A7F7DEA">
            <w:pPr>
              <w:widowControl/>
              <w:spacing w:line="0" w:lineRule="atLeast"/>
              <w:jc w:val="center"/>
              <w:rPr>
                <w:rFonts w:eastAsia="仿宋_GB2312"/>
                <w:kern w:val="0"/>
                <w:szCs w:val="21"/>
              </w:rPr>
            </w:pPr>
            <w:r>
              <w:rPr>
                <w:rFonts w:hint="eastAsia" w:eastAsia="仿宋_GB2312"/>
                <w:kern w:val="0"/>
                <w:szCs w:val="21"/>
              </w:rPr>
              <w:t>实际完成情况　</w:t>
            </w:r>
          </w:p>
        </w:tc>
      </w:tr>
      <w:tr w14:paraId="5159F9E1">
        <w:tblPrEx>
          <w:tblCellMar>
            <w:top w:w="0" w:type="dxa"/>
            <w:left w:w="108" w:type="dxa"/>
            <w:bottom w:w="0" w:type="dxa"/>
            <w:right w:w="108" w:type="dxa"/>
          </w:tblCellMar>
        </w:tblPrEx>
        <w:trPr>
          <w:trHeight w:val="1020" w:hRule="atLeast"/>
          <w:jc w:val="center"/>
        </w:trPr>
        <w:tc>
          <w:tcPr>
            <w:tcW w:w="951" w:type="dxa"/>
            <w:vMerge w:val="continue"/>
            <w:tcBorders>
              <w:top w:val="nil"/>
              <w:left w:val="single" w:color="auto" w:sz="4" w:space="0"/>
              <w:bottom w:val="single" w:color="auto" w:sz="4" w:space="0"/>
              <w:right w:val="single" w:color="auto" w:sz="4" w:space="0"/>
            </w:tcBorders>
            <w:vAlign w:val="center"/>
          </w:tcPr>
          <w:p w14:paraId="055A4B68">
            <w:pPr>
              <w:widowControl/>
              <w:spacing w:line="0" w:lineRule="atLeast"/>
              <w:jc w:val="left"/>
              <w:rPr>
                <w:rFonts w:eastAsia="仿宋_GB2312"/>
                <w:kern w:val="0"/>
                <w:szCs w:val="21"/>
              </w:rPr>
            </w:pPr>
          </w:p>
        </w:tc>
        <w:tc>
          <w:tcPr>
            <w:tcW w:w="5192" w:type="dxa"/>
            <w:gridSpan w:val="4"/>
            <w:tcBorders>
              <w:top w:val="single" w:color="auto" w:sz="4" w:space="0"/>
              <w:left w:val="nil"/>
              <w:bottom w:val="single" w:color="auto" w:sz="4" w:space="0"/>
              <w:right w:val="single" w:color="000000" w:sz="4" w:space="0"/>
            </w:tcBorders>
            <w:vAlign w:val="center"/>
          </w:tcPr>
          <w:p w14:paraId="12FAFF08">
            <w:pPr>
              <w:widowControl/>
              <w:spacing w:line="0" w:lineRule="atLeast"/>
              <w:jc w:val="center"/>
              <w:rPr>
                <w:rFonts w:eastAsia="仿宋_GB2312"/>
                <w:kern w:val="0"/>
                <w:szCs w:val="21"/>
              </w:rPr>
            </w:pPr>
            <w:r>
              <w:rPr>
                <w:rFonts w:hint="eastAsia" w:eastAsia="仿宋_GB2312"/>
                <w:kern w:val="0"/>
                <w:szCs w:val="21"/>
                <w:lang w:val="en-US" w:eastAsia="zh-CN"/>
              </w:rPr>
              <w:t>向经过招投标入库的中介机构购买服务，实行一审和复审的机制审理政府投资项目，有效的为政府投资项目节约成本。</w:t>
            </w:r>
          </w:p>
        </w:tc>
        <w:tc>
          <w:tcPr>
            <w:tcW w:w="3179" w:type="dxa"/>
            <w:gridSpan w:val="5"/>
            <w:tcBorders>
              <w:top w:val="single" w:color="auto" w:sz="4" w:space="0"/>
              <w:left w:val="nil"/>
              <w:bottom w:val="single" w:color="auto" w:sz="4" w:space="0"/>
              <w:right w:val="single" w:color="auto" w:sz="4" w:space="0"/>
            </w:tcBorders>
            <w:vAlign w:val="center"/>
          </w:tcPr>
          <w:p w14:paraId="36D6101C">
            <w:pPr>
              <w:widowControl/>
              <w:spacing w:line="0" w:lineRule="atLeast"/>
              <w:jc w:val="left"/>
              <w:rPr>
                <w:rFonts w:hint="default" w:eastAsia="仿宋_GB2312"/>
                <w:kern w:val="0"/>
                <w:szCs w:val="21"/>
                <w:lang w:val="en-US"/>
              </w:rPr>
            </w:pPr>
            <w:r>
              <w:rPr>
                <w:rFonts w:hint="eastAsia" w:eastAsia="仿宋_GB2312"/>
                <w:kern w:val="0"/>
                <w:szCs w:val="21"/>
              </w:rPr>
              <w:t>　</w:t>
            </w:r>
            <w:r>
              <w:rPr>
                <w:rFonts w:hint="eastAsia" w:eastAsia="仿宋_GB2312"/>
                <w:kern w:val="0"/>
                <w:szCs w:val="21"/>
                <w:lang w:val="en-US" w:eastAsia="zh-CN"/>
              </w:rPr>
              <w:t>全年完成支付的项目10个，其中跟踪审计项目1个，共支付服务费285.9万，由于财政资金有限，尚有已完成未支付的项目服务费。</w:t>
            </w:r>
          </w:p>
        </w:tc>
      </w:tr>
      <w:tr w14:paraId="1640CBBE">
        <w:tblPrEx>
          <w:tblCellMar>
            <w:top w:w="0" w:type="dxa"/>
            <w:left w:w="108" w:type="dxa"/>
            <w:bottom w:w="0" w:type="dxa"/>
            <w:right w:w="108" w:type="dxa"/>
          </w:tblCellMar>
        </w:tblPrEx>
        <w:trPr>
          <w:trHeight w:val="377" w:hRule="atLeast"/>
          <w:jc w:val="center"/>
        </w:trPr>
        <w:tc>
          <w:tcPr>
            <w:tcW w:w="951" w:type="dxa"/>
            <w:vMerge w:val="restart"/>
            <w:tcBorders>
              <w:top w:val="single" w:color="auto" w:sz="4" w:space="0"/>
              <w:left w:val="single" w:color="auto" w:sz="4" w:space="0"/>
              <w:bottom w:val="single" w:color="auto" w:sz="4" w:space="0"/>
              <w:right w:val="single" w:color="auto" w:sz="4" w:space="0"/>
            </w:tcBorders>
            <w:vAlign w:val="center"/>
          </w:tcPr>
          <w:p w14:paraId="0519A291">
            <w:pPr>
              <w:widowControl/>
              <w:spacing w:line="0" w:lineRule="atLeast"/>
              <w:jc w:val="center"/>
              <w:rPr>
                <w:rFonts w:eastAsia="仿宋_GB2312"/>
                <w:kern w:val="0"/>
                <w:szCs w:val="21"/>
              </w:rPr>
            </w:pPr>
            <w:r>
              <w:rPr>
                <w:rFonts w:hint="eastAsia" w:eastAsia="仿宋_GB2312"/>
                <w:kern w:val="0"/>
                <w:szCs w:val="21"/>
              </w:rPr>
              <w:t>绩</w:t>
            </w:r>
          </w:p>
          <w:p w14:paraId="7E434E80">
            <w:pPr>
              <w:widowControl/>
              <w:spacing w:line="0" w:lineRule="atLeast"/>
              <w:jc w:val="center"/>
              <w:rPr>
                <w:rFonts w:eastAsia="仿宋_GB2312"/>
                <w:kern w:val="0"/>
                <w:szCs w:val="21"/>
              </w:rPr>
            </w:pPr>
            <w:r>
              <w:rPr>
                <w:rFonts w:hint="eastAsia" w:eastAsia="仿宋_GB2312"/>
                <w:kern w:val="0"/>
                <w:szCs w:val="21"/>
              </w:rPr>
              <w:t>效</w:t>
            </w:r>
          </w:p>
          <w:p w14:paraId="3A377EE1">
            <w:pPr>
              <w:widowControl/>
              <w:spacing w:line="0" w:lineRule="atLeast"/>
              <w:jc w:val="center"/>
              <w:rPr>
                <w:rFonts w:eastAsia="仿宋_GB2312"/>
                <w:kern w:val="0"/>
                <w:szCs w:val="21"/>
              </w:rPr>
            </w:pPr>
            <w:r>
              <w:rPr>
                <w:rFonts w:hint="eastAsia" w:eastAsia="仿宋_GB2312"/>
                <w:kern w:val="0"/>
                <w:szCs w:val="21"/>
              </w:rPr>
              <w:t>指</w:t>
            </w:r>
          </w:p>
          <w:p w14:paraId="3F3AC396">
            <w:pPr>
              <w:widowControl/>
              <w:spacing w:line="0" w:lineRule="atLeast"/>
              <w:jc w:val="center"/>
              <w:rPr>
                <w:rFonts w:eastAsia="仿宋_GB2312"/>
                <w:kern w:val="0"/>
                <w:szCs w:val="21"/>
              </w:rPr>
            </w:pPr>
            <w:r>
              <w:rPr>
                <w:rFonts w:hint="eastAsia" w:eastAsia="仿宋_GB2312"/>
                <w:kern w:val="0"/>
                <w:szCs w:val="21"/>
              </w:rPr>
              <w:t>标</w:t>
            </w:r>
          </w:p>
        </w:tc>
        <w:tc>
          <w:tcPr>
            <w:tcW w:w="745" w:type="dxa"/>
            <w:tcBorders>
              <w:top w:val="single" w:color="auto" w:sz="4" w:space="0"/>
              <w:left w:val="nil"/>
              <w:bottom w:val="single" w:color="auto" w:sz="4" w:space="0"/>
              <w:right w:val="single" w:color="auto" w:sz="4" w:space="0"/>
            </w:tcBorders>
            <w:vAlign w:val="center"/>
          </w:tcPr>
          <w:p w14:paraId="24E684E0">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986" w:type="dxa"/>
            <w:tcBorders>
              <w:top w:val="single" w:color="auto" w:sz="4" w:space="0"/>
              <w:left w:val="nil"/>
              <w:bottom w:val="single" w:color="auto" w:sz="4" w:space="0"/>
              <w:right w:val="single" w:color="auto" w:sz="4" w:space="0"/>
            </w:tcBorders>
            <w:vAlign w:val="center"/>
          </w:tcPr>
          <w:p w14:paraId="63540CBE">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399" w:type="dxa"/>
            <w:tcBorders>
              <w:top w:val="single" w:color="auto" w:sz="4" w:space="0"/>
              <w:left w:val="nil"/>
              <w:bottom w:val="single" w:color="auto" w:sz="4" w:space="0"/>
              <w:right w:val="single" w:color="auto" w:sz="4" w:space="0"/>
            </w:tcBorders>
            <w:vAlign w:val="center"/>
          </w:tcPr>
          <w:p w14:paraId="117E8C4B">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14:paraId="6910C3D9">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974" w:type="dxa"/>
            <w:tcBorders>
              <w:top w:val="single" w:color="auto" w:sz="4" w:space="0"/>
              <w:left w:val="nil"/>
              <w:bottom w:val="single" w:color="auto" w:sz="4" w:space="0"/>
              <w:right w:val="single" w:color="auto" w:sz="4" w:space="0"/>
            </w:tcBorders>
            <w:vAlign w:val="center"/>
          </w:tcPr>
          <w:p w14:paraId="5D1EC146">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14:paraId="2E8BE5BD">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29" w:type="dxa"/>
            <w:tcBorders>
              <w:top w:val="single" w:color="auto" w:sz="4" w:space="0"/>
              <w:left w:val="nil"/>
              <w:bottom w:val="single" w:color="auto" w:sz="4" w:space="0"/>
              <w:right w:val="single" w:color="auto" w:sz="4" w:space="0"/>
            </w:tcBorders>
            <w:vAlign w:val="center"/>
          </w:tcPr>
          <w:p w14:paraId="354B779D">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240" w:type="dxa"/>
            <w:gridSpan w:val="2"/>
            <w:tcBorders>
              <w:top w:val="single" w:color="auto" w:sz="4" w:space="0"/>
              <w:left w:val="nil"/>
              <w:bottom w:val="single" w:color="auto" w:sz="4" w:space="0"/>
              <w:right w:val="single" w:color="auto" w:sz="4" w:space="0"/>
            </w:tcBorders>
            <w:vAlign w:val="center"/>
          </w:tcPr>
          <w:p w14:paraId="7DD23EA4">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14:paraId="4C5D509F">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14:paraId="3A60B8B2">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14:paraId="339535C1">
            <w:pPr>
              <w:widowControl/>
              <w:spacing w:line="0" w:lineRule="atLeast"/>
              <w:jc w:val="center"/>
              <w:rPr>
                <w:rFonts w:eastAsia="仿宋_GB2312"/>
                <w:kern w:val="0"/>
                <w:szCs w:val="21"/>
              </w:rPr>
            </w:pPr>
            <w:r>
              <w:rPr>
                <w:rFonts w:hint="eastAsia" w:eastAsia="仿宋_GB2312"/>
                <w:kern w:val="0"/>
                <w:szCs w:val="21"/>
              </w:rPr>
              <w:t>产出</w:t>
            </w:r>
          </w:p>
          <w:p w14:paraId="727D68E4">
            <w:pPr>
              <w:widowControl/>
              <w:spacing w:line="0" w:lineRule="atLeast"/>
              <w:jc w:val="center"/>
              <w:rPr>
                <w:rFonts w:eastAsia="仿宋_GB2312"/>
                <w:kern w:val="0"/>
                <w:szCs w:val="21"/>
              </w:rPr>
            </w:pPr>
            <w:r>
              <w:rPr>
                <w:rFonts w:hint="eastAsia" w:eastAsia="仿宋_GB2312"/>
                <w:kern w:val="0"/>
                <w:szCs w:val="21"/>
              </w:rPr>
              <w:t>指标</w:t>
            </w:r>
          </w:p>
          <w:p w14:paraId="5A99DF0E">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986" w:type="dxa"/>
            <w:tcBorders>
              <w:top w:val="single" w:color="auto" w:sz="4" w:space="0"/>
              <w:left w:val="nil"/>
              <w:bottom w:val="single" w:color="auto" w:sz="4" w:space="0"/>
              <w:right w:val="single" w:color="auto" w:sz="4" w:space="0"/>
            </w:tcBorders>
            <w:vAlign w:val="center"/>
          </w:tcPr>
          <w:p w14:paraId="0BC50A56">
            <w:pPr>
              <w:widowControl/>
              <w:spacing w:line="0" w:lineRule="atLeast"/>
              <w:jc w:val="center"/>
              <w:rPr>
                <w:rFonts w:eastAsia="仿宋_GB2312"/>
                <w:kern w:val="0"/>
                <w:szCs w:val="21"/>
              </w:rPr>
            </w:pPr>
            <w:r>
              <w:rPr>
                <w:rFonts w:hint="eastAsia" w:eastAsia="仿宋_GB2312"/>
                <w:kern w:val="0"/>
                <w:szCs w:val="21"/>
              </w:rPr>
              <w:t>数量指标</w:t>
            </w:r>
          </w:p>
        </w:tc>
        <w:tc>
          <w:tcPr>
            <w:tcW w:w="1399" w:type="dxa"/>
            <w:tcBorders>
              <w:top w:val="single" w:color="auto" w:sz="4" w:space="0"/>
              <w:left w:val="nil"/>
              <w:bottom w:val="single" w:color="auto" w:sz="4" w:space="0"/>
              <w:right w:val="single" w:color="auto" w:sz="4" w:space="0"/>
            </w:tcBorders>
            <w:vAlign w:val="center"/>
          </w:tcPr>
          <w:p w14:paraId="33AA0C59">
            <w:pPr>
              <w:widowControl/>
              <w:spacing w:line="0" w:lineRule="atLeast"/>
              <w:jc w:val="left"/>
              <w:rPr>
                <w:rFonts w:eastAsia="仿宋_GB2312"/>
                <w:kern w:val="0"/>
                <w:szCs w:val="21"/>
              </w:rPr>
            </w:pPr>
            <w:r>
              <w:rPr>
                <w:rFonts w:hint="eastAsia" w:eastAsia="仿宋_GB2312"/>
                <w:kern w:val="0"/>
                <w:szCs w:val="21"/>
              </w:rPr>
              <w:t>公用经费支出额</w:t>
            </w:r>
          </w:p>
        </w:tc>
        <w:tc>
          <w:tcPr>
            <w:tcW w:w="0" w:type="auto"/>
            <w:tcBorders>
              <w:top w:val="single" w:color="auto" w:sz="4" w:space="0"/>
              <w:left w:val="nil"/>
              <w:bottom w:val="single" w:color="auto" w:sz="4" w:space="0"/>
              <w:right w:val="single" w:color="auto" w:sz="4" w:space="0"/>
            </w:tcBorders>
            <w:vAlign w:val="center"/>
          </w:tcPr>
          <w:p w14:paraId="63E93C1D">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2917000</w:t>
            </w:r>
          </w:p>
        </w:tc>
        <w:tc>
          <w:tcPr>
            <w:tcW w:w="974" w:type="dxa"/>
            <w:tcBorders>
              <w:top w:val="single" w:color="auto" w:sz="4" w:space="0"/>
              <w:left w:val="nil"/>
              <w:bottom w:val="single" w:color="auto" w:sz="4" w:space="0"/>
              <w:right w:val="single" w:color="auto" w:sz="4" w:space="0"/>
            </w:tcBorders>
            <w:vAlign w:val="center"/>
          </w:tcPr>
          <w:p w14:paraId="5D04CFF8">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2859000</w:t>
            </w:r>
          </w:p>
        </w:tc>
        <w:tc>
          <w:tcPr>
            <w:tcW w:w="536" w:type="dxa"/>
            <w:tcBorders>
              <w:top w:val="single" w:color="auto" w:sz="4" w:space="0"/>
              <w:left w:val="nil"/>
              <w:bottom w:val="single" w:color="auto" w:sz="4" w:space="0"/>
              <w:right w:val="single" w:color="auto" w:sz="4" w:space="0"/>
            </w:tcBorders>
            <w:vAlign w:val="center"/>
          </w:tcPr>
          <w:p w14:paraId="4B56EBCD">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14:paraId="1C61B06D">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9.8</w:t>
            </w:r>
          </w:p>
        </w:tc>
        <w:tc>
          <w:tcPr>
            <w:tcW w:w="1240" w:type="dxa"/>
            <w:gridSpan w:val="2"/>
            <w:tcBorders>
              <w:top w:val="single" w:color="auto" w:sz="4" w:space="0"/>
              <w:left w:val="nil"/>
              <w:bottom w:val="single" w:color="auto" w:sz="4" w:space="0"/>
              <w:right w:val="single" w:color="auto" w:sz="4" w:space="0"/>
            </w:tcBorders>
            <w:vAlign w:val="center"/>
          </w:tcPr>
          <w:p w14:paraId="72FA85FE">
            <w:pPr>
              <w:widowControl/>
              <w:spacing w:line="0" w:lineRule="atLeast"/>
              <w:jc w:val="left"/>
              <w:rPr>
                <w:rFonts w:eastAsia="仿宋_GB2312"/>
                <w:kern w:val="0"/>
                <w:szCs w:val="21"/>
              </w:rPr>
            </w:pPr>
            <w:r>
              <w:rPr>
                <w:rFonts w:hint="eastAsia" w:eastAsia="仿宋_GB2312"/>
                <w:kern w:val="0"/>
                <w:szCs w:val="21"/>
              </w:rPr>
              <w:t>　</w:t>
            </w:r>
          </w:p>
        </w:tc>
      </w:tr>
      <w:tr w14:paraId="5C39462C">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14:paraId="142971FF">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14:paraId="58E0FE47">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14:paraId="0CBC101A">
            <w:pPr>
              <w:widowControl/>
              <w:spacing w:line="0" w:lineRule="atLeast"/>
              <w:jc w:val="center"/>
              <w:rPr>
                <w:rFonts w:eastAsia="仿宋_GB2312"/>
                <w:kern w:val="0"/>
                <w:szCs w:val="21"/>
              </w:rPr>
            </w:pPr>
            <w:r>
              <w:rPr>
                <w:rFonts w:hint="eastAsia" w:eastAsia="仿宋_GB2312"/>
                <w:kern w:val="0"/>
                <w:szCs w:val="21"/>
              </w:rPr>
              <w:t>质量指标</w:t>
            </w:r>
          </w:p>
        </w:tc>
        <w:tc>
          <w:tcPr>
            <w:tcW w:w="1399" w:type="dxa"/>
            <w:tcBorders>
              <w:top w:val="single" w:color="auto" w:sz="4" w:space="0"/>
              <w:left w:val="nil"/>
              <w:bottom w:val="single" w:color="auto" w:sz="4" w:space="0"/>
              <w:right w:val="single" w:color="auto" w:sz="4" w:space="0"/>
            </w:tcBorders>
            <w:vAlign w:val="center"/>
          </w:tcPr>
          <w:p w14:paraId="0F9D45E2">
            <w:pPr>
              <w:widowControl/>
              <w:spacing w:line="0" w:lineRule="atLeast"/>
              <w:jc w:val="left"/>
              <w:rPr>
                <w:rFonts w:eastAsia="仿宋_GB2312"/>
                <w:kern w:val="0"/>
                <w:szCs w:val="21"/>
              </w:rPr>
            </w:pPr>
            <w:r>
              <w:rPr>
                <w:rFonts w:hint="eastAsia" w:eastAsia="仿宋_GB2312"/>
                <w:kern w:val="0"/>
                <w:szCs w:val="21"/>
              </w:rPr>
              <w:t>有效使用公用经费占比</w:t>
            </w:r>
          </w:p>
        </w:tc>
        <w:tc>
          <w:tcPr>
            <w:tcW w:w="0" w:type="auto"/>
            <w:tcBorders>
              <w:top w:val="single" w:color="auto" w:sz="4" w:space="0"/>
              <w:left w:val="nil"/>
              <w:bottom w:val="single" w:color="auto" w:sz="4" w:space="0"/>
              <w:right w:val="single" w:color="auto" w:sz="4" w:space="0"/>
            </w:tcBorders>
            <w:vAlign w:val="center"/>
          </w:tcPr>
          <w:p w14:paraId="7B22EFB4">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98%</w:t>
            </w:r>
          </w:p>
        </w:tc>
        <w:tc>
          <w:tcPr>
            <w:tcW w:w="974" w:type="dxa"/>
            <w:tcBorders>
              <w:top w:val="single" w:color="auto" w:sz="4" w:space="0"/>
              <w:left w:val="nil"/>
              <w:bottom w:val="single" w:color="auto" w:sz="4" w:space="0"/>
              <w:right w:val="single" w:color="auto" w:sz="4" w:space="0"/>
            </w:tcBorders>
            <w:vAlign w:val="center"/>
          </w:tcPr>
          <w:p w14:paraId="655BDA50">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98%</w:t>
            </w:r>
          </w:p>
        </w:tc>
        <w:tc>
          <w:tcPr>
            <w:tcW w:w="536" w:type="dxa"/>
            <w:tcBorders>
              <w:top w:val="single" w:color="auto" w:sz="4" w:space="0"/>
              <w:left w:val="nil"/>
              <w:bottom w:val="single" w:color="auto" w:sz="4" w:space="0"/>
              <w:right w:val="single" w:color="auto" w:sz="4" w:space="0"/>
            </w:tcBorders>
            <w:vAlign w:val="center"/>
          </w:tcPr>
          <w:p w14:paraId="7D20A028">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429" w:type="dxa"/>
            <w:tcBorders>
              <w:top w:val="single" w:color="auto" w:sz="4" w:space="0"/>
              <w:left w:val="nil"/>
              <w:bottom w:val="single" w:color="auto" w:sz="4" w:space="0"/>
              <w:right w:val="single" w:color="auto" w:sz="4" w:space="0"/>
            </w:tcBorders>
            <w:vAlign w:val="center"/>
          </w:tcPr>
          <w:p w14:paraId="11597477">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9.8</w:t>
            </w:r>
          </w:p>
        </w:tc>
        <w:tc>
          <w:tcPr>
            <w:tcW w:w="1240" w:type="dxa"/>
            <w:gridSpan w:val="2"/>
            <w:tcBorders>
              <w:top w:val="single" w:color="auto" w:sz="4" w:space="0"/>
              <w:left w:val="nil"/>
              <w:bottom w:val="single" w:color="auto" w:sz="4" w:space="0"/>
              <w:right w:val="single" w:color="auto" w:sz="4" w:space="0"/>
            </w:tcBorders>
            <w:vAlign w:val="center"/>
          </w:tcPr>
          <w:p w14:paraId="29693E3B">
            <w:pPr>
              <w:widowControl/>
              <w:spacing w:line="0" w:lineRule="atLeast"/>
              <w:jc w:val="left"/>
              <w:rPr>
                <w:rFonts w:eastAsia="仿宋_GB2312"/>
                <w:kern w:val="0"/>
                <w:szCs w:val="21"/>
              </w:rPr>
            </w:pPr>
            <w:r>
              <w:rPr>
                <w:rFonts w:hint="eastAsia" w:eastAsia="仿宋_GB2312"/>
                <w:kern w:val="0"/>
                <w:szCs w:val="21"/>
              </w:rPr>
              <w:t>　</w:t>
            </w:r>
          </w:p>
        </w:tc>
      </w:tr>
      <w:tr w14:paraId="40C763EF">
        <w:tblPrEx>
          <w:tblCellMar>
            <w:top w:w="0" w:type="dxa"/>
            <w:left w:w="108" w:type="dxa"/>
            <w:bottom w:w="0" w:type="dxa"/>
            <w:right w:w="108" w:type="dxa"/>
          </w:tblCellMar>
        </w:tblPrEx>
        <w:trPr>
          <w:trHeight w:val="696"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14:paraId="4D029265">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14:paraId="73EB2E2D">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14:paraId="3DF3B2CD">
            <w:pPr>
              <w:widowControl/>
              <w:spacing w:line="0" w:lineRule="atLeast"/>
              <w:jc w:val="center"/>
              <w:rPr>
                <w:rFonts w:eastAsia="仿宋_GB2312"/>
                <w:kern w:val="0"/>
                <w:szCs w:val="21"/>
              </w:rPr>
            </w:pPr>
            <w:r>
              <w:rPr>
                <w:rFonts w:hint="eastAsia" w:eastAsia="仿宋_GB2312"/>
                <w:kern w:val="0"/>
                <w:szCs w:val="21"/>
              </w:rPr>
              <w:t>时效指标</w:t>
            </w:r>
          </w:p>
        </w:tc>
        <w:tc>
          <w:tcPr>
            <w:tcW w:w="1399" w:type="dxa"/>
            <w:tcBorders>
              <w:top w:val="single" w:color="auto" w:sz="4" w:space="0"/>
              <w:left w:val="nil"/>
              <w:bottom w:val="single" w:color="auto" w:sz="4" w:space="0"/>
              <w:right w:val="single" w:color="auto" w:sz="4" w:space="0"/>
            </w:tcBorders>
            <w:vAlign w:val="center"/>
          </w:tcPr>
          <w:p w14:paraId="04632709">
            <w:pPr>
              <w:widowControl/>
              <w:spacing w:line="0" w:lineRule="atLeast"/>
              <w:jc w:val="left"/>
              <w:rPr>
                <w:rFonts w:eastAsia="仿宋_GB2312"/>
                <w:kern w:val="0"/>
                <w:szCs w:val="21"/>
              </w:rPr>
            </w:pPr>
            <w:r>
              <w:rPr>
                <w:rFonts w:hint="eastAsia" w:eastAsia="仿宋_GB2312"/>
                <w:kern w:val="0"/>
                <w:szCs w:val="21"/>
              </w:rPr>
              <w:t>完成时间</w:t>
            </w:r>
          </w:p>
        </w:tc>
        <w:tc>
          <w:tcPr>
            <w:tcW w:w="0" w:type="auto"/>
            <w:tcBorders>
              <w:top w:val="single" w:color="auto" w:sz="4" w:space="0"/>
              <w:left w:val="nil"/>
              <w:bottom w:val="single" w:color="auto" w:sz="4" w:space="0"/>
              <w:right w:val="single" w:color="auto" w:sz="4" w:space="0"/>
            </w:tcBorders>
            <w:vAlign w:val="center"/>
          </w:tcPr>
          <w:p w14:paraId="3F6C2839">
            <w:pPr>
              <w:widowControl/>
              <w:spacing w:line="0" w:lineRule="atLeast"/>
              <w:jc w:val="left"/>
              <w:rPr>
                <w:rFonts w:eastAsia="仿宋_GB2312"/>
                <w:kern w:val="0"/>
                <w:szCs w:val="21"/>
              </w:rPr>
            </w:pPr>
            <w:r>
              <w:rPr>
                <w:rFonts w:hint="eastAsia" w:eastAsia="仿宋_GB2312"/>
                <w:kern w:val="0"/>
                <w:szCs w:val="21"/>
              </w:rPr>
              <w:t>202</w:t>
            </w:r>
            <w:r>
              <w:rPr>
                <w:rFonts w:hint="eastAsia" w:eastAsia="仿宋_GB2312"/>
                <w:kern w:val="0"/>
                <w:szCs w:val="21"/>
                <w:lang w:val="en-US" w:eastAsia="zh-CN"/>
              </w:rPr>
              <w:t>3</w:t>
            </w:r>
            <w:r>
              <w:rPr>
                <w:rFonts w:hint="eastAsia" w:eastAsia="仿宋_GB2312"/>
                <w:kern w:val="0"/>
                <w:szCs w:val="21"/>
              </w:rPr>
              <w:t>年12月底之前　</w:t>
            </w:r>
          </w:p>
        </w:tc>
        <w:tc>
          <w:tcPr>
            <w:tcW w:w="974" w:type="dxa"/>
            <w:tcBorders>
              <w:top w:val="single" w:color="auto" w:sz="4" w:space="0"/>
              <w:left w:val="nil"/>
              <w:bottom w:val="single" w:color="auto" w:sz="4" w:space="0"/>
              <w:right w:val="single" w:color="auto" w:sz="4" w:space="0"/>
            </w:tcBorders>
            <w:vAlign w:val="center"/>
          </w:tcPr>
          <w:p w14:paraId="04355E81">
            <w:pPr>
              <w:widowControl/>
              <w:spacing w:line="0" w:lineRule="atLeast"/>
              <w:jc w:val="left"/>
              <w:rPr>
                <w:rFonts w:eastAsia="仿宋_GB2312"/>
                <w:kern w:val="0"/>
                <w:szCs w:val="21"/>
              </w:rPr>
            </w:pPr>
            <w:r>
              <w:rPr>
                <w:rFonts w:hint="eastAsia" w:eastAsia="仿宋_GB2312"/>
                <w:kern w:val="0"/>
                <w:szCs w:val="21"/>
              </w:rPr>
              <w:t>　202</w:t>
            </w:r>
            <w:r>
              <w:rPr>
                <w:rFonts w:hint="eastAsia" w:eastAsia="仿宋_GB2312"/>
                <w:kern w:val="0"/>
                <w:szCs w:val="21"/>
                <w:lang w:val="en-US" w:eastAsia="zh-CN"/>
              </w:rPr>
              <w:t>3</w:t>
            </w:r>
            <w:r>
              <w:rPr>
                <w:rFonts w:hint="eastAsia" w:eastAsia="仿宋_GB2312"/>
                <w:kern w:val="0"/>
                <w:szCs w:val="21"/>
              </w:rPr>
              <w:t>年12月底之前</w:t>
            </w:r>
          </w:p>
        </w:tc>
        <w:tc>
          <w:tcPr>
            <w:tcW w:w="536" w:type="dxa"/>
            <w:tcBorders>
              <w:top w:val="single" w:color="auto" w:sz="4" w:space="0"/>
              <w:left w:val="nil"/>
              <w:bottom w:val="single" w:color="auto" w:sz="4" w:space="0"/>
              <w:right w:val="single" w:color="auto" w:sz="4" w:space="0"/>
            </w:tcBorders>
            <w:vAlign w:val="center"/>
          </w:tcPr>
          <w:p w14:paraId="1E1E8A50">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14:paraId="79153529">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14:paraId="56350ED4">
            <w:pPr>
              <w:widowControl/>
              <w:spacing w:line="0" w:lineRule="atLeast"/>
              <w:jc w:val="left"/>
              <w:rPr>
                <w:rFonts w:eastAsia="仿宋_GB2312"/>
                <w:kern w:val="0"/>
                <w:szCs w:val="21"/>
              </w:rPr>
            </w:pPr>
            <w:r>
              <w:rPr>
                <w:rFonts w:hint="eastAsia" w:eastAsia="仿宋_GB2312"/>
                <w:kern w:val="0"/>
                <w:szCs w:val="21"/>
              </w:rPr>
              <w:t>　</w:t>
            </w:r>
          </w:p>
        </w:tc>
      </w:tr>
      <w:tr w14:paraId="6792D954">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14:paraId="464CAAB3">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14:paraId="4BD2393D">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14:paraId="02AA7E5B">
            <w:pPr>
              <w:widowControl/>
              <w:spacing w:line="0" w:lineRule="atLeast"/>
              <w:jc w:val="center"/>
              <w:rPr>
                <w:rFonts w:eastAsia="仿宋_GB2312"/>
                <w:kern w:val="0"/>
                <w:szCs w:val="21"/>
              </w:rPr>
            </w:pPr>
            <w:r>
              <w:rPr>
                <w:rFonts w:hint="eastAsia" w:eastAsia="仿宋_GB2312"/>
                <w:kern w:val="0"/>
                <w:szCs w:val="21"/>
              </w:rPr>
              <w:t>成本指标</w:t>
            </w:r>
          </w:p>
        </w:tc>
        <w:tc>
          <w:tcPr>
            <w:tcW w:w="1399" w:type="dxa"/>
            <w:tcBorders>
              <w:top w:val="single" w:color="auto" w:sz="4" w:space="0"/>
              <w:left w:val="nil"/>
              <w:bottom w:val="single" w:color="auto" w:sz="4" w:space="0"/>
              <w:right w:val="single" w:color="auto" w:sz="4" w:space="0"/>
            </w:tcBorders>
            <w:vAlign w:val="center"/>
          </w:tcPr>
          <w:p w14:paraId="536F3D17">
            <w:pPr>
              <w:widowControl/>
              <w:spacing w:line="0" w:lineRule="atLeast"/>
              <w:jc w:val="left"/>
              <w:rPr>
                <w:rFonts w:eastAsia="仿宋_GB2312"/>
                <w:kern w:val="0"/>
                <w:szCs w:val="21"/>
              </w:rPr>
            </w:pPr>
            <w:r>
              <w:rPr>
                <w:rFonts w:hint="eastAsia" w:eastAsia="仿宋_GB2312"/>
                <w:kern w:val="0"/>
                <w:szCs w:val="21"/>
              </w:rPr>
              <w:t>公用经费支出总额</w:t>
            </w:r>
          </w:p>
        </w:tc>
        <w:tc>
          <w:tcPr>
            <w:tcW w:w="0" w:type="auto"/>
            <w:tcBorders>
              <w:top w:val="single" w:color="auto" w:sz="4" w:space="0"/>
              <w:left w:val="nil"/>
              <w:bottom w:val="single" w:color="auto" w:sz="4" w:space="0"/>
              <w:right w:val="single" w:color="auto" w:sz="4" w:space="0"/>
            </w:tcBorders>
            <w:vAlign w:val="center"/>
          </w:tcPr>
          <w:p w14:paraId="14777D1C">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2859000</w:t>
            </w:r>
          </w:p>
        </w:tc>
        <w:tc>
          <w:tcPr>
            <w:tcW w:w="974" w:type="dxa"/>
            <w:tcBorders>
              <w:top w:val="single" w:color="auto" w:sz="4" w:space="0"/>
              <w:left w:val="nil"/>
              <w:bottom w:val="single" w:color="auto" w:sz="4" w:space="0"/>
              <w:right w:val="single" w:color="auto" w:sz="4" w:space="0"/>
            </w:tcBorders>
            <w:vAlign w:val="center"/>
          </w:tcPr>
          <w:p w14:paraId="784E1772">
            <w:pPr>
              <w:widowControl/>
              <w:spacing w:line="0" w:lineRule="atLeast"/>
              <w:jc w:val="left"/>
              <w:rPr>
                <w:rFonts w:eastAsia="仿宋_GB2312"/>
                <w:kern w:val="0"/>
                <w:szCs w:val="21"/>
              </w:rPr>
            </w:pPr>
            <w:r>
              <w:rPr>
                <w:rFonts w:hint="eastAsia" w:eastAsia="仿宋_GB2312"/>
                <w:kern w:val="0"/>
                <w:szCs w:val="21"/>
                <w:lang w:val="en-US" w:eastAsia="zh-CN"/>
              </w:rPr>
              <w:t>2859000</w:t>
            </w:r>
          </w:p>
        </w:tc>
        <w:tc>
          <w:tcPr>
            <w:tcW w:w="536" w:type="dxa"/>
            <w:tcBorders>
              <w:top w:val="single" w:color="auto" w:sz="4" w:space="0"/>
              <w:left w:val="nil"/>
              <w:bottom w:val="single" w:color="auto" w:sz="4" w:space="0"/>
              <w:right w:val="single" w:color="auto" w:sz="4" w:space="0"/>
            </w:tcBorders>
            <w:vAlign w:val="center"/>
          </w:tcPr>
          <w:p w14:paraId="0AF127B2">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14:paraId="0256F90E">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14:paraId="091B16E3">
            <w:pPr>
              <w:widowControl/>
              <w:spacing w:line="0" w:lineRule="atLeast"/>
              <w:jc w:val="left"/>
              <w:rPr>
                <w:rFonts w:eastAsia="仿宋_GB2312"/>
                <w:kern w:val="0"/>
                <w:szCs w:val="21"/>
              </w:rPr>
            </w:pPr>
            <w:r>
              <w:rPr>
                <w:rFonts w:hint="eastAsia" w:eastAsia="仿宋_GB2312"/>
                <w:kern w:val="0"/>
                <w:szCs w:val="21"/>
              </w:rPr>
              <w:t>　</w:t>
            </w:r>
          </w:p>
        </w:tc>
      </w:tr>
      <w:tr w14:paraId="1C32296F">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14:paraId="049C35B0">
            <w:pPr>
              <w:widowControl/>
              <w:spacing w:line="0" w:lineRule="atLeast"/>
              <w:jc w:val="left"/>
              <w:rPr>
                <w:rFonts w:eastAsia="仿宋_GB2312"/>
                <w:kern w:val="0"/>
                <w:szCs w:val="21"/>
              </w:rPr>
            </w:pPr>
          </w:p>
        </w:tc>
        <w:tc>
          <w:tcPr>
            <w:tcW w:w="745" w:type="dxa"/>
            <w:vMerge w:val="restart"/>
            <w:tcBorders>
              <w:top w:val="single" w:color="auto" w:sz="4" w:space="0"/>
              <w:left w:val="nil"/>
              <w:bottom w:val="single" w:color="auto" w:sz="4" w:space="0"/>
              <w:right w:val="single" w:color="auto" w:sz="4" w:space="0"/>
            </w:tcBorders>
            <w:vAlign w:val="center"/>
          </w:tcPr>
          <w:p w14:paraId="1BC902A6">
            <w:pPr>
              <w:widowControl/>
              <w:spacing w:line="0" w:lineRule="atLeast"/>
              <w:jc w:val="center"/>
              <w:rPr>
                <w:rFonts w:eastAsia="仿宋_GB2312"/>
                <w:kern w:val="0"/>
                <w:szCs w:val="21"/>
              </w:rPr>
            </w:pPr>
            <w:r>
              <w:rPr>
                <w:rFonts w:hint="eastAsia" w:eastAsia="仿宋_GB2312"/>
                <w:kern w:val="0"/>
                <w:szCs w:val="21"/>
              </w:rPr>
              <w:t>效益</w:t>
            </w:r>
          </w:p>
          <w:p w14:paraId="1E2F627B">
            <w:pPr>
              <w:widowControl/>
              <w:spacing w:line="0" w:lineRule="atLeast"/>
              <w:jc w:val="center"/>
              <w:rPr>
                <w:rFonts w:eastAsia="仿宋_GB2312"/>
                <w:kern w:val="0"/>
                <w:szCs w:val="21"/>
              </w:rPr>
            </w:pPr>
            <w:r>
              <w:rPr>
                <w:rFonts w:hint="eastAsia" w:eastAsia="仿宋_GB2312"/>
                <w:kern w:val="0"/>
                <w:szCs w:val="21"/>
              </w:rPr>
              <w:t>指标</w:t>
            </w:r>
          </w:p>
          <w:p w14:paraId="5F483EF9">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986" w:type="dxa"/>
            <w:tcBorders>
              <w:top w:val="single" w:color="auto" w:sz="4" w:space="0"/>
              <w:left w:val="nil"/>
              <w:bottom w:val="single" w:color="auto" w:sz="4" w:space="0"/>
              <w:right w:val="single" w:color="auto" w:sz="4" w:space="0"/>
            </w:tcBorders>
            <w:vAlign w:val="center"/>
          </w:tcPr>
          <w:p w14:paraId="53586A21">
            <w:pPr>
              <w:widowControl/>
              <w:spacing w:line="0" w:lineRule="atLeast"/>
              <w:jc w:val="center"/>
              <w:rPr>
                <w:rFonts w:eastAsia="仿宋_GB2312"/>
                <w:kern w:val="0"/>
                <w:szCs w:val="21"/>
              </w:rPr>
            </w:pPr>
            <w:r>
              <w:rPr>
                <w:rFonts w:hint="eastAsia" w:eastAsia="仿宋_GB2312"/>
                <w:kern w:val="0"/>
                <w:szCs w:val="21"/>
              </w:rPr>
              <w:t>经济效</w:t>
            </w:r>
          </w:p>
          <w:p w14:paraId="7E649FE9">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nil"/>
              <w:bottom w:val="single" w:color="auto" w:sz="4" w:space="0"/>
              <w:right w:val="single" w:color="auto" w:sz="4" w:space="0"/>
            </w:tcBorders>
            <w:vAlign w:val="center"/>
          </w:tcPr>
          <w:p w14:paraId="0C36AC62">
            <w:pPr>
              <w:widowControl/>
              <w:spacing w:line="0" w:lineRule="atLeast"/>
              <w:jc w:val="left"/>
              <w:rPr>
                <w:rFonts w:eastAsia="仿宋_GB2312"/>
                <w:kern w:val="0"/>
                <w:szCs w:val="21"/>
              </w:rPr>
            </w:pPr>
            <w:r>
              <w:rPr>
                <w:rFonts w:hint="eastAsia" w:eastAsia="仿宋_GB2312"/>
                <w:kern w:val="0"/>
                <w:szCs w:val="21"/>
              </w:rPr>
              <w:t>节约成本，充分发挥资金效益</w:t>
            </w:r>
          </w:p>
        </w:tc>
        <w:tc>
          <w:tcPr>
            <w:tcW w:w="0" w:type="auto"/>
            <w:tcBorders>
              <w:top w:val="single" w:color="auto" w:sz="4" w:space="0"/>
              <w:left w:val="nil"/>
              <w:bottom w:val="single" w:color="auto" w:sz="4" w:space="0"/>
              <w:right w:val="single" w:color="auto" w:sz="4" w:space="0"/>
            </w:tcBorders>
            <w:vAlign w:val="center"/>
          </w:tcPr>
          <w:p w14:paraId="151E96A3">
            <w:pPr>
              <w:widowControl/>
              <w:spacing w:line="0" w:lineRule="atLeast"/>
              <w:jc w:val="left"/>
              <w:rPr>
                <w:rFonts w:eastAsia="仿宋_GB2312"/>
                <w:kern w:val="0"/>
                <w:szCs w:val="21"/>
              </w:rPr>
            </w:pPr>
            <w:r>
              <w:rPr>
                <w:rFonts w:hint="eastAsia" w:eastAsia="仿宋_GB2312"/>
                <w:kern w:val="0"/>
                <w:szCs w:val="21"/>
                <w:lang w:val="en-US" w:eastAsia="zh-CN"/>
              </w:rPr>
              <w:t>效果好</w:t>
            </w:r>
            <w:r>
              <w:rPr>
                <w:rFonts w:hint="eastAsia" w:eastAsia="仿宋_GB2312"/>
                <w:kern w:val="0"/>
                <w:szCs w:val="21"/>
              </w:rPr>
              <w:t>　</w:t>
            </w:r>
          </w:p>
        </w:tc>
        <w:tc>
          <w:tcPr>
            <w:tcW w:w="974" w:type="dxa"/>
            <w:tcBorders>
              <w:top w:val="single" w:color="auto" w:sz="4" w:space="0"/>
              <w:left w:val="nil"/>
              <w:bottom w:val="single" w:color="auto" w:sz="4" w:space="0"/>
              <w:right w:val="single" w:color="auto" w:sz="4" w:space="0"/>
            </w:tcBorders>
            <w:vAlign w:val="center"/>
          </w:tcPr>
          <w:p w14:paraId="5F75AC03">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536" w:type="dxa"/>
            <w:tcBorders>
              <w:top w:val="single" w:color="auto" w:sz="4" w:space="0"/>
              <w:left w:val="nil"/>
              <w:bottom w:val="single" w:color="auto" w:sz="4" w:space="0"/>
              <w:right w:val="single" w:color="auto" w:sz="4" w:space="0"/>
            </w:tcBorders>
            <w:vAlign w:val="center"/>
          </w:tcPr>
          <w:p w14:paraId="4A8C6FD4">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14:paraId="5F069BA1">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14:paraId="5AD44C6A">
            <w:pPr>
              <w:widowControl/>
              <w:spacing w:line="0" w:lineRule="atLeast"/>
              <w:jc w:val="left"/>
              <w:rPr>
                <w:rFonts w:eastAsia="仿宋_GB2312"/>
                <w:kern w:val="0"/>
                <w:szCs w:val="21"/>
              </w:rPr>
            </w:pPr>
            <w:r>
              <w:rPr>
                <w:rFonts w:hint="eastAsia" w:eastAsia="仿宋_GB2312"/>
                <w:kern w:val="0"/>
                <w:szCs w:val="21"/>
              </w:rPr>
              <w:t>　</w:t>
            </w:r>
          </w:p>
        </w:tc>
      </w:tr>
      <w:tr w14:paraId="63AACAA6">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14:paraId="573A8F51">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14:paraId="0D459AAC">
            <w:pPr>
              <w:widowControl/>
              <w:spacing w:line="0" w:lineRule="atLeast"/>
              <w:jc w:val="left"/>
              <w:rPr>
                <w:rFonts w:eastAsia="仿宋_GB2312"/>
                <w:kern w:val="0"/>
                <w:szCs w:val="21"/>
              </w:rPr>
            </w:pPr>
          </w:p>
        </w:tc>
        <w:tc>
          <w:tcPr>
            <w:tcW w:w="986" w:type="dxa"/>
            <w:tcBorders>
              <w:top w:val="single" w:color="auto" w:sz="4" w:space="0"/>
              <w:left w:val="nil"/>
              <w:bottom w:val="single" w:color="auto" w:sz="4" w:space="0"/>
              <w:right w:val="single" w:color="auto" w:sz="4" w:space="0"/>
            </w:tcBorders>
            <w:vAlign w:val="center"/>
          </w:tcPr>
          <w:p w14:paraId="3A108E03">
            <w:pPr>
              <w:widowControl/>
              <w:spacing w:line="0" w:lineRule="atLeast"/>
              <w:jc w:val="center"/>
              <w:rPr>
                <w:rFonts w:eastAsia="仿宋_GB2312"/>
                <w:kern w:val="0"/>
                <w:szCs w:val="21"/>
              </w:rPr>
            </w:pPr>
            <w:r>
              <w:rPr>
                <w:rFonts w:hint="eastAsia" w:eastAsia="仿宋_GB2312"/>
                <w:kern w:val="0"/>
                <w:szCs w:val="21"/>
              </w:rPr>
              <w:t>社会效</w:t>
            </w:r>
          </w:p>
          <w:p w14:paraId="160FFFD9">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nil"/>
              <w:bottom w:val="single" w:color="auto" w:sz="4" w:space="0"/>
              <w:right w:val="single" w:color="auto" w:sz="4" w:space="0"/>
            </w:tcBorders>
            <w:vAlign w:val="center"/>
          </w:tcPr>
          <w:p w14:paraId="738F6F1F">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树立政府形象，增强政府公信力</w:t>
            </w:r>
          </w:p>
        </w:tc>
        <w:tc>
          <w:tcPr>
            <w:tcW w:w="0" w:type="auto"/>
            <w:tcBorders>
              <w:top w:val="single" w:color="auto" w:sz="4" w:space="0"/>
              <w:left w:val="nil"/>
              <w:bottom w:val="single" w:color="auto" w:sz="4" w:space="0"/>
              <w:right w:val="single" w:color="auto" w:sz="4" w:space="0"/>
            </w:tcBorders>
            <w:vAlign w:val="center"/>
          </w:tcPr>
          <w:p w14:paraId="23BF2E0F">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nil"/>
              <w:bottom w:val="single" w:color="auto" w:sz="4" w:space="0"/>
              <w:right w:val="single" w:color="auto" w:sz="4" w:space="0"/>
            </w:tcBorders>
            <w:vAlign w:val="center"/>
          </w:tcPr>
          <w:p w14:paraId="00FE524A">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nil"/>
              <w:bottom w:val="single" w:color="auto" w:sz="4" w:space="0"/>
              <w:right w:val="single" w:color="auto" w:sz="4" w:space="0"/>
            </w:tcBorders>
            <w:vAlign w:val="center"/>
          </w:tcPr>
          <w:p w14:paraId="7241FB1B">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14:paraId="3B127A12">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nil"/>
              <w:bottom w:val="single" w:color="auto" w:sz="4" w:space="0"/>
              <w:right w:val="single" w:color="auto" w:sz="4" w:space="0"/>
            </w:tcBorders>
            <w:vAlign w:val="center"/>
          </w:tcPr>
          <w:p w14:paraId="207EAF22">
            <w:pPr>
              <w:widowControl/>
              <w:spacing w:line="0" w:lineRule="atLeast"/>
              <w:jc w:val="left"/>
              <w:rPr>
                <w:rFonts w:eastAsia="仿宋_GB2312"/>
                <w:kern w:val="0"/>
                <w:szCs w:val="21"/>
              </w:rPr>
            </w:pPr>
            <w:r>
              <w:rPr>
                <w:rFonts w:hint="eastAsia" w:eastAsia="仿宋_GB2312"/>
                <w:kern w:val="0"/>
                <w:szCs w:val="21"/>
              </w:rPr>
              <w:t>　</w:t>
            </w:r>
          </w:p>
        </w:tc>
      </w:tr>
      <w:tr w14:paraId="496DA769">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14:paraId="145F2B7B">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14:paraId="745BC79B">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14:paraId="29B56568">
            <w:pPr>
              <w:widowControl/>
              <w:spacing w:line="0" w:lineRule="atLeast"/>
              <w:jc w:val="center"/>
              <w:rPr>
                <w:rFonts w:eastAsia="仿宋_GB2312"/>
                <w:kern w:val="0"/>
                <w:szCs w:val="21"/>
              </w:rPr>
            </w:pPr>
            <w:r>
              <w:rPr>
                <w:rFonts w:hint="eastAsia" w:eastAsia="仿宋_GB2312"/>
                <w:kern w:val="0"/>
                <w:szCs w:val="21"/>
              </w:rPr>
              <w:t>生态效</w:t>
            </w:r>
          </w:p>
          <w:p w14:paraId="33B18246">
            <w:pPr>
              <w:widowControl/>
              <w:spacing w:line="0" w:lineRule="atLeast"/>
              <w:jc w:val="center"/>
              <w:rPr>
                <w:rFonts w:eastAsia="仿宋_GB2312"/>
                <w:kern w:val="0"/>
                <w:szCs w:val="21"/>
              </w:rPr>
            </w:pPr>
            <w:r>
              <w:rPr>
                <w:rFonts w:hint="eastAsia" w:eastAsia="仿宋_GB2312"/>
                <w:kern w:val="0"/>
                <w:szCs w:val="21"/>
              </w:rPr>
              <w:t>益指标</w:t>
            </w:r>
          </w:p>
        </w:tc>
        <w:tc>
          <w:tcPr>
            <w:tcW w:w="1399" w:type="dxa"/>
            <w:tcBorders>
              <w:top w:val="single" w:color="auto" w:sz="4" w:space="0"/>
              <w:left w:val="single" w:color="auto" w:sz="4" w:space="0"/>
              <w:bottom w:val="single" w:color="auto" w:sz="4" w:space="0"/>
              <w:right w:val="single" w:color="auto" w:sz="4" w:space="0"/>
            </w:tcBorders>
            <w:vAlign w:val="center"/>
          </w:tcPr>
          <w:p w14:paraId="4110EE41">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维护环境保护，节约能源</w:t>
            </w:r>
          </w:p>
        </w:tc>
        <w:tc>
          <w:tcPr>
            <w:tcW w:w="0" w:type="auto"/>
            <w:tcBorders>
              <w:top w:val="single" w:color="auto" w:sz="4" w:space="0"/>
              <w:left w:val="single" w:color="auto" w:sz="4" w:space="0"/>
              <w:bottom w:val="single" w:color="auto" w:sz="4" w:space="0"/>
              <w:right w:val="single" w:color="auto" w:sz="4" w:space="0"/>
            </w:tcBorders>
            <w:vAlign w:val="center"/>
          </w:tcPr>
          <w:p w14:paraId="6999EE5B">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14:paraId="2053EAE2">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14:paraId="1019CE87">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14:paraId="1AB9E0CB">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240" w:type="dxa"/>
            <w:gridSpan w:val="2"/>
            <w:tcBorders>
              <w:top w:val="single" w:color="auto" w:sz="4" w:space="0"/>
              <w:left w:val="nil"/>
              <w:bottom w:val="single" w:color="auto" w:sz="4" w:space="0"/>
              <w:right w:val="single" w:color="auto" w:sz="4" w:space="0"/>
            </w:tcBorders>
            <w:vAlign w:val="center"/>
          </w:tcPr>
          <w:p w14:paraId="6A29A631">
            <w:pPr>
              <w:widowControl/>
              <w:spacing w:line="0" w:lineRule="atLeast"/>
              <w:jc w:val="left"/>
              <w:rPr>
                <w:rFonts w:eastAsia="仿宋_GB2312"/>
                <w:kern w:val="0"/>
                <w:szCs w:val="21"/>
              </w:rPr>
            </w:pPr>
            <w:r>
              <w:rPr>
                <w:rFonts w:hint="eastAsia" w:eastAsia="仿宋_GB2312"/>
                <w:kern w:val="0"/>
                <w:szCs w:val="21"/>
              </w:rPr>
              <w:t>　</w:t>
            </w:r>
          </w:p>
        </w:tc>
      </w:tr>
      <w:tr w14:paraId="0E375CCF">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14:paraId="27CE3D7F">
            <w:pPr>
              <w:widowControl/>
              <w:spacing w:line="0" w:lineRule="atLeast"/>
              <w:jc w:val="left"/>
              <w:rPr>
                <w:rFonts w:eastAsia="仿宋_GB2312"/>
                <w:kern w:val="0"/>
                <w:szCs w:val="21"/>
              </w:rPr>
            </w:pPr>
          </w:p>
        </w:tc>
        <w:tc>
          <w:tcPr>
            <w:tcW w:w="745" w:type="dxa"/>
            <w:vMerge w:val="continue"/>
            <w:tcBorders>
              <w:top w:val="single" w:color="auto" w:sz="4" w:space="0"/>
              <w:left w:val="nil"/>
              <w:bottom w:val="single" w:color="auto" w:sz="4" w:space="0"/>
              <w:right w:val="single" w:color="auto" w:sz="4" w:space="0"/>
            </w:tcBorders>
            <w:vAlign w:val="center"/>
          </w:tcPr>
          <w:p w14:paraId="389ABB11">
            <w:pPr>
              <w:widowControl/>
              <w:spacing w:line="0" w:lineRule="atLeast"/>
              <w:jc w:val="left"/>
              <w:rPr>
                <w:rFonts w:eastAsia="仿宋_GB2312"/>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14:paraId="2A311D04">
            <w:pPr>
              <w:widowControl/>
              <w:spacing w:line="0" w:lineRule="atLeast"/>
              <w:jc w:val="center"/>
              <w:rPr>
                <w:rFonts w:eastAsia="仿宋_GB2312"/>
                <w:kern w:val="0"/>
                <w:szCs w:val="21"/>
              </w:rPr>
            </w:pPr>
            <w:r>
              <w:rPr>
                <w:rFonts w:hint="eastAsia" w:eastAsia="仿宋_GB2312"/>
                <w:kern w:val="0"/>
                <w:szCs w:val="21"/>
              </w:rPr>
              <w:t>可持续影响指标</w:t>
            </w:r>
          </w:p>
        </w:tc>
        <w:tc>
          <w:tcPr>
            <w:tcW w:w="1399" w:type="dxa"/>
            <w:tcBorders>
              <w:top w:val="single" w:color="auto" w:sz="4" w:space="0"/>
              <w:left w:val="single" w:color="auto" w:sz="4" w:space="0"/>
              <w:bottom w:val="single" w:color="auto" w:sz="4" w:space="0"/>
              <w:right w:val="single" w:color="auto" w:sz="4" w:space="0"/>
            </w:tcBorders>
            <w:vAlign w:val="center"/>
          </w:tcPr>
          <w:p w14:paraId="3FB3D7E5">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促进可持续发展</w:t>
            </w:r>
          </w:p>
        </w:tc>
        <w:tc>
          <w:tcPr>
            <w:tcW w:w="0" w:type="auto"/>
            <w:tcBorders>
              <w:top w:val="single" w:color="auto" w:sz="4" w:space="0"/>
              <w:left w:val="single" w:color="auto" w:sz="4" w:space="0"/>
              <w:bottom w:val="single" w:color="auto" w:sz="4" w:space="0"/>
              <w:right w:val="single" w:color="auto" w:sz="4" w:space="0"/>
            </w:tcBorders>
            <w:vAlign w:val="center"/>
          </w:tcPr>
          <w:p w14:paraId="1A1062BF">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效果好</w:t>
            </w:r>
          </w:p>
        </w:tc>
        <w:tc>
          <w:tcPr>
            <w:tcW w:w="974" w:type="dxa"/>
            <w:tcBorders>
              <w:top w:val="single" w:color="auto" w:sz="4" w:space="0"/>
              <w:left w:val="single" w:color="auto" w:sz="4" w:space="0"/>
              <w:bottom w:val="single" w:color="auto" w:sz="4" w:space="0"/>
              <w:right w:val="single" w:color="auto" w:sz="4" w:space="0"/>
            </w:tcBorders>
            <w:vAlign w:val="center"/>
          </w:tcPr>
          <w:p w14:paraId="204597C3">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效果好</w:t>
            </w:r>
          </w:p>
        </w:tc>
        <w:tc>
          <w:tcPr>
            <w:tcW w:w="536" w:type="dxa"/>
            <w:tcBorders>
              <w:top w:val="single" w:color="auto" w:sz="4" w:space="0"/>
              <w:left w:val="single" w:color="auto" w:sz="4" w:space="0"/>
              <w:bottom w:val="single" w:color="auto" w:sz="4" w:space="0"/>
              <w:right w:val="single" w:color="auto" w:sz="4" w:space="0"/>
            </w:tcBorders>
            <w:vAlign w:val="center"/>
          </w:tcPr>
          <w:p w14:paraId="2DDA2547">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single" w:color="auto" w:sz="4" w:space="0"/>
              <w:left w:val="single" w:color="auto" w:sz="4" w:space="0"/>
              <w:bottom w:val="single" w:color="auto" w:sz="4" w:space="0"/>
              <w:right w:val="single" w:color="auto" w:sz="4" w:space="0"/>
            </w:tcBorders>
            <w:vAlign w:val="center"/>
          </w:tcPr>
          <w:p w14:paraId="16684683">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single" w:color="auto" w:sz="4" w:space="0"/>
              <w:left w:val="single" w:color="auto" w:sz="4" w:space="0"/>
              <w:bottom w:val="single" w:color="auto" w:sz="4" w:space="0"/>
              <w:right w:val="single" w:color="auto" w:sz="4" w:space="0"/>
            </w:tcBorders>
            <w:vAlign w:val="center"/>
          </w:tcPr>
          <w:p w14:paraId="3A72C646">
            <w:pPr>
              <w:widowControl/>
              <w:spacing w:line="0" w:lineRule="atLeast"/>
              <w:jc w:val="left"/>
              <w:rPr>
                <w:rFonts w:eastAsia="仿宋_GB2312"/>
                <w:kern w:val="0"/>
                <w:szCs w:val="21"/>
              </w:rPr>
            </w:pPr>
            <w:r>
              <w:rPr>
                <w:rFonts w:hint="eastAsia" w:eastAsia="仿宋_GB2312"/>
                <w:kern w:val="0"/>
                <w:szCs w:val="21"/>
              </w:rPr>
              <w:t>　</w:t>
            </w:r>
          </w:p>
        </w:tc>
      </w:tr>
      <w:tr w14:paraId="1DB40394">
        <w:tblPrEx>
          <w:tblCellMar>
            <w:top w:w="0" w:type="dxa"/>
            <w:left w:w="108" w:type="dxa"/>
            <w:bottom w:w="0" w:type="dxa"/>
            <w:right w:w="108" w:type="dxa"/>
          </w:tblCellMar>
        </w:tblPrEx>
        <w:trPr>
          <w:trHeight w:val="340"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14:paraId="2AC8D327">
            <w:pPr>
              <w:widowControl/>
              <w:spacing w:line="0" w:lineRule="atLeast"/>
              <w:jc w:val="left"/>
              <w:rPr>
                <w:rFonts w:eastAsia="仿宋_GB2312"/>
                <w:kern w:val="0"/>
                <w:szCs w:val="21"/>
              </w:rPr>
            </w:pPr>
          </w:p>
        </w:tc>
        <w:tc>
          <w:tcPr>
            <w:tcW w:w="745" w:type="dxa"/>
            <w:tcBorders>
              <w:top w:val="nil"/>
              <w:left w:val="nil"/>
              <w:bottom w:val="single" w:color="auto" w:sz="4" w:space="0"/>
              <w:right w:val="single" w:color="auto" w:sz="4" w:space="0"/>
            </w:tcBorders>
            <w:vAlign w:val="center"/>
          </w:tcPr>
          <w:p w14:paraId="7A501943">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14:paraId="585BEB2D">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986" w:type="dxa"/>
            <w:tcBorders>
              <w:top w:val="nil"/>
              <w:left w:val="nil"/>
              <w:bottom w:val="single" w:color="auto" w:sz="4" w:space="0"/>
              <w:right w:val="single" w:color="auto" w:sz="4" w:space="0"/>
            </w:tcBorders>
            <w:vAlign w:val="center"/>
          </w:tcPr>
          <w:p w14:paraId="16F7F7FD">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399" w:type="dxa"/>
            <w:tcBorders>
              <w:top w:val="nil"/>
              <w:left w:val="nil"/>
              <w:bottom w:val="single" w:color="auto" w:sz="4" w:space="0"/>
              <w:right w:val="single" w:color="auto" w:sz="4" w:space="0"/>
            </w:tcBorders>
            <w:vAlign w:val="center"/>
          </w:tcPr>
          <w:p w14:paraId="6D459CFB">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0" w:type="auto"/>
            <w:tcBorders>
              <w:top w:val="nil"/>
              <w:left w:val="nil"/>
              <w:bottom w:val="single" w:color="auto" w:sz="4" w:space="0"/>
              <w:right w:val="single" w:color="auto" w:sz="4" w:space="0"/>
            </w:tcBorders>
            <w:vAlign w:val="center"/>
          </w:tcPr>
          <w:p w14:paraId="224C1D82">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100%</w:t>
            </w:r>
          </w:p>
        </w:tc>
        <w:tc>
          <w:tcPr>
            <w:tcW w:w="974" w:type="dxa"/>
            <w:tcBorders>
              <w:top w:val="nil"/>
              <w:left w:val="nil"/>
              <w:bottom w:val="single" w:color="auto" w:sz="4" w:space="0"/>
              <w:right w:val="single" w:color="auto" w:sz="4" w:space="0"/>
            </w:tcBorders>
            <w:vAlign w:val="center"/>
          </w:tcPr>
          <w:p w14:paraId="1534AC21">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14:paraId="421595A4">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429" w:type="dxa"/>
            <w:tcBorders>
              <w:top w:val="nil"/>
              <w:left w:val="nil"/>
              <w:bottom w:val="single" w:color="auto" w:sz="4" w:space="0"/>
              <w:right w:val="single" w:color="auto" w:sz="4" w:space="0"/>
            </w:tcBorders>
            <w:vAlign w:val="center"/>
          </w:tcPr>
          <w:p w14:paraId="09013BDC">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240" w:type="dxa"/>
            <w:gridSpan w:val="2"/>
            <w:tcBorders>
              <w:top w:val="nil"/>
              <w:left w:val="nil"/>
              <w:bottom w:val="single" w:color="auto" w:sz="4" w:space="0"/>
              <w:right w:val="single" w:color="auto" w:sz="4" w:space="0"/>
            </w:tcBorders>
            <w:vAlign w:val="center"/>
          </w:tcPr>
          <w:p w14:paraId="74E72163">
            <w:pPr>
              <w:widowControl/>
              <w:spacing w:line="0" w:lineRule="atLeast"/>
              <w:jc w:val="left"/>
              <w:rPr>
                <w:rFonts w:eastAsia="仿宋_GB2312"/>
                <w:kern w:val="0"/>
                <w:szCs w:val="21"/>
              </w:rPr>
            </w:pPr>
            <w:r>
              <w:rPr>
                <w:rFonts w:hint="eastAsia" w:eastAsia="仿宋_GB2312"/>
                <w:kern w:val="0"/>
                <w:szCs w:val="21"/>
              </w:rPr>
              <w:t>　</w:t>
            </w:r>
          </w:p>
        </w:tc>
      </w:tr>
      <w:tr w14:paraId="6785B6F1">
        <w:tblPrEx>
          <w:tblCellMar>
            <w:top w:w="0" w:type="dxa"/>
            <w:left w:w="108" w:type="dxa"/>
            <w:bottom w:w="0" w:type="dxa"/>
            <w:right w:w="108" w:type="dxa"/>
          </w:tblCellMar>
        </w:tblPrEx>
        <w:trPr>
          <w:trHeight w:val="340" w:hRule="atLeast"/>
          <w:jc w:val="center"/>
        </w:trPr>
        <w:tc>
          <w:tcPr>
            <w:tcW w:w="7117" w:type="dxa"/>
            <w:gridSpan w:val="6"/>
            <w:tcBorders>
              <w:top w:val="single" w:color="auto" w:sz="4" w:space="0"/>
              <w:left w:val="single" w:color="auto" w:sz="4" w:space="0"/>
              <w:bottom w:val="single" w:color="auto" w:sz="4" w:space="0"/>
              <w:right w:val="single" w:color="000000" w:sz="4" w:space="0"/>
            </w:tcBorders>
            <w:vAlign w:val="center"/>
          </w:tcPr>
          <w:p w14:paraId="0F7D155D">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14:paraId="52F02B7A">
            <w:pPr>
              <w:widowControl/>
              <w:spacing w:line="0" w:lineRule="atLeast"/>
              <w:jc w:val="center"/>
              <w:rPr>
                <w:rFonts w:eastAsia="仿宋_GB2312"/>
                <w:kern w:val="0"/>
                <w:szCs w:val="21"/>
              </w:rPr>
            </w:pPr>
            <w:r>
              <w:rPr>
                <w:rFonts w:eastAsia="仿宋_GB2312"/>
                <w:kern w:val="0"/>
                <w:szCs w:val="21"/>
              </w:rPr>
              <w:t>100</w:t>
            </w:r>
          </w:p>
        </w:tc>
        <w:tc>
          <w:tcPr>
            <w:tcW w:w="429" w:type="dxa"/>
            <w:tcBorders>
              <w:top w:val="nil"/>
              <w:left w:val="nil"/>
              <w:bottom w:val="single" w:color="auto" w:sz="4" w:space="0"/>
              <w:right w:val="single" w:color="auto" w:sz="4" w:space="0"/>
            </w:tcBorders>
            <w:vAlign w:val="center"/>
          </w:tcPr>
          <w:p w14:paraId="51C2D07D">
            <w:pPr>
              <w:widowControl/>
              <w:spacing w:line="0" w:lineRule="atLeast"/>
              <w:jc w:val="left"/>
              <w:rPr>
                <w:rFonts w:eastAsia="仿宋_GB2312"/>
                <w:kern w:val="0"/>
                <w:szCs w:val="21"/>
              </w:rPr>
            </w:pPr>
            <w:r>
              <w:rPr>
                <w:rFonts w:hint="eastAsia" w:eastAsia="仿宋_GB2312"/>
                <w:kern w:val="0"/>
                <w:szCs w:val="21"/>
              </w:rPr>
              <w:t>　</w:t>
            </w:r>
          </w:p>
        </w:tc>
        <w:tc>
          <w:tcPr>
            <w:tcW w:w="1240" w:type="dxa"/>
            <w:gridSpan w:val="2"/>
            <w:tcBorders>
              <w:top w:val="nil"/>
              <w:left w:val="nil"/>
              <w:bottom w:val="single" w:color="auto" w:sz="4" w:space="0"/>
              <w:right w:val="single" w:color="auto" w:sz="4" w:space="0"/>
            </w:tcBorders>
            <w:vAlign w:val="center"/>
          </w:tcPr>
          <w:p w14:paraId="46EE570D">
            <w:pPr>
              <w:widowControl/>
              <w:spacing w:line="0" w:lineRule="atLeast"/>
              <w:jc w:val="left"/>
              <w:rPr>
                <w:rFonts w:eastAsia="仿宋_GB2312"/>
                <w:kern w:val="0"/>
                <w:szCs w:val="21"/>
              </w:rPr>
            </w:pPr>
            <w:r>
              <w:rPr>
                <w:rFonts w:hint="eastAsia" w:eastAsia="仿宋_GB2312"/>
                <w:kern w:val="0"/>
                <w:szCs w:val="21"/>
              </w:rPr>
              <w:t>　</w:t>
            </w:r>
          </w:p>
        </w:tc>
      </w:tr>
    </w:tbl>
    <w:p w14:paraId="073C6BC1">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NDdjYmI2MWNjOTNkYzU5NzUzNTZmZWY0OWRmOTUifQ=="/>
  </w:docVars>
  <w:rsids>
    <w:rsidRoot w:val="6B811983"/>
    <w:rsid w:val="241A4546"/>
    <w:rsid w:val="4FA94C3E"/>
    <w:rsid w:val="512E4631"/>
    <w:rsid w:val="54F273FE"/>
    <w:rsid w:val="632153B0"/>
    <w:rsid w:val="6B811983"/>
    <w:rsid w:val="73102741"/>
    <w:rsid w:val="7D8D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2640</Words>
  <Characters>2763</Characters>
  <Lines>0</Lines>
  <Paragraphs>0</Paragraphs>
  <TotalTime>25</TotalTime>
  <ScaleCrop>false</ScaleCrop>
  <LinksUpToDate>false</LinksUpToDate>
  <CharactersWithSpaces>2773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2024-09-01T00:36:00Z</dcterms:created>
  <dc:creator>WINTIAN</dc:creator>
  <cp:lastModifiedBy>WINTIAN</cp:lastModifiedBy>
  <dcterms:modified xsi:type="dcterms:W3CDTF">2024-11-22T03:47:52Z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50EF095DB69C41228948C7ECB974B4AA_13</vt:lpwstr>
  </property>
</Properties>
</file>