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邵阳</w:t>
      </w:r>
      <w:r>
        <w:rPr>
          <w:rFonts w:hint="eastAsia"/>
          <w:sz w:val="36"/>
          <w:szCs w:val="21"/>
          <w:lang w:eastAsia="zh-CN"/>
        </w:rPr>
        <w:t>县塘渡口镇</w:t>
      </w:r>
      <w:r>
        <w:rPr>
          <w:rFonts w:hint="eastAsia"/>
          <w:sz w:val="36"/>
          <w:szCs w:val="21"/>
          <w:lang w:val="en-US" w:eastAsia="zh-CN"/>
        </w:rPr>
        <w:t>人民政府</w:t>
      </w:r>
      <w:r>
        <w:rPr>
          <w:rFonts w:hint="eastAsia"/>
          <w:sz w:val="36"/>
          <w:szCs w:val="21"/>
        </w:rPr>
        <w:t>整体支出</w:t>
      </w:r>
    </w:p>
    <w:p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绩效</w:t>
      </w:r>
      <w:r>
        <w:rPr>
          <w:rFonts w:hint="eastAsia"/>
          <w:sz w:val="36"/>
          <w:szCs w:val="21"/>
          <w:lang w:eastAsia="zh-CN"/>
        </w:rPr>
        <w:t>自评</w:t>
      </w:r>
      <w:r>
        <w:rPr>
          <w:rFonts w:hint="eastAsia"/>
          <w:sz w:val="36"/>
          <w:szCs w:val="21"/>
        </w:rPr>
        <w:t>报告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年度部门整体支出绩效自评工作的通知》（邵财绩[20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]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号）的要求，现将我单位整体支出绩效自评报告如下：</w:t>
      </w:r>
    </w:p>
    <w:p>
      <w:pPr>
        <w:ind w:firstLine="750" w:firstLineChars="25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一、部门概况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我单位是行政机构乡镇场政府职能部门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，分别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由党委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人民政府、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组成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，其中按公务员法管理及参照公务员法管理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的六办在职人员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，全额拨款事业单位个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，在职人员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差额拨款及定额补助人员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人。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部门在职实有人数人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43434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根椐《宪法》和《预算法》规定，邵阳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县塘渡口镇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依法履行下列职能职责：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1）贯彻落实党和国家在农村的各项方针、政策和法律法规，做好农业、农村、农民工作，现阶段，主要围绕促进经济发展、增加农民收入，强化公共服务，着力改善民生，加强社会管理、维护社会稳定，推进基层民主、促进农村和谐四个方面全面履行职能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（2）制定并落实本行政区域的经济计划和措施，促进产业结构调整及其他经济保持平衡发展，全面提高人民群众的生活水平和生活质量。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（3）加强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级财政的监督和管理，按计划组织，管理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财政收入和支出，执行国家有关财经纪律和政策，保证国家财政收入的完成；做好统计工作。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（4）协助和支持设置在本行政区域内不隶属于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的国家机关和企事业单位工作，监督其遵守和执行国家的法律、法规和政策。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43434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（5）承办县人民政府交办的其他事项。</w:t>
      </w:r>
    </w:p>
    <w:p>
      <w:pPr>
        <w:ind w:firstLine="578" w:firstLineChars="192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二．部门整体支出规模及使用情况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</w:t>
      </w:r>
    </w:p>
    <w:p>
      <w:pPr>
        <w:ind w:firstLine="640" w:firstLineChars="200"/>
        <w:rPr>
          <w:rFonts w:hint="eastAsia" w:ascii="仿宋_GB2312" w:hAnsi="方正大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大标宋简体" w:eastAsia="仿宋_GB2312"/>
          <w:sz w:val="32"/>
          <w:szCs w:val="32"/>
        </w:rPr>
        <w:t>（一）2021年初预算收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入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5125.15</w:t>
      </w:r>
      <w:r>
        <w:rPr>
          <w:rFonts w:hint="eastAsia" w:ascii="仿宋_GB2312" w:hAnsi="方正大标宋简体" w:eastAsia="仿宋_GB2312"/>
          <w:sz w:val="32"/>
          <w:szCs w:val="32"/>
        </w:rPr>
        <w:t>万元，其中：一般公共预算拨款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4894.15</w:t>
      </w:r>
      <w:r>
        <w:rPr>
          <w:rFonts w:hint="eastAsia" w:ascii="仿宋_GB2312" w:hAnsi="方正大标宋简体" w:eastAsia="仿宋_GB2312"/>
          <w:sz w:val="32"/>
          <w:szCs w:val="32"/>
        </w:rPr>
        <w:t>万元，政府性基金预算拨款0万元，纳入财政专户管理的非税收入拨款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231</w:t>
      </w:r>
      <w:r>
        <w:rPr>
          <w:rFonts w:hint="eastAsia" w:ascii="仿宋_GB2312" w:hAnsi="方正大标宋简体" w:eastAsia="仿宋_GB2312"/>
          <w:sz w:val="32"/>
          <w:szCs w:val="32"/>
        </w:rPr>
        <w:t>万元.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其中</w:t>
      </w:r>
      <w:r>
        <w:rPr>
          <w:rFonts w:ascii="仿宋_GB2312" w:hAnsi="方正大标宋简体" w:eastAsia="仿宋_GB2312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sz w:val="32"/>
          <w:szCs w:val="32"/>
        </w:rPr>
        <w:t>1</w:t>
      </w:r>
      <w:r>
        <w:rPr>
          <w:rFonts w:ascii="仿宋_GB2312" w:hAnsi="方正大标宋简体" w:eastAsia="仿宋_GB2312"/>
          <w:sz w:val="32"/>
          <w:szCs w:val="32"/>
        </w:rPr>
        <w:t>年</w:t>
      </w:r>
      <w:r>
        <w:rPr>
          <w:rFonts w:hint="eastAsia" w:ascii="仿宋_GB2312" w:hAnsi="方正大标宋简体" w:eastAsia="仿宋_GB2312"/>
          <w:sz w:val="32"/>
          <w:szCs w:val="32"/>
        </w:rPr>
        <w:t>初预算支出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4894.15</w:t>
      </w:r>
      <w:r>
        <w:rPr>
          <w:rFonts w:hint="eastAsia" w:ascii="仿宋_GB2312" w:hAnsi="方正大标宋简体" w:eastAsia="仿宋_GB2312"/>
          <w:sz w:val="32"/>
          <w:szCs w:val="32"/>
        </w:rPr>
        <w:t>万元，其中: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3781.84万元；商品和服务支出941.88万元；对个人和家庭的补助支出170.42万元。</w:t>
      </w:r>
    </w:p>
    <w:p>
      <w:pPr>
        <w:ind w:firstLine="600" w:firstLineChars="200"/>
        <w:rPr>
          <w:rFonts w:hint="default" w:ascii="仿宋_GB2312" w:hAnsi="方正大标宋简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(二)</w:t>
      </w:r>
      <w:r>
        <w:rPr>
          <w:rFonts w:hint="eastAsia" w:ascii="仿宋" w:hAnsi="仿宋" w:eastAsia="仿宋" w:cs="仿宋"/>
          <w:sz w:val="30"/>
          <w:szCs w:val="30"/>
        </w:rPr>
        <w:t>基本支出使用管理情况：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本单位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2021年度基本支出为6108.3万元。其中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4854.8万元，用来支付单位职工的基本工资、绩效工资以及社会保障缴纳；商品和服务支出1109.5万元，用来支付单位日常公用支出，含“三公”经费14万元（公务接待费10万元，公务用车购置及运行费4万元，因公出国（境）费0万元）；对个人和家庭的补助支出126.2万元，用于支付离退休干部生活补助等；资本性支出17.8万元，主要用于购买办公设备及专用设备。</w:t>
      </w:r>
    </w:p>
    <w:p>
      <w:pPr>
        <w:numPr>
          <w:ilvl w:val="0"/>
          <w:numId w:val="1"/>
        </w:numPr>
        <w:ind w:firstLine="614" w:firstLineChars="19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塘渡口镇人民政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没有专项支出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bookmarkStart w:id="0" w:name="_GoBack"/>
      <w:bookmarkEnd w:id="0"/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三，资产管理情况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建立资产管理长效机制，增强财务管理人员的责任意思，使帐务管理责任和记帐人员的责任落实到实处，资产物资实行登记。2.运用信息技术进行资产管理，以计算机等现代化工具加强对资产监控，把单位的资产管理和财务管理，资产的价值管理和实物管量结合起来，及时反映单位的资金动态，资产存量和变量情况，实现由静态管理向动态管理的转变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、综合评价结果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根据《部门整体支出绩效评价指标》规定的内容，经综合评价，20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年度整体支出绩效评为“良好”。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、主要绩效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从部门整体支出绩效评价结果来看，单位预算编制科学，民主理财，重大财务事项经由集体研究决策，财务制度健全。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color w:val="3F3F3F"/>
          <w:sz w:val="30"/>
          <w:szCs w:val="30"/>
        </w:rPr>
      </w:pPr>
      <w:r>
        <w:rPr>
          <w:rFonts w:hint="eastAsia" w:ascii="仿宋" w:hAnsi="仿宋" w:eastAsia="仿宋" w:cs="仿宋"/>
          <w:color w:val="3F3F3F"/>
          <w:sz w:val="30"/>
          <w:szCs w:val="30"/>
        </w:rPr>
        <w:t>1、进一步规范财务管理制度，狠抓“收入关”.全</w:t>
      </w:r>
      <w:r>
        <w:rPr>
          <w:rFonts w:hint="eastAsia" w:ascii="仿宋" w:hAnsi="仿宋" w:eastAsia="仿宋" w:cs="仿宋"/>
          <w:color w:val="3F3F3F"/>
          <w:sz w:val="30"/>
          <w:szCs w:val="30"/>
          <w:lang w:eastAsia="zh-CN"/>
        </w:rPr>
        <w:t>场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职工在单位领导的带领下，</w:t>
      </w:r>
      <w:r>
        <w:rPr>
          <w:rFonts w:hint="eastAsia" w:ascii="仿宋" w:hAnsi="仿宋" w:eastAsia="仿宋" w:cs="仿宋"/>
          <w:color w:val="3F3F3F"/>
          <w:sz w:val="30"/>
          <w:szCs w:val="30"/>
          <w:lang w:eastAsia="zh-CN"/>
        </w:rPr>
        <w:t>以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服务为中心，全心全意地投入到工作中，</w:t>
      </w:r>
      <w:r>
        <w:rPr>
          <w:rFonts w:hint="eastAsia" w:ascii="仿宋" w:hAnsi="仿宋" w:eastAsia="仿宋" w:cs="仿宋"/>
          <w:color w:val="3F3F3F"/>
          <w:sz w:val="30"/>
          <w:szCs w:val="30"/>
          <w:lang w:eastAsia="zh-CN"/>
        </w:rPr>
        <w:t>各项收入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有了很大的起色。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color w:val="3F3F3F"/>
          <w:sz w:val="30"/>
          <w:szCs w:val="30"/>
        </w:rPr>
      </w:pPr>
      <w:r>
        <w:rPr>
          <w:rFonts w:hint="eastAsia" w:ascii="仿宋" w:hAnsi="仿宋" w:eastAsia="仿宋" w:cs="仿宋"/>
          <w:color w:val="3F3F3F"/>
          <w:sz w:val="30"/>
          <w:szCs w:val="30"/>
        </w:rPr>
        <w:t>2、进一步规范资金使用，把好“支出关”。单位经费开支按预算和单位财务管理制度执行，基本支出做到不铺张浪费，开源节流，20</w:t>
      </w:r>
      <w:r>
        <w:rPr>
          <w:rFonts w:hint="eastAsia" w:ascii="仿宋" w:hAnsi="仿宋" w:eastAsia="仿宋" w:cs="仿宋"/>
          <w:color w:val="3F3F3F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年度没有出国出境考察的情况，廉政建设情况良好。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color w:val="3F3F3F"/>
          <w:sz w:val="30"/>
          <w:szCs w:val="30"/>
        </w:rPr>
      </w:pPr>
      <w:r>
        <w:rPr>
          <w:rFonts w:hint="eastAsia" w:ascii="仿宋" w:hAnsi="仿宋" w:eastAsia="仿宋" w:cs="仿宋"/>
          <w:color w:val="3F3F3F"/>
          <w:sz w:val="30"/>
          <w:szCs w:val="30"/>
        </w:rPr>
        <w:t>3、进一步推进预决算等重要信息的公开透明。20</w:t>
      </w:r>
      <w:r>
        <w:rPr>
          <w:rFonts w:hint="eastAsia" w:ascii="仿宋" w:hAnsi="仿宋" w:eastAsia="仿宋" w:cs="仿宋"/>
          <w:color w:val="3F3F3F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年度在网站上公开部门预算信息及单位整体财务情况，做到主动接受社会公众的监督。</w:t>
      </w:r>
    </w:p>
    <w:p>
      <w:p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、存在的主要问题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无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、意见建议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进一步完善、明确和细化各项费用支出管理制度，严格控制各项费用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76" w:firstLineChars="192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阳县塘渡口镇人民政府</w:t>
      </w:r>
    </w:p>
    <w:p>
      <w:pPr>
        <w:ind w:firstLine="576" w:firstLineChars="19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2022年4月18日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395E1"/>
    <w:multiLevelType w:val="singleLevel"/>
    <w:tmpl w:val="B13395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jgyOTkwMzZjOWQwYTU5ZTU0OTI1M2I5YjFkMjcifQ=="/>
  </w:docVars>
  <w:rsids>
    <w:rsidRoot w:val="768C5E1C"/>
    <w:rsid w:val="01802011"/>
    <w:rsid w:val="01DA2BE1"/>
    <w:rsid w:val="030E4443"/>
    <w:rsid w:val="03271BB3"/>
    <w:rsid w:val="0399389A"/>
    <w:rsid w:val="04FF1807"/>
    <w:rsid w:val="09F60C37"/>
    <w:rsid w:val="118975B9"/>
    <w:rsid w:val="11E3748D"/>
    <w:rsid w:val="17AF42BB"/>
    <w:rsid w:val="1ACE060E"/>
    <w:rsid w:val="22CE4E11"/>
    <w:rsid w:val="251D395C"/>
    <w:rsid w:val="25436490"/>
    <w:rsid w:val="2F7244CB"/>
    <w:rsid w:val="356D159C"/>
    <w:rsid w:val="374425BC"/>
    <w:rsid w:val="3AAF5061"/>
    <w:rsid w:val="3BBF4C1E"/>
    <w:rsid w:val="42AD5F2C"/>
    <w:rsid w:val="46537496"/>
    <w:rsid w:val="49F66C27"/>
    <w:rsid w:val="54576544"/>
    <w:rsid w:val="5B613241"/>
    <w:rsid w:val="61F673CE"/>
    <w:rsid w:val="68706BB1"/>
    <w:rsid w:val="69CB5174"/>
    <w:rsid w:val="768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1658</Characters>
  <Lines>0</Lines>
  <Paragraphs>0</Paragraphs>
  <TotalTime>3</TotalTime>
  <ScaleCrop>false</ScaleCrop>
  <LinksUpToDate>false</LinksUpToDate>
  <CharactersWithSpaces>1702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2022-02-21T07:37:00Z</dcterms:created>
  <dc:creator>Administrator</dc:creator>
  <cp:lastModifiedBy>Administrator</cp:lastModifiedBy>
  <dcterms:modified xsi:type="dcterms:W3CDTF">2022-12-08T02:17:58Z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D0F0196901D0461986D99079DB66E3BD</vt:lpwstr>
  </property>
</Properties>
</file>