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lang w:eastAsia="zh-CN"/>
        </w:rPr>
        <w:t>邵阳县统计局</w:t>
      </w:r>
    </w:p>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ascii="宋体" w:hAnsi="宋体" w:eastAsia="宋体" w:cs="宋体"/>
          <w:sz w:val="44"/>
          <w:szCs w:val="44"/>
          <w:lang w:eastAsia="zh-CN"/>
        </w:rPr>
      </w:pPr>
      <w:r>
        <w:rPr>
          <w:rFonts w:hint="eastAsia" w:ascii="宋体" w:hAnsi="宋体" w:eastAsia="宋体" w:cs="宋体"/>
          <w:sz w:val="44"/>
          <w:szCs w:val="44"/>
        </w:rPr>
        <w:t xml:space="preserve"> </w:t>
      </w:r>
      <w:r>
        <w:rPr>
          <w:rFonts w:hint="eastAsia" w:ascii="宋体" w:hAnsi="宋体" w:eastAsia="宋体" w:cs="宋体"/>
          <w:sz w:val="44"/>
          <w:szCs w:val="44"/>
          <w:lang w:val="en-US" w:eastAsia="zh-CN"/>
        </w:rPr>
        <w:t>2022年</w:t>
      </w:r>
      <w:r>
        <w:rPr>
          <w:rFonts w:hint="eastAsia" w:ascii="宋体" w:hAnsi="宋体" w:eastAsia="宋体" w:cs="宋体"/>
          <w:sz w:val="44"/>
          <w:szCs w:val="44"/>
        </w:rPr>
        <w:t>部门整体支出绩效</w:t>
      </w:r>
      <w:r>
        <w:rPr>
          <w:rFonts w:hint="eastAsia" w:ascii="宋体" w:hAnsi="宋体" w:eastAsia="宋体" w:cs="宋体"/>
          <w:sz w:val="44"/>
          <w:szCs w:val="44"/>
          <w:lang w:eastAsia="zh-CN"/>
        </w:rPr>
        <w:t>报告</w:t>
      </w:r>
    </w:p>
    <w:p>
      <w:pPr>
        <w:keepNext w:val="0"/>
        <w:keepLines w:val="0"/>
        <w:pageBreakBefore w:val="0"/>
        <w:kinsoku/>
        <w:wordWrap/>
        <w:overflowPunct/>
        <w:topLinePunct w:val="0"/>
        <w:autoSpaceDE/>
        <w:autoSpaceDN/>
        <w:bidi w:val="0"/>
        <w:adjustRightInd w:val="0"/>
        <w:spacing w:line="520" w:lineRule="exact"/>
        <w:ind w:right="641"/>
        <w:jc w:val="center"/>
        <w:textAlignment w:val="auto"/>
        <w:rPr>
          <w:rFonts w:hint="eastAsia" w:eastAsia="方正小标宋_GBK"/>
          <w:sz w:val="36"/>
          <w:szCs w:val="36"/>
          <w:lang w:eastAsia="zh-CN"/>
        </w:rPr>
      </w:pPr>
    </w:p>
    <w:p>
      <w:pPr>
        <w:spacing w:line="360" w:lineRule="auto"/>
        <w:ind w:firstLine="600"/>
        <w:rPr>
          <w:rFonts w:hint="eastAsia" w:ascii="宋体" w:hAnsi="宋体" w:eastAsia="宋体" w:cs="宋体"/>
          <w:color w:val="000000"/>
          <w:kern w:val="0"/>
          <w:sz w:val="32"/>
          <w:szCs w:val="32"/>
          <w:shd w:val="clear" w:fill="FFFFFF"/>
          <w:lang w:val="en-US" w:eastAsia="zh-CN" w:bidi="ar"/>
        </w:rPr>
      </w:pPr>
      <w:r>
        <w:rPr>
          <w:rFonts w:hint="eastAsia" w:ascii="宋体" w:hAnsi="宋体" w:eastAsia="宋体" w:cs="宋体"/>
          <w:color w:val="000000"/>
          <w:kern w:val="0"/>
          <w:sz w:val="32"/>
          <w:szCs w:val="32"/>
          <w:shd w:val="clear" w:fill="FFFFFF"/>
          <w:lang w:val="en-US" w:eastAsia="zh-CN" w:bidi="ar"/>
        </w:rPr>
        <w:t>根据邵阳县财政局《关于开展2022年度部门整体支出绩效自评和扶贫专项项目资金绩效评价工作的通知》（邵财绩【2022】12号）文件精神，现将邵阳县统计局2022年度部门整体支出绩效评价报告如下：</w:t>
      </w:r>
    </w:p>
    <w:p>
      <w:pPr>
        <w:keepNext w:val="0"/>
        <w:keepLines w:val="0"/>
        <w:pageBreakBefore w:val="0"/>
        <w:numPr>
          <w:ilvl w:val="0"/>
          <w:numId w:val="1"/>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部门概况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（一）部门基本情况</w:t>
      </w:r>
    </w:p>
    <w:p>
      <w:pPr>
        <w:spacing w:line="360" w:lineRule="auto"/>
        <w:ind w:firstLine="600"/>
        <w:rPr>
          <w:rFonts w:hint="eastAsia" w:ascii="宋体" w:hAnsi="宋体" w:eastAsia="宋体" w:cs="宋体"/>
          <w:color w:val="000000"/>
          <w:kern w:val="0"/>
          <w:sz w:val="32"/>
          <w:szCs w:val="32"/>
          <w:shd w:val="clear" w:fill="FFFFFF"/>
          <w:lang w:val="en-US" w:eastAsia="zh-CN" w:bidi="ar"/>
        </w:rPr>
      </w:pPr>
      <w:r>
        <w:rPr>
          <w:rFonts w:hint="eastAsia" w:ascii="宋体" w:hAnsi="宋体" w:eastAsia="宋体" w:cs="宋体"/>
          <w:color w:val="000000"/>
          <w:kern w:val="0"/>
          <w:sz w:val="32"/>
          <w:szCs w:val="32"/>
          <w:shd w:val="clear" w:fill="FFFFFF"/>
          <w:lang w:val="en-US" w:eastAsia="zh-CN" w:bidi="ar"/>
        </w:rPr>
        <w:t>1、统计局主要职能职责：</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shd w:val="clear" w:fill="FFFFFF"/>
          <w:lang w:val="en-US" w:eastAsia="zh-CN" w:bidi="ar"/>
        </w:rPr>
        <w:t>（1）</w:t>
      </w:r>
      <w:r>
        <w:rPr>
          <w:rFonts w:hint="eastAsia" w:ascii="宋体" w:hAnsi="宋体" w:eastAsia="宋体" w:cs="宋体"/>
          <w:color w:val="000000"/>
          <w:kern w:val="0"/>
          <w:sz w:val="32"/>
          <w:szCs w:val="32"/>
        </w:rPr>
        <w:t>贯彻执行国家统计工作的方针、政策和统计法律法规，研究统计制度和统计方法的改革，完成国家和地方统计调查任务；承担组织领导和协调全县统计工作，确保统计数据真实、准确、及时；监督检查统计法律法规的实施情况，查处各类统计违法行为。</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lang w:eastAsia="zh-CN"/>
        </w:rPr>
        <w:t>（</w:t>
      </w:r>
      <w:r>
        <w:rPr>
          <w:rFonts w:hint="eastAsia" w:ascii="宋体" w:hAnsi="宋体" w:eastAsia="宋体" w:cs="宋体"/>
          <w:color w:val="000000"/>
          <w:kern w:val="0"/>
          <w:sz w:val="32"/>
          <w:szCs w:val="32"/>
          <w:lang w:val="en-US" w:eastAsia="zh-CN"/>
        </w:rPr>
        <w:t>2）</w:t>
      </w:r>
      <w:r>
        <w:rPr>
          <w:rFonts w:hint="eastAsia" w:ascii="宋体" w:hAnsi="宋体" w:eastAsia="宋体" w:cs="宋体"/>
          <w:color w:val="000000"/>
          <w:kern w:val="0"/>
          <w:sz w:val="32"/>
          <w:szCs w:val="32"/>
        </w:rPr>
        <w:t>制定并组织实施全县统计改革和统计现代化建设规划，建立健全国民经济核算体系和统计指标体系，组织实施全县国民经济核算制度和全县投入产出调查，核算全县地方生产总值，汇编提供国民经济核算资料。</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（3）会同有关部门拟订重大普查计划与方案，组织实施全县人口、经济、农业等重大普查，汇总、整理和提供有关统计数据。</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4）组织实施农林牧渔业、工业、建筑业、批发和零售业、住宿和餐饮业、房地产业、租赁和商务服务业、居民服务和其他服务业、文化体育和娱乐业以及物流和其他运输服务业、仓储业、计算机服务业、软件业、科技交流和推广服务业、社会福利业等统计调查，收集、汇总、整理和提供有关调查的统计数据，综合整理和提供地质勘查、旅游、交通运输、邮政、教育、卫生、社会保障、公用事业等全县性基本统计数据。</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5）组织实施能源、投资、消费、价格、收入、科技、人口、服务业、劳动力、社会发展基本情况、环境基本状况等统计调查，收集、汇总、整理和提供有关调查的统计数据，综合整理和提供资源、房屋、对外经济等全县性基本统计数据。</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（6）统一核实、管理、公布全县性基本统计资料，定期发布全县国民经济和社会发展情况的统计信息。</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（7）对国民经济、社会发展、科技进步和资源环境等情况进行统计分析、统计预测和统计监督，向县委、县政府及有关部门提供统计信息和咨询建议。</w:t>
      </w:r>
    </w:p>
    <w:p>
      <w:pPr>
        <w:spacing w:line="360" w:lineRule="auto"/>
        <w:ind w:firstLine="800" w:firstLineChars="25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（8）负责全县县域经济、绩效文明、为民办实事、节能减排、新型工业化考核工作和两纲监测的数据评估认定工作。</w:t>
      </w:r>
    </w:p>
    <w:p>
      <w:pPr>
        <w:spacing w:line="360" w:lineRule="auto"/>
        <w:ind w:firstLine="800" w:firstLineChars="25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9）依法审批或者备案地方统计调查项目和县直各部门统计调查项目，指导专业统计工作和统计基层基础建设，建立健全统计数据质量审核、监控和评估制度，开展对重要统计数据的审核、监控和评估工作，依法监督管理涉外调查活动。指导全县统计科研、统计教育、统计宣传工作。</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（10）组织管理全县统计专业资格考试、职务评聘和从业资格认定工作，监督管理中央和地方财政安排的统计专项经费。</w:t>
      </w:r>
    </w:p>
    <w:p>
      <w:pPr>
        <w:spacing w:line="360" w:lineRule="auto"/>
        <w:ind w:firstLine="640" w:firstLineChars="2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（11）建立并管理全县统计信息自动化系统和统计数据库系统，组织制定各乡镇场、县直各部门统计数据库和网络的基本标准和运行规则，指导全县统计信息化系统建设。</w:t>
      </w:r>
    </w:p>
    <w:p>
      <w:pPr>
        <w:spacing w:line="360" w:lineRule="auto"/>
        <w:ind w:firstLine="600"/>
        <w:rPr>
          <w:rFonts w:hint="eastAsia" w:ascii="宋体" w:hAnsi="宋体" w:eastAsia="宋体" w:cs="宋体"/>
          <w:color w:val="000000"/>
          <w:kern w:val="0"/>
          <w:sz w:val="32"/>
          <w:szCs w:val="32"/>
        </w:rPr>
      </w:pPr>
      <w:r>
        <w:rPr>
          <w:rFonts w:hint="eastAsia" w:ascii="宋体" w:hAnsi="宋体" w:eastAsia="宋体" w:cs="宋体"/>
          <w:color w:val="000000"/>
          <w:kern w:val="0"/>
          <w:sz w:val="32"/>
          <w:szCs w:val="32"/>
        </w:rPr>
        <w:t>（12）承办县人民政府交办的其他事项。</w:t>
      </w:r>
    </w:p>
    <w:p>
      <w:pPr>
        <w:spacing w:line="360" w:lineRule="auto"/>
        <w:ind w:firstLine="600"/>
        <w:rPr>
          <w:rFonts w:hint="eastAsia" w:asciiTheme="minorEastAsia" w:hAnsiTheme="minorEastAsia" w:cstheme="minorEastAsia"/>
          <w:color w:val="000000"/>
          <w:kern w:val="0"/>
          <w:sz w:val="28"/>
          <w:szCs w:val="28"/>
          <w:lang w:val="en-US" w:eastAsia="zh-CN"/>
        </w:rPr>
      </w:pPr>
      <w:r>
        <w:rPr>
          <w:rFonts w:hint="eastAsia" w:asciiTheme="minorEastAsia" w:hAnsiTheme="minorEastAsia" w:cstheme="minorEastAsia"/>
          <w:color w:val="000000"/>
          <w:kern w:val="0"/>
          <w:sz w:val="28"/>
          <w:szCs w:val="28"/>
          <w:lang w:val="en-US" w:eastAsia="zh-CN"/>
        </w:rPr>
        <w:t>2、机构人员情况</w:t>
      </w:r>
    </w:p>
    <w:p>
      <w:pPr>
        <w:spacing w:line="360" w:lineRule="auto"/>
        <w:ind w:firstLine="600"/>
        <w:rPr>
          <w:rFonts w:hint="eastAsia" w:asciiTheme="minorEastAsia" w:hAnsiTheme="minorEastAsia" w:eastAsiaTheme="minorEastAsia" w:cstheme="minorEastAsia"/>
          <w:color w:val="000000"/>
          <w:kern w:val="0"/>
          <w:sz w:val="32"/>
          <w:szCs w:val="32"/>
          <w:lang w:val="en-US" w:eastAsia="zh-CN"/>
        </w:rPr>
      </w:pPr>
      <w:r>
        <w:rPr>
          <w:rFonts w:hint="eastAsia" w:asciiTheme="minorEastAsia" w:hAnsiTheme="minorEastAsia" w:eastAsiaTheme="minorEastAsia" w:cstheme="minorEastAsia"/>
          <w:color w:val="000000"/>
          <w:kern w:val="0"/>
          <w:sz w:val="32"/>
          <w:szCs w:val="32"/>
        </w:rPr>
        <w:t>邵阳县统计局</w:t>
      </w:r>
      <w:r>
        <w:rPr>
          <w:rFonts w:hint="eastAsia" w:asciiTheme="minorEastAsia" w:hAnsiTheme="minorEastAsia" w:eastAsiaTheme="minorEastAsia" w:cstheme="minorEastAsia"/>
          <w:color w:val="000000"/>
          <w:kern w:val="0"/>
          <w:sz w:val="32"/>
          <w:szCs w:val="32"/>
          <w:lang w:val="en-US" w:eastAsia="zh-CN"/>
        </w:rPr>
        <w:t>包含</w:t>
      </w:r>
      <w:r>
        <w:rPr>
          <w:rFonts w:hint="eastAsia" w:asciiTheme="minorEastAsia" w:hAnsiTheme="minorEastAsia" w:eastAsiaTheme="minorEastAsia" w:cstheme="minorEastAsia"/>
          <w:color w:val="000000"/>
          <w:kern w:val="0"/>
          <w:sz w:val="32"/>
          <w:szCs w:val="32"/>
        </w:rPr>
        <w:t>按公务员法管理及参照公务员法管理的单位1个，全额拨款事业单位2个。部门在职实有人数2</w:t>
      </w:r>
      <w:r>
        <w:rPr>
          <w:rFonts w:hint="eastAsia" w:asciiTheme="minorEastAsia" w:hAnsiTheme="minorEastAsia" w:eastAsiaTheme="minorEastAsia" w:cstheme="minorEastAsia"/>
          <w:color w:val="000000"/>
          <w:kern w:val="0"/>
          <w:sz w:val="32"/>
          <w:szCs w:val="32"/>
          <w:lang w:val="en-US" w:eastAsia="zh-CN"/>
        </w:rPr>
        <w:t>8</w:t>
      </w:r>
      <w:r>
        <w:rPr>
          <w:rFonts w:hint="eastAsia" w:asciiTheme="minorEastAsia" w:hAnsiTheme="minorEastAsia" w:eastAsiaTheme="minorEastAsia" w:cstheme="minorEastAsia"/>
          <w:color w:val="000000"/>
          <w:kern w:val="0"/>
          <w:sz w:val="32"/>
          <w:szCs w:val="32"/>
        </w:rPr>
        <w:t>人，离退休人员</w:t>
      </w:r>
      <w:r>
        <w:rPr>
          <w:rFonts w:hint="eastAsia" w:asciiTheme="minorEastAsia" w:hAnsiTheme="minorEastAsia" w:eastAsiaTheme="minorEastAsia" w:cstheme="minorEastAsia"/>
          <w:color w:val="000000"/>
          <w:kern w:val="0"/>
          <w:sz w:val="32"/>
          <w:szCs w:val="32"/>
          <w:lang w:val="en-US" w:eastAsia="zh-CN"/>
        </w:rPr>
        <w:t>5</w:t>
      </w:r>
      <w:r>
        <w:rPr>
          <w:rFonts w:hint="eastAsia" w:asciiTheme="minorEastAsia" w:hAnsiTheme="minorEastAsia" w:eastAsiaTheme="minorEastAsia" w:cstheme="minorEastAsia"/>
          <w:color w:val="000000"/>
          <w:kern w:val="0"/>
          <w:sz w:val="32"/>
          <w:szCs w:val="32"/>
        </w:rPr>
        <w:t>人，其中：财政全额供养2</w:t>
      </w:r>
      <w:r>
        <w:rPr>
          <w:rFonts w:hint="eastAsia" w:asciiTheme="minorEastAsia" w:hAnsiTheme="minorEastAsia" w:eastAsiaTheme="minorEastAsia" w:cstheme="minorEastAsia"/>
          <w:color w:val="000000"/>
          <w:kern w:val="0"/>
          <w:sz w:val="32"/>
          <w:szCs w:val="32"/>
          <w:lang w:val="en-US" w:eastAsia="zh-CN"/>
        </w:rPr>
        <w:t>8</w:t>
      </w:r>
      <w:r>
        <w:rPr>
          <w:rFonts w:hint="eastAsia" w:asciiTheme="minorEastAsia" w:hAnsiTheme="minorEastAsia" w:eastAsiaTheme="minorEastAsia" w:cstheme="minorEastAsia"/>
          <w:color w:val="000000"/>
          <w:kern w:val="0"/>
          <w:sz w:val="32"/>
          <w:szCs w:val="32"/>
        </w:rPr>
        <w:t>人</w:t>
      </w:r>
      <w:r>
        <w:rPr>
          <w:rFonts w:hint="eastAsia" w:asciiTheme="minorEastAsia" w:hAnsiTheme="minorEastAsia" w:eastAsiaTheme="minorEastAsia" w:cstheme="minorEastAsia"/>
          <w:color w:val="000000"/>
          <w:kern w:val="0"/>
          <w:sz w:val="32"/>
          <w:szCs w:val="32"/>
          <w:lang w:eastAsia="zh-CN"/>
        </w:rPr>
        <w:t>。</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楷体" w:hAnsi="楷体" w:eastAsia="楷体" w:cs="楷体"/>
          <w:b/>
          <w:bCs/>
          <w:sz w:val="32"/>
          <w:szCs w:val="32"/>
          <w:lang w:eastAsia="zh-CN"/>
        </w:rPr>
      </w:pPr>
      <w:r>
        <w:rPr>
          <w:rFonts w:hint="eastAsia" w:ascii="楷体" w:hAnsi="楷体" w:eastAsia="楷体" w:cs="楷体"/>
          <w:b/>
          <w:bCs/>
          <w:sz w:val="32"/>
          <w:szCs w:val="32"/>
        </w:rPr>
        <w:t>（二）部门</w:t>
      </w:r>
      <w:r>
        <w:rPr>
          <w:rFonts w:hint="eastAsia" w:ascii="楷体" w:hAnsi="楷体" w:eastAsia="楷体" w:cs="楷体"/>
          <w:b/>
          <w:bCs/>
          <w:sz w:val="32"/>
          <w:szCs w:val="32"/>
          <w:lang w:eastAsia="zh-CN"/>
        </w:rPr>
        <w:t>预算总支出情况</w:t>
      </w:r>
    </w:p>
    <w:p>
      <w:pPr>
        <w:spacing w:line="360" w:lineRule="auto"/>
        <w:ind w:firstLine="640" w:firstLineChars="200"/>
        <w:rPr>
          <w:rFonts w:hint="default" w:ascii="宋体" w:hAnsi="宋体" w:eastAsia="宋体" w:cs="宋体"/>
          <w:color w:val="000000"/>
          <w:kern w:val="0"/>
          <w:sz w:val="32"/>
          <w:szCs w:val="32"/>
          <w:lang w:val="en-US" w:eastAsia="zh-CN"/>
        </w:rPr>
      </w:pPr>
      <w:r>
        <w:rPr>
          <w:rFonts w:hint="eastAsia" w:ascii="宋体" w:hAnsi="宋体" w:eastAsia="宋体" w:cs="宋体"/>
          <w:color w:val="000000"/>
          <w:kern w:val="0"/>
          <w:sz w:val="32"/>
          <w:szCs w:val="32"/>
          <w:lang w:val="en-US" w:eastAsia="zh-CN"/>
        </w:rPr>
        <w:t>2022年县财政局年初批复县统计局局总收入523.11万元。县统计局预算整体支出的主要特点：足额保证基本运行。全年工资福利支出242.22万元；商品和服务支出28.65万元；对个人和家庭的补助支出8.24万元；专项支出244万元，纳入一般公共预算的非税收入0万元。</w:t>
      </w:r>
      <w:bookmarkStart w:id="0" w:name="_GoBack"/>
      <w:bookmarkEnd w:id="0"/>
    </w:p>
    <w:p>
      <w:pPr>
        <w:keepNext w:val="0"/>
        <w:keepLines w:val="0"/>
        <w:pageBreakBefore w:val="0"/>
        <w:widowControl w:val="0"/>
        <w:numPr>
          <w:ilvl w:val="0"/>
          <w:numId w:val="1"/>
        </w:numPr>
        <w:kinsoku/>
        <w:wordWrap/>
        <w:overflowPunct/>
        <w:topLinePunct w:val="0"/>
        <w:autoSpaceDE/>
        <w:autoSpaceDN/>
        <w:bidi w:val="0"/>
        <w:adjustRightInd w:val="0"/>
        <w:snapToGrid w:val="0"/>
        <w:spacing w:line="520" w:lineRule="exact"/>
        <w:ind w:left="0" w:leftChars="0" w:right="0" w:rightChars="0" w:firstLine="643" w:firstLineChars="200"/>
        <w:jc w:val="both"/>
        <w:textAlignment w:val="auto"/>
        <w:outlineLvl w:val="9"/>
        <w:rPr>
          <w:rFonts w:hint="eastAsia" w:ascii="黑体" w:hAnsi="黑体" w:eastAsia="黑体" w:cs="黑体"/>
          <w:b/>
          <w:bCs/>
          <w:sz w:val="32"/>
          <w:szCs w:val="32"/>
        </w:rPr>
      </w:pPr>
      <w:r>
        <w:rPr>
          <w:rFonts w:hint="eastAsia" w:ascii="黑体" w:hAnsi="黑体" w:eastAsia="黑体" w:cs="黑体"/>
          <w:b/>
          <w:bCs/>
          <w:sz w:val="32"/>
          <w:szCs w:val="32"/>
        </w:rPr>
        <w:t>部门整体支出管理及使用情况</w:t>
      </w:r>
    </w:p>
    <w:p>
      <w:pPr>
        <w:keepNext w:val="0"/>
        <w:keepLines w:val="0"/>
        <w:pageBreakBefore w:val="0"/>
        <w:widowControl w:val="0"/>
        <w:numPr>
          <w:ilvl w:val="0"/>
          <w:numId w:val="0"/>
        </w:numPr>
        <w:kinsoku/>
        <w:wordWrap/>
        <w:overflowPunct/>
        <w:topLinePunct w:val="0"/>
        <w:autoSpaceDE/>
        <w:autoSpaceDN/>
        <w:bidi w:val="0"/>
        <w:adjustRightInd w:val="0"/>
        <w:snapToGrid w:val="0"/>
        <w:spacing w:line="520" w:lineRule="exact"/>
        <w:ind w:right="0" w:rightChars="0" w:firstLine="643" w:firstLineChars="200"/>
        <w:jc w:val="both"/>
        <w:textAlignment w:val="auto"/>
        <w:outlineLvl w:val="9"/>
        <w:rPr>
          <w:rFonts w:hint="eastAsia" w:ascii="楷体" w:hAnsi="楷体" w:eastAsia="楷体" w:cs="楷体"/>
          <w:b/>
          <w:bCs/>
          <w:sz w:val="32"/>
          <w:szCs w:val="32"/>
          <w:lang w:val="en-US" w:eastAsia="zh-CN"/>
        </w:rPr>
      </w:pPr>
      <w:r>
        <w:rPr>
          <w:rFonts w:hint="eastAsia" w:ascii="楷体" w:hAnsi="楷体" w:eastAsia="楷体" w:cs="楷体"/>
          <w:b/>
          <w:bCs/>
          <w:sz w:val="32"/>
          <w:szCs w:val="32"/>
          <w:lang w:val="en-US" w:eastAsia="zh-CN"/>
        </w:rPr>
        <w:t>（一）预算执行情况</w:t>
      </w:r>
    </w:p>
    <w:p>
      <w:pPr>
        <w:pStyle w:val="3"/>
        <w:keepNext w:val="0"/>
        <w:keepLines w:val="0"/>
        <w:pageBreakBefore w:val="0"/>
        <w:widowControl/>
        <w:suppressLineNumbers w:val="0"/>
        <w:kinsoku/>
        <w:wordWrap/>
        <w:overflowPunct/>
        <w:topLinePunct w:val="0"/>
        <w:autoSpaceDE/>
        <w:autoSpaceDN/>
        <w:bidi w:val="0"/>
        <w:spacing w:before="0" w:after="0" w:line="520" w:lineRule="exact"/>
        <w:ind w:firstLine="640" w:firstLineChars="200"/>
        <w:jc w:val="left"/>
        <w:textAlignment w:val="auto"/>
        <w:outlineLvl w:val="9"/>
        <w:rPr>
          <w:rFonts w:hint="eastAsia" w:ascii="宋体" w:hAnsi="宋体" w:eastAsia="宋体" w:cs="宋体"/>
          <w:sz w:val="32"/>
          <w:szCs w:val="32"/>
        </w:rPr>
      </w:pPr>
      <w:r>
        <w:rPr>
          <w:rFonts w:hint="eastAsia" w:ascii="宋体" w:hAnsi="宋体" w:eastAsia="宋体" w:cs="宋体"/>
          <w:color w:val="000000"/>
          <w:sz w:val="32"/>
          <w:szCs w:val="32"/>
        </w:rPr>
        <w:t>1．预算执行方面，支出总额超预算，主要是</w:t>
      </w:r>
      <w:r>
        <w:rPr>
          <w:rFonts w:hint="eastAsia" w:ascii="宋体" w:hAnsi="宋体" w:eastAsia="宋体" w:cs="宋体"/>
          <w:color w:val="000000"/>
          <w:sz w:val="32"/>
          <w:szCs w:val="32"/>
          <w:lang w:eastAsia="zh-CN"/>
        </w:rPr>
        <w:t>，</w:t>
      </w:r>
      <w:r>
        <w:rPr>
          <w:rFonts w:hint="eastAsia" w:ascii="宋体" w:hAnsi="宋体" w:eastAsia="宋体" w:cs="宋体"/>
          <w:color w:val="000000"/>
          <w:sz w:val="32"/>
          <w:szCs w:val="32"/>
        </w:rPr>
        <w:t>政策性工资绩效追加，项目支出绩效的追加调整；三公经费总额总体控制较好。</w:t>
      </w:r>
    </w:p>
    <w:p>
      <w:pPr>
        <w:pStyle w:val="3"/>
        <w:keepNext w:val="0"/>
        <w:keepLines w:val="0"/>
        <w:pageBreakBefore w:val="0"/>
        <w:widowControl/>
        <w:suppressLineNumbers w:val="0"/>
        <w:kinsoku/>
        <w:wordWrap/>
        <w:overflowPunct/>
        <w:topLinePunct w:val="0"/>
        <w:autoSpaceDE/>
        <w:autoSpaceDN/>
        <w:bidi w:val="0"/>
        <w:spacing w:before="0" w:after="0" w:line="520" w:lineRule="exact"/>
        <w:ind w:firstLine="640" w:firstLineChars="200"/>
        <w:jc w:val="left"/>
        <w:textAlignment w:val="auto"/>
        <w:outlineLvl w:val="9"/>
        <w:rPr>
          <w:rFonts w:hint="eastAsia" w:ascii="仿宋" w:hAnsi="仿宋" w:eastAsia="仿宋" w:cs="仿宋"/>
          <w:sz w:val="32"/>
          <w:szCs w:val="32"/>
        </w:rPr>
      </w:pPr>
      <w:r>
        <w:rPr>
          <w:rFonts w:hint="eastAsia" w:ascii="宋体" w:hAnsi="宋体" w:eastAsia="宋体" w:cs="宋体"/>
          <w:color w:val="000000"/>
          <w:sz w:val="32"/>
          <w:szCs w:val="32"/>
        </w:rPr>
        <w:t>2.预算管理方面，制度执行总体较为有效，仍需进一步强化；资金使用管理需进一步加强</w:t>
      </w:r>
      <w:r>
        <w:rPr>
          <w:rFonts w:hint="eastAsia" w:ascii="仿宋" w:hAnsi="仿宋" w:eastAsia="仿宋" w:cs="仿宋"/>
          <w:color w:val="000000"/>
          <w:sz w:val="32"/>
          <w:szCs w:val="32"/>
        </w:rPr>
        <w:t>。</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二</w:t>
      </w:r>
      <w:r>
        <w:rPr>
          <w:rFonts w:hint="eastAsia" w:ascii="楷体" w:hAnsi="楷体" w:eastAsia="楷体" w:cs="楷体"/>
          <w:b/>
          <w:bCs/>
          <w:sz w:val="32"/>
          <w:szCs w:val="32"/>
        </w:rPr>
        <w:t>）基本支出</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2022年县统计局预算支出为459.27万元，主要包括人员工资、离退休费和医疗保险、住房公积金、养老保险以及日常公用费用。</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lang w:eastAsia="zh-CN"/>
        </w:rPr>
      </w:pPr>
      <w:r>
        <w:rPr>
          <w:rFonts w:hint="eastAsia" w:ascii="宋体" w:hAnsi="宋体" w:eastAsia="宋体" w:cs="宋体"/>
          <w:sz w:val="32"/>
          <w:szCs w:val="32"/>
          <w:lang w:val="en-US" w:eastAsia="zh-CN"/>
        </w:rPr>
        <w:t>县统计局认真贯彻落实厉行节约，严控三公经费，降低一般运行经费，加强项目支出管理等方面取得了一定成绩。</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rPr>
        <w:t>（</w:t>
      </w:r>
      <w:r>
        <w:rPr>
          <w:rFonts w:hint="eastAsia" w:ascii="楷体" w:hAnsi="楷体" w:eastAsia="楷体" w:cs="楷体"/>
          <w:b/>
          <w:bCs/>
          <w:sz w:val="32"/>
          <w:szCs w:val="32"/>
          <w:lang w:eastAsia="zh-CN"/>
        </w:rPr>
        <w:t>三</w:t>
      </w:r>
      <w:r>
        <w:rPr>
          <w:rFonts w:hint="eastAsia" w:ascii="楷体" w:hAnsi="楷体" w:eastAsia="楷体" w:cs="楷体"/>
          <w:b/>
          <w:bCs/>
          <w:sz w:val="32"/>
          <w:szCs w:val="32"/>
        </w:rPr>
        <w:t>）专项支出</w:t>
      </w:r>
    </w:p>
    <w:p>
      <w:pPr>
        <w:keepNext w:val="0"/>
        <w:keepLines w:val="0"/>
        <w:pageBreakBefore w:val="0"/>
        <w:kinsoku/>
        <w:wordWrap/>
        <w:overflowPunct/>
        <w:topLinePunct w:val="0"/>
        <w:autoSpaceDE/>
        <w:autoSpaceDN/>
        <w:bidi w:val="0"/>
        <w:adjustRightInd w:val="0"/>
        <w:snapToGrid w:val="0"/>
        <w:spacing w:line="520" w:lineRule="exact"/>
        <w:ind w:firstLine="960" w:firstLineChars="300"/>
        <w:textAlignment w:val="auto"/>
        <w:outlineLvl w:val="9"/>
        <w:rPr>
          <w:rFonts w:hint="eastAsia" w:ascii="宋体" w:hAnsi="宋体" w:eastAsia="宋体" w:cs="宋体"/>
          <w:sz w:val="32"/>
          <w:szCs w:val="32"/>
        </w:rPr>
      </w:pPr>
      <w:r>
        <w:rPr>
          <w:rFonts w:hint="eastAsia" w:ascii="宋体" w:hAnsi="宋体" w:eastAsia="宋体" w:cs="宋体"/>
          <w:sz w:val="32"/>
          <w:szCs w:val="32"/>
          <w:lang w:val="en-US" w:eastAsia="zh-CN"/>
        </w:rPr>
        <w:t>2022年各项专项支出537.47万元。为保证专项资金的规范管理，提高专项资金使用效率。我局出台了财务管理暂行办法，严格管理，做到专款专用，支付范围、标准、进度、依据符合规定，开支合理合法，无虚列套取，无截留、挤占、挪用资金情况发生。</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部门专项组织实施情况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2022年我局领导高度重视，多次对全年财务预算绩效管理召开专题会议进行部署，学习有关文件精神，研究部署绩效管理工作，全面有效地推行绩效考核管理。明确各职能部门绩效管理职责分工，将责任落实到股室、岗位，形成完整的绩效管理工作方案和指标考核评估体系，使绩效评估指标与各部门工作任务紧密结合起来，推动各项工作全面落实。</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仿宋" w:hAnsi="仿宋" w:eastAsia="仿宋" w:cs="仿宋"/>
          <w:sz w:val="32"/>
          <w:szCs w:val="32"/>
          <w:lang w:val="en-US" w:eastAsia="zh-CN"/>
        </w:rPr>
      </w:pPr>
      <w:r>
        <w:rPr>
          <w:rFonts w:hint="eastAsia" w:ascii="宋体" w:hAnsi="宋体" w:eastAsia="宋体" w:cs="宋体"/>
          <w:sz w:val="32"/>
          <w:szCs w:val="32"/>
          <w:lang w:val="en-US" w:eastAsia="zh-CN"/>
        </w:rPr>
        <w:t>项目经费制度正在不断健全，并能严格执行；项目的实际支出符合财经法规和财务管理制度，资金使用合理；各种账务处理及时准确，会计核算较为规范。至2022年底，我局各项专项资金的使用到达预期的各项绩效考核目标，圆满地实现了本年度专项资金的绩效考核管理目标。</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资产管理情况</w:t>
      </w:r>
    </w:p>
    <w:p>
      <w:pPr>
        <w:adjustRightInd w:val="0"/>
        <w:snapToGrid w:val="0"/>
        <w:spacing w:line="600" w:lineRule="exact"/>
        <w:ind w:firstLine="640" w:firstLineChars="200"/>
        <w:rPr>
          <w:rFonts w:hint="eastAsia" w:ascii="仿宋" w:hAnsi="仿宋" w:eastAsia="仿宋" w:cs="仿宋"/>
          <w:color w:val="222222"/>
          <w:sz w:val="32"/>
          <w:szCs w:val="32"/>
          <w:shd w:val="clear" w:fill="FFFFFF"/>
        </w:rPr>
      </w:pPr>
      <w:r>
        <w:rPr>
          <w:rFonts w:hint="eastAsia" w:asciiTheme="minorEastAsia" w:hAnsiTheme="minorEastAsia" w:eastAsiaTheme="minorEastAsia" w:cstheme="minorEastAsia"/>
          <w:sz w:val="32"/>
          <w:szCs w:val="32"/>
        </w:rPr>
        <w:t>我单位资产管理监督职能并入办公室，固定资产的管理严格按照财政规定，对所有固定资产按类进行登记，保证账实相符，固定资产的购入及时进行申报、登记，及时进行财务核算，对报废不能用的严格履行审批手续，未经报批不得处置。</w:t>
      </w:r>
    </w:p>
    <w:p>
      <w:pPr>
        <w:keepNext w:val="0"/>
        <w:keepLines w:val="0"/>
        <w:pageBreakBefore w:val="0"/>
        <w:numPr>
          <w:ilvl w:val="0"/>
          <w:numId w:val="2"/>
        </w:numPr>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rPr>
        <w:t>绩效</w:t>
      </w:r>
      <w:r>
        <w:rPr>
          <w:rFonts w:hint="eastAsia" w:ascii="黑体" w:hAnsi="黑体" w:eastAsia="黑体" w:cs="黑体"/>
          <w:b w:val="0"/>
          <w:bCs w:val="0"/>
          <w:sz w:val="32"/>
          <w:szCs w:val="32"/>
          <w:lang w:eastAsia="zh-CN"/>
        </w:rPr>
        <w:t>评价工作情况</w:t>
      </w:r>
    </w:p>
    <w:p>
      <w:pPr>
        <w:keepNext w:val="0"/>
        <w:keepLines w:val="0"/>
        <w:pageBreakBefore w:val="0"/>
        <w:numPr>
          <w:ilvl w:val="0"/>
          <w:numId w:val="0"/>
        </w:numPr>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u w:val="none"/>
        </w:rPr>
      </w:pPr>
      <w:r>
        <w:rPr>
          <w:rFonts w:hint="eastAsia" w:ascii="楷体" w:hAnsi="楷体" w:eastAsia="楷体" w:cs="楷体"/>
          <w:b/>
          <w:bCs/>
          <w:sz w:val="32"/>
          <w:szCs w:val="32"/>
          <w:u w:val="none"/>
        </w:rPr>
        <w:t>（一）绩效评价目的。</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此次绩效评价的目的是：严格落实《预算法》及省、市绩效管理工作的有关规定，进一步规范财政资金的管理，强化财政支出绩效理念，提升部门责任意识，提高资金使用效益，促进</w:t>
      </w:r>
      <w:r>
        <w:rPr>
          <w:rFonts w:hint="eastAsia" w:asciiTheme="minorEastAsia" w:hAnsiTheme="minorEastAsia" w:cstheme="minorEastAsia"/>
          <w:sz w:val="32"/>
          <w:szCs w:val="32"/>
          <w:lang w:val="en-US" w:eastAsia="zh-CN"/>
        </w:rPr>
        <w:t>统计</w:t>
      </w:r>
      <w:r>
        <w:rPr>
          <w:rFonts w:hint="eastAsia" w:asciiTheme="minorEastAsia" w:hAnsiTheme="minorEastAsia" w:eastAsiaTheme="minorEastAsia" w:cstheme="minorEastAsia"/>
          <w:sz w:val="32"/>
          <w:szCs w:val="32"/>
        </w:rPr>
        <w:t>事业的发展。</w:t>
      </w:r>
    </w:p>
    <w:p>
      <w:pPr>
        <w:keepNext w:val="0"/>
        <w:keepLines w:val="0"/>
        <w:pageBreakBefore w:val="0"/>
        <w:kinsoku/>
        <w:wordWrap/>
        <w:overflowPunct/>
        <w:topLinePunct w:val="0"/>
        <w:autoSpaceDE/>
        <w:autoSpaceDN/>
        <w:bidi w:val="0"/>
        <w:adjustRightInd w:val="0"/>
        <w:snapToGrid w:val="0"/>
        <w:spacing w:line="520" w:lineRule="exact"/>
        <w:ind w:firstLine="643" w:firstLineChars="200"/>
        <w:textAlignment w:val="auto"/>
        <w:outlineLvl w:val="9"/>
        <w:rPr>
          <w:rFonts w:hint="eastAsia" w:ascii="楷体" w:hAnsi="楷体" w:eastAsia="楷体" w:cs="楷体"/>
          <w:b/>
          <w:bCs/>
          <w:sz w:val="32"/>
          <w:szCs w:val="32"/>
        </w:rPr>
      </w:pPr>
      <w:r>
        <w:rPr>
          <w:rFonts w:hint="eastAsia" w:ascii="楷体" w:hAnsi="楷体" w:eastAsia="楷体" w:cs="楷体"/>
          <w:b/>
          <w:bCs/>
          <w:sz w:val="32"/>
          <w:szCs w:val="32"/>
          <w:u w:val="none"/>
        </w:rPr>
        <w:t>（二）绩效评价的主要过程。</w:t>
      </w:r>
    </w:p>
    <w:p>
      <w:pPr>
        <w:adjustRightInd w:val="0"/>
        <w:snapToGrid w:val="0"/>
        <w:spacing w:line="600" w:lineRule="exact"/>
        <w:ind w:firstLine="640" w:firstLineChars="200"/>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根据绩效评价的要求，我们成立了自评工作领导小组，对照自评方案进行研究和布署，党组成员、局属各单位及机关各</w:t>
      </w:r>
      <w:r>
        <w:rPr>
          <w:rFonts w:hint="eastAsia" w:asciiTheme="minorEastAsia" w:hAnsiTheme="minorEastAsia" w:cstheme="minorEastAsia"/>
          <w:sz w:val="32"/>
          <w:szCs w:val="32"/>
          <w:lang w:val="en-US" w:eastAsia="zh-CN"/>
        </w:rPr>
        <w:t>股</w:t>
      </w:r>
      <w:r>
        <w:rPr>
          <w:rFonts w:hint="eastAsia" w:asciiTheme="minorEastAsia" w:hAnsiTheme="minorEastAsia" w:eastAsiaTheme="minorEastAsia" w:cstheme="minorEastAsia"/>
          <w:sz w:val="32"/>
          <w:szCs w:val="32"/>
        </w:rPr>
        <w:t>室全程参与，按照自评方案的要求，对照各实施项目的内容逐条逐项自评。在自评过程发现问题，查找原因，及时纠正偏差，为下一步工作夯实基础。</w:t>
      </w:r>
    </w:p>
    <w:p>
      <w:pPr>
        <w:keepNext w:val="0"/>
        <w:keepLines w:val="0"/>
        <w:pageBreakBefore w:val="0"/>
        <w:numPr>
          <w:ilvl w:val="0"/>
          <w:numId w:val="3"/>
        </w:numPr>
        <w:tabs>
          <w:tab w:val="left" w:pos="618"/>
        </w:tabs>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lang w:eastAsia="zh-CN"/>
        </w:rPr>
      </w:pPr>
      <w:r>
        <w:rPr>
          <w:rFonts w:hint="eastAsia" w:ascii="黑体" w:hAnsi="黑体" w:eastAsia="黑体" w:cs="黑体"/>
          <w:b w:val="0"/>
          <w:bCs w:val="0"/>
          <w:sz w:val="32"/>
          <w:szCs w:val="32"/>
          <w:lang w:eastAsia="zh-CN"/>
        </w:rPr>
        <w:t>综合评价情况及评价结论</w:t>
      </w:r>
    </w:p>
    <w:p>
      <w:pPr>
        <w:numPr>
          <w:ilvl w:val="0"/>
          <w:numId w:val="4"/>
        </w:numPr>
        <w:spacing w:line="360" w:lineRule="auto"/>
        <w:ind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推动中央关于统计工作决策部署落细落地。</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640" w:firstLineChars="200"/>
        <w:textAlignment w:val="auto"/>
        <w:rPr>
          <w:rFonts w:hint="eastAsia" w:asciiTheme="minorEastAsia" w:hAnsiTheme="minorEastAsia" w:eastAsiaTheme="minorEastAsia" w:cstheme="minorEastAsia"/>
          <w:sz w:val="32"/>
          <w:szCs w:val="32"/>
        </w:rPr>
      </w:pPr>
      <w:r>
        <w:rPr>
          <w:rFonts w:hint="eastAsia" w:ascii="仿宋" w:hAnsi="仿宋" w:eastAsia="仿宋"/>
          <w:sz w:val="32"/>
          <w:szCs w:val="32"/>
        </w:rPr>
        <w:t>以</w:t>
      </w:r>
      <w:r>
        <w:rPr>
          <w:rFonts w:hint="eastAsia" w:asciiTheme="minorEastAsia" w:hAnsiTheme="minorEastAsia" w:eastAsiaTheme="minorEastAsia" w:cstheme="minorEastAsia"/>
          <w:sz w:val="32"/>
          <w:szCs w:val="32"/>
        </w:rPr>
        <w:t>国家对湖南省开展统计督察工作为契机,推动全县各级党委政府学习贯彻习近平总书记关于统计工作重要讲话及中央关于统计工作重要文件精神。建立防范和惩治统计造假、弄虚作假责任体系。</w:t>
      </w:r>
    </w:p>
    <w:p>
      <w:pPr>
        <w:numPr>
          <w:ilvl w:val="0"/>
          <w:numId w:val="4"/>
        </w:numPr>
        <w:ind w:left="0" w:leftChars="0"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抓实普查调查工作。</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围绕省委真抓实干、高质量发展评价、县委经济工作会议确定的社会发展主要预期目标、县第十三次党代会确定的“三兴三区”战略目标，做好经济增长、产业、需求、民生、节能降耗等指标的统计。做好人口普查资料的整理归档、人口普查数据解读及人口普查公报编辑发布。完成了人口抽样调查。做好综治满意度调查、禁毒工作满意度调查工作。做好重点民生实事评估认定。</w:t>
      </w:r>
    </w:p>
    <w:p>
      <w:pPr>
        <w:numPr>
          <w:ilvl w:val="0"/>
          <w:numId w:val="4"/>
        </w:numPr>
        <w:spacing w:line="360" w:lineRule="auto"/>
        <w:ind w:left="0" w:leftChars="0" w:firstLine="643" w:firstLineChars="200"/>
        <w:rPr>
          <w:rFonts w:hint="eastAsia" w:ascii="楷体" w:hAnsi="楷体" w:eastAsia="楷体" w:cs="楷体"/>
          <w:b/>
          <w:bCs/>
          <w:sz w:val="32"/>
          <w:szCs w:val="32"/>
          <w:u w:val="none"/>
        </w:rPr>
      </w:pPr>
      <w:r>
        <w:rPr>
          <w:rFonts w:hint="eastAsia" w:ascii="楷体" w:hAnsi="楷体" w:eastAsia="楷体" w:cs="楷体"/>
          <w:b/>
          <w:bCs/>
          <w:sz w:val="32"/>
          <w:szCs w:val="32"/>
          <w:u w:val="none"/>
        </w:rPr>
        <w:t>夯实统计基层基础。</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规范好乡镇统计站，稳定好乡镇统计员队伍，提高统计源头数据质量。在全县“四上”企业中开展了“夯基础，建台账”专项行动，督促全县240多家“四上”企业建立了统计台账。完善部门统计联系会议协调机制，进一步加大</w:t>
      </w:r>
      <w:r>
        <w:rPr>
          <w:rFonts w:hint="eastAsia" w:asciiTheme="minorEastAsia" w:hAnsiTheme="minorEastAsia" w:cstheme="minorEastAsia"/>
          <w:sz w:val="32"/>
          <w:szCs w:val="32"/>
          <w:lang w:val="en-US" w:eastAsia="zh-CN"/>
        </w:rPr>
        <w:t>各</w:t>
      </w:r>
      <w:r>
        <w:rPr>
          <w:rFonts w:hint="eastAsia" w:asciiTheme="minorEastAsia" w:hAnsiTheme="minorEastAsia" w:eastAsiaTheme="minorEastAsia" w:cstheme="minorEastAsia"/>
          <w:sz w:val="32"/>
          <w:szCs w:val="32"/>
        </w:rPr>
        <w:t>局合作力度，积极构建“大统计”格局。举办了第二期全县各乡镇场、相关部门、“四上”企业统计人员培训班，提高了统计人员业务水平。</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提高统计数据质量。</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ascii="仿宋" w:hAnsi="仿宋" w:eastAsia="仿宋" w:cs="方正仿宋_GBK"/>
          <w:sz w:val="32"/>
          <w:szCs w:val="32"/>
        </w:rPr>
      </w:pPr>
      <w:r>
        <w:rPr>
          <w:rFonts w:hint="eastAsia" w:asciiTheme="minorEastAsia" w:hAnsiTheme="minorEastAsia" w:eastAsiaTheme="minorEastAsia" w:cstheme="minorEastAsia"/>
          <w:sz w:val="32"/>
          <w:szCs w:val="32"/>
        </w:rPr>
        <w:t>继续完善GDP统一核算改革，实施软件和信息技术产业统计试点，不断深化 “三新”统计、劳动工资、固定资产投资、服务业、粮食生产等领域的统计制度改革工作。开展了将统计部门列为经济指标责任单位的文件清理工作。新入规“四上”企业和5000万元以上投资项目48家。开展了“千人进企业，服务提质效”统计专项核查行动。</w:t>
      </w:r>
    </w:p>
    <w:p>
      <w:pPr>
        <w:keepNext w:val="0"/>
        <w:keepLines w:val="0"/>
        <w:pageBreakBefore w:val="0"/>
        <w:widowControl w:val="0"/>
        <w:numPr>
          <w:ilvl w:val="0"/>
          <w:numId w:val="4"/>
        </w:numPr>
        <w:kinsoku/>
        <w:wordWrap/>
        <w:overflowPunct/>
        <w:topLinePunct w:val="0"/>
        <w:autoSpaceDE/>
        <w:autoSpaceDN/>
        <w:bidi w:val="0"/>
        <w:adjustRightInd/>
        <w:snapToGrid/>
        <w:spacing w:line="360" w:lineRule="auto"/>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持续推进依法治统。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推进统计法律法规宣传进党校、机关、学校、社区、农村、企业，全面提升全社会依法统计意识。12月8日，联合县国调队在振羽广场开展了12.4宪法日和12.8统计法颁布纪念日大型户</w:t>
      </w:r>
      <w:r>
        <w:rPr>
          <w:rFonts w:hint="eastAsia" w:asciiTheme="minorEastAsia" w:hAnsiTheme="minorEastAsia" w:cstheme="minorEastAsia"/>
          <w:sz w:val="32"/>
          <w:szCs w:val="32"/>
          <w:lang w:val="en-US" w:eastAsia="zh-CN"/>
        </w:rPr>
        <w:t>外</w:t>
      </w:r>
      <w:r>
        <w:rPr>
          <w:rFonts w:hint="eastAsia" w:asciiTheme="minorEastAsia" w:hAnsiTheme="minorEastAsia" w:eastAsiaTheme="minorEastAsia" w:cstheme="minorEastAsia"/>
          <w:sz w:val="32"/>
          <w:szCs w:val="32"/>
        </w:rPr>
        <w:t>宣传活动。实施了“双随机、一公开”统计执法制度，开展了三起统计执法检查。</w:t>
      </w:r>
    </w:p>
    <w:p>
      <w:pPr>
        <w:keepNext w:val="0"/>
        <w:keepLines w:val="0"/>
        <w:pageBreakBefore w:val="0"/>
        <w:widowControl w:val="0"/>
        <w:numPr>
          <w:ilvl w:val="0"/>
          <w:numId w:val="4"/>
        </w:numPr>
        <w:kinsoku/>
        <w:wordWrap/>
        <w:overflowPunct/>
        <w:topLinePunct w:val="0"/>
        <w:autoSpaceDE/>
        <w:autoSpaceDN/>
        <w:bidi w:val="0"/>
        <w:adjustRightInd/>
        <w:snapToGrid/>
        <w:ind w:left="0" w:leftChars="0" w:firstLine="643" w:firstLineChars="200"/>
        <w:textAlignment w:val="auto"/>
        <w:rPr>
          <w:rFonts w:hint="eastAsia" w:ascii="楷体" w:hAnsi="楷体" w:eastAsia="楷体" w:cs="楷体"/>
          <w:b/>
          <w:bCs/>
          <w:sz w:val="32"/>
          <w:szCs w:val="32"/>
          <w:u w:val="none"/>
        </w:rPr>
      </w:pPr>
      <w:r>
        <w:rPr>
          <w:rFonts w:hint="eastAsia" w:ascii="楷体" w:hAnsi="楷体" w:eastAsia="楷体" w:cs="楷体"/>
          <w:b/>
          <w:bCs/>
          <w:sz w:val="32"/>
          <w:szCs w:val="32"/>
          <w:u w:val="none"/>
        </w:rPr>
        <w:t>全力提升服务水平。</w:t>
      </w:r>
    </w:p>
    <w:p>
      <w:pPr>
        <w:keepNext w:val="0"/>
        <w:keepLines w:val="0"/>
        <w:pageBreakBefore w:val="0"/>
        <w:widowControl w:val="0"/>
        <w:numPr>
          <w:ilvl w:val="0"/>
          <w:numId w:val="0"/>
        </w:numPr>
        <w:kinsoku/>
        <w:wordWrap/>
        <w:overflowPunct/>
        <w:topLinePunct w:val="0"/>
        <w:autoSpaceDE/>
        <w:autoSpaceDN/>
        <w:bidi w:val="0"/>
        <w:adjustRightInd/>
        <w:snapToGrid/>
        <w:ind w:leftChars="200" w:firstLine="640" w:firstLineChars="200"/>
        <w:textAlignment w:val="auto"/>
        <w:rPr>
          <w:rFonts w:hint="eastAsia" w:asciiTheme="minorEastAsia" w:hAnsiTheme="minorEastAsia" w:eastAsiaTheme="minorEastAsia" w:cstheme="minorEastAsia"/>
          <w:sz w:val="32"/>
          <w:szCs w:val="32"/>
        </w:rPr>
      </w:pPr>
      <w:r>
        <w:rPr>
          <w:rFonts w:hint="eastAsia" w:asciiTheme="minorEastAsia" w:hAnsiTheme="minorEastAsia" w:eastAsiaTheme="minorEastAsia" w:cstheme="minorEastAsia"/>
          <w:sz w:val="32"/>
          <w:szCs w:val="32"/>
        </w:rPr>
        <w:t>围绕县委县政府重点工作中主要经济指标目标任务及高质量发展指标体系，加强动态跟踪监测，一月一分析、一调度，及时发现经济运行存在的问题，向县委县政府及相关部门发出预警，为县委县政府调度经济工作提供统计数据。高质量编制统计公报、统计年鉴、统计月报卡等统计资料，为各级党委政府、各部门、社会各界提供详细的统计数据资料。</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rPr>
        <w:t>根据《部门整体支出绩效评价指标》评分表自评</w:t>
      </w:r>
      <w:r>
        <w:rPr>
          <w:rFonts w:hint="eastAsia" w:asciiTheme="minorEastAsia" w:hAnsiTheme="minorEastAsia" w:eastAsiaTheme="minorEastAsia" w:cstheme="minorEastAsia"/>
          <w:sz w:val="32"/>
          <w:szCs w:val="32"/>
          <w:lang w:val="en-US" w:eastAsia="zh-CN"/>
        </w:rPr>
        <w:t>良好。</w:t>
      </w:r>
    </w:p>
    <w:p>
      <w:pPr>
        <w:keepNext w:val="0"/>
        <w:keepLines w:val="0"/>
        <w:pageBreakBefore w:val="0"/>
        <w:kinsoku/>
        <w:wordWrap/>
        <w:overflowPunct/>
        <w:topLinePunct w:val="0"/>
        <w:autoSpaceDE/>
        <w:autoSpaceDN/>
        <w:bidi w:val="0"/>
        <w:adjustRightInd w:val="0"/>
        <w:snapToGrid w:val="0"/>
        <w:spacing w:line="520" w:lineRule="exact"/>
        <w:ind w:firstLine="640" w:firstLineChars="2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lang w:eastAsia="zh-CN"/>
        </w:rPr>
        <w:t>七</w:t>
      </w:r>
      <w:r>
        <w:rPr>
          <w:rFonts w:hint="eastAsia" w:ascii="黑体" w:hAnsi="黑体" w:eastAsia="黑体" w:cs="黑体"/>
          <w:b w:val="0"/>
          <w:bCs w:val="0"/>
          <w:sz w:val="32"/>
          <w:szCs w:val="32"/>
        </w:rPr>
        <w:t>、部门整体支出主要绩效</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eastAsia="zh-CN"/>
        </w:rPr>
        <w:t>从预算配置情况看，预算资金覆盖所有工作的各个需求方面，“三公”经费预算没有超过上年预算安排。</w:t>
      </w:r>
      <w:r>
        <w:rPr>
          <w:rFonts w:hint="eastAsia" w:asciiTheme="minorEastAsia" w:hAnsiTheme="minorEastAsia" w:eastAsiaTheme="minorEastAsia" w:cstheme="minorEastAsia"/>
          <w:sz w:val="32"/>
          <w:szCs w:val="32"/>
          <w:lang w:val="en-US" w:eastAsia="zh-CN"/>
        </w:rPr>
        <w:t>2021年预算资金能保障单位正常运转需要，考虑因素必要合理，分配的结果合理，能基本保证人员经费支出和单位全年工作任务的完成。</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val="en-US" w:eastAsia="zh-CN"/>
        </w:rPr>
        <w:t>对于重点工作经费的安排，我局全力保障，党组集体研究决定，所有人口普查的费用专项专用、按需使用，集中资金、集中人员求实创新，积极办大事，</w:t>
      </w:r>
      <w:r>
        <w:rPr>
          <w:rFonts w:hint="eastAsia" w:asciiTheme="minorEastAsia" w:hAnsiTheme="minorEastAsia" w:eastAsiaTheme="minorEastAsia" w:cstheme="minorEastAsia"/>
          <w:sz w:val="32"/>
          <w:szCs w:val="32"/>
          <w:lang w:eastAsia="zh-CN"/>
        </w:rPr>
        <w:t>基本保证了全局重点工作的需要。</w:t>
      </w:r>
    </w:p>
    <w:p>
      <w:pPr>
        <w:ind w:firstLine="640"/>
        <w:rPr>
          <w:rFonts w:hint="eastAsia" w:asciiTheme="minorEastAsia" w:hAnsiTheme="minorEastAsia" w:eastAsiaTheme="minorEastAsia" w:cstheme="minorEastAsia"/>
          <w:sz w:val="32"/>
          <w:szCs w:val="32"/>
          <w:lang w:val="en-US" w:eastAsia="zh-CN"/>
        </w:rPr>
      </w:pPr>
      <w:r>
        <w:rPr>
          <w:rFonts w:hint="eastAsia" w:asciiTheme="minorEastAsia" w:hAnsiTheme="minorEastAsia" w:eastAsiaTheme="minorEastAsia" w:cstheme="minorEastAsia"/>
          <w:sz w:val="32"/>
          <w:szCs w:val="32"/>
          <w:lang w:val="en-US" w:eastAsia="zh-CN"/>
        </w:rPr>
        <w:t xml:space="preserve"> 从预算执行情况看，我局结转资金已按照规定上报，“三公”经费支出控制在年初预算内，与上年支出比大幅减少。从预算管理看，建立健全了《财务管理制度》、《预算工作经费报销管理制度》等内部制度。从资产管理看，固定资产做到帐证、帐实相符，基本无闲置浪费现象。</w:t>
      </w:r>
    </w:p>
    <w:p>
      <w:pPr>
        <w:keepNext w:val="0"/>
        <w:keepLines w:val="0"/>
        <w:pageBreakBefore w:val="0"/>
        <w:numPr>
          <w:ilvl w:val="0"/>
          <w:numId w:val="5"/>
        </w:numPr>
        <w:kinsoku/>
        <w:wordWrap/>
        <w:overflowPunct/>
        <w:topLinePunct w:val="0"/>
        <w:autoSpaceDE/>
        <w:autoSpaceDN/>
        <w:bidi w:val="0"/>
        <w:adjustRightInd w:val="0"/>
        <w:snapToGrid w:val="0"/>
        <w:spacing w:line="520" w:lineRule="exact"/>
        <w:ind w:leftChars="200" w:firstLine="320" w:firstLineChars="100"/>
        <w:textAlignment w:val="auto"/>
        <w:outlineLvl w:val="9"/>
        <w:rPr>
          <w:rFonts w:hint="eastAsia" w:ascii="黑体" w:hAnsi="黑体" w:eastAsia="黑体" w:cs="黑体"/>
          <w:b w:val="0"/>
          <w:bCs w:val="0"/>
          <w:sz w:val="32"/>
          <w:szCs w:val="32"/>
        </w:rPr>
      </w:pPr>
      <w:r>
        <w:rPr>
          <w:rFonts w:hint="eastAsia" w:ascii="黑体" w:hAnsi="黑体" w:eastAsia="黑体" w:cs="黑体"/>
          <w:b w:val="0"/>
          <w:bCs w:val="0"/>
          <w:sz w:val="32"/>
          <w:szCs w:val="32"/>
        </w:rPr>
        <w:t>存在的问题</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eastAsiaTheme="minorEastAsia" w:cstheme="minorEastAsia"/>
          <w:sz w:val="32"/>
          <w:szCs w:val="32"/>
          <w:lang w:eastAsia="zh-CN"/>
        </w:rPr>
        <w:t>通过对我局整体支出情况的分析，反映出目前在整体支出的预算编制、执行和管理过程中，依然存在一些问题和不足。这些不足，有些是我局自身可以改进的，有些则需要财政的关心和倾斜。</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一</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预算执行不够完善。</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二</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资金不足。主要是各项中心工作的经费以及年度奖励性工资没有纳入</w:t>
      </w:r>
      <w:r>
        <w:rPr>
          <w:rFonts w:hint="eastAsia" w:asciiTheme="minorEastAsia" w:hAnsiTheme="minorEastAsia" w:eastAsiaTheme="minorEastAsia" w:cstheme="minorEastAsia"/>
          <w:sz w:val="32"/>
          <w:szCs w:val="32"/>
          <w:lang w:val="en-US" w:eastAsia="zh-CN"/>
        </w:rPr>
        <w:t>财政</w:t>
      </w:r>
      <w:r>
        <w:rPr>
          <w:rFonts w:hint="eastAsia" w:asciiTheme="minorEastAsia" w:hAnsiTheme="minorEastAsia" w:eastAsiaTheme="minorEastAsia" w:cstheme="minorEastAsia"/>
          <w:sz w:val="32"/>
          <w:szCs w:val="32"/>
          <w:lang w:eastAsia="zh-CN"/>
        </w:rPr>
        <w:t>预算。</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三</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财政资金紧张，导致</w:t>
      </w:r>
      <w:r>
        <w:rPr>
          <w:rFonts w:hint="eastAsia" w:asciiTheme="minorEastAsia" w:hAnsiTheme="minorEastAsia" w:eastAsiaTheme="minorEastAsia" w:cstheme="minorEastAsia"/>
          <w:sz w:val="32"/>
          <w:szCs w:val="32"/>
          <w:lang w:val="en-US" w:eastAsia="zh-CN"/>
        </w:rPr>
        <w:t>202</w:t>
      </w:r>
      <w:r>
        <w:rPr>
          <w:rFonts w:hint="eastAsia" w:asciiTheme="minorEastAsia" w:hAnsiTheme="minorEastAsia" w:cstheme="minorEastAsia"/>
          <w:sz w:val="32"/>
          <w:szCs w:val="32"/>
          <w:lang w:val="en-US" w:eastAsia="zh-CN"/>
        </w:rPr>
        <w:t>2</w:t>
      </w:r>
      <w:r>
        <w:rPr>
          <w:rFonts w:hint="eastAsia" w:asciiTheme="minorEastAsia" w:hAnsiTheme="minorEastAsia" w:eastAsiaTheme="minorEastAsia" w:cstheme="minorEastAsia"/>
          <w:sz w:val="32"/>
          <w:szCs w:val="32"/>
          <w:lang w:val="en-US" w:eastAsia="zh-CN"/>
        </w:rPr>
        <w:t>年开支没有完全支付。</w:t>
      </w:r>
    </w:p>
    <w:p>
      <w:pPr>
        <w:ind w:firstLine="640"/>
        <w:rPr>
          <w:rFonts w:hint="eastAsia" w:asciiTheme="minorEastAsia" w:hAnsiTheme="minorEastAsia" w:eastAsiaTheme="minorEastAsia" w:cstheme="minorEastAsia"/>
          <w:sz w:val="32"/>
          <w:szCs w:val="32"/>
          <w:lang w:eastAsia="zh-CN"/>
        </w:rPr>
      </w:pPr>
      <w:r>
        <w:rPr>
          <w:rFonts w:hint="eastAsia" w:asciiTheme="minorEastAsia" w:hAnsiTheme="minorEastAsia" w:cstheme="minorEastAsia"/>
          <w:sz w:val="32"/>
          <w:szCs w:val="32"/>
          <w:lang w:eastAsia="zh-CN"/>
        </w:rPr>
        <w:t>（</w:t>
      </w:r>
      <w:r>
        <w:rPr>
          <w:rFonts w:hint="eastAsia" w:asciiTheme="minorEastAsia" w:hAnsiTheme="minorEastAsia" w:cstheme="minorEastAsia"/>
          <w:sz w:val="32"/>
          <w:szCs w:val="32"/>
          <w:lang w:val="en-US" w:eastAsia="zh-CN"/>
        </w:rPr>
        <w:t>四</w:t>
      </w:r>
      <w:r>
        <w:rPr>
          <w:rFonts w:hint="eastAsia" w:asciiTheme="minorEastAsia" w:hAnsiTheme="minorEastAsia" w:cstheme="minorEastAsia"/>
          <w:sz w:val="32"/>
          <w:szCs w:val="32"/>
          <w:lang w:eastAsia="zh-CN"/>
        </w:rPr>
        <w:t>）</w:t>
      </w:r>
      <w:r>
        <w:rPr>
          <w:rFonts w:hint="eastAsia" w:asciiTheme="minorEastAsia" w:hAnsiTheme="minorEastAsia" w:eastAsiaTheme="minorEastAsia" w:cstheme="minorEastAsia"/>
          <w:sz w:val="32"/>
          <w:szCs w:val="32"/>
          <w:lang w:eastAsia="zh-CN"/>
        </w:rPr>
        <w:t>干部职工预算绩效意识有待提高。</w:t>
      </w:r>
    </w:p>
    <w:p>
      <w:pPr>
        <w:pStyle w:val="3"/>
        <w:keepNext w:val="0"/>
        <w:keepLines w:val="0"/>
        <w:pageBreakBefore w:val="0"/>
        <w:widowControl/>
        <w:numPr>
          <w:ilvl w:val="0"/>
          <w:numId w:val="0"/>
        </w:numPr>
        <w:suppressLineNumbers w:val="0"/>
        <w:kinsoku/>
        <w:wordWrap/>
        <w:overflowPunct/>
        <w:topLinePunct w:val="0"/>
        <w:autoSpaceDE/>
        <w:autoSpaceDN/>
        <w:bidi w:val="0"/>
        <w:spacing w:before="0" w:after="0" w:line="520" w:lineRule="exact"/>
        <w:ind w:right="0" w:rightChars="0" w:firstLine="640" w:firstLineChars="200"/>
        <w:jc w:val="left"/>
        <w:textAlignment w:val="auto"/>
        <w:outlineLvl w:val="9"/>
        <w:rPr>
          <w:rFonts w:hint="eastAsia" w:ascii="黑体" w:hAnsi="黑体" w:eastAsia="黑体" w:cs="黑体"/>
          <w:b w:val="0"/>
          <w:bCs w:val="0"/>
          <w:sz w:val="32"/>
          <w:szCs w:val="32"/>
        </w:rPr>
      </w:pPr>
      <w:r>
        <w:rPr>
          <w:rFonts w:hint="eastAsia" w:ascii="黑体" w:hAnsi="黑体" w:eastAsia="黑体" w:cs="黑体"/>
          <w:b w:val="0"/>
          <w:bCs w:val="0"/>
          <w:color w:val="000000"/>
          <w:sz w:val="32"/>
          <w:szCs w:val="32"/>
          <w:lang w:eastAsia="zh-CN"/>
        </w:rPr>
        <w:t>九、</w:t>
      </w:r>
      <w:r>
        <w:rPr>
          <w:rFonts w:hint="eastAsia" w:ascii="黑体" w:hAnsi="黑体" w:eastAsia="黑体" w:cs="黑体"/>
          <w:b w:val="0"/>
          <w:bCs w:val="0"/>
          <w:sz w:val="32"/>
          <w:szCs w:val="32"/>
        </w:rPr>
        <w:t>改进措施和有关建议</w:t>
      </w:r>
    </w:p>
    <w:p>
      <w:pPr>
        <w:ind w:firstLine="640"/>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为进一步提高本部门整体绩效支出，在预算编制和预算执行中，我们提出以下建议：</w:t>
      </w:r>
    </w:p>
    <w:p>
      <w:pPr>
        <w:ind w:firstLine="64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１、规范账务处理，提高财务信息质量</w:t>
      </w:r>
    </w:p>
    <w:p>
      <w:pPr>
        <w:ind w:firstLine="640"/>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eastAsia="zh-CN"/>
        </w:rPr>
        <w:t>严格按照《会计法》、《行政单位会计制度》、《行政单位财务规则》等规定执行财务核算，并结合实际情况，完整、准确地披露相关信息，尽可能地做到决算与预算相衔接。</w:t>
      </w:r>
    </w:p>
    <w:p>
      <w:pPr>
        <w:ind w:firstLine="640"/>
        <w:rPr>
          <w:rFonts w:hint="eastAsia" w:asciiTheme="minorEastAsia" w:hAnsiTheme="minorEastAsia" w:cstheme="minorEastAsia"/>
          <w:sz w:val="32"/>
          <w:szCs w:val="32"/>
          <w:lang w:eastAsia="zh-CN"/>
        </w:rPr>
      </w:pPr>
      <w:r>
        <w:rPr>
          <w:rFonts w:hint="default" w:asciiTheme="minorEastAsia" w:hAnsiTheme="minorEastAsia" w:cstheme="minorEastAsia"/>
          <w:sz w:val="32"/>
          <w:szCs w:val="32"/>
          <w:lang w:eastAsia="zh-CN"/>
        </w:rPr>
        <w:t>2、</w:t>
      </w:r>
      <w:r>
        <w:rPr>
          <w:rFonts w:hint="eastAsia" w:asciiTheme="minorEastAsia" w:hAnsiTheme="minorEastAsia" w:cstheme="minorEastAsia"/>
          <w:sz w:val="32"/>
          <w:szCs w:val="32"/>
          <w:lang w:eastAsia="zh-CN"/>
        </w:rPr>
        <w:t>完善管理制度，进一步加强资产管理进一步贯彻落实中央“八项规定”和湖南省委“九条规定”，建立本部门“三公经费”等公务支出管理制度及厉行节约制度，加强经费审批和控制，规范支出标准与范围，并严格执行。严格按照《固定资产管理办法》的规定加强固定资产管理，及时登记、更新台账，加强资产卡片管理，年终前对各类实物资产进行全面盘点，确保账账、账实相符。</w:t>
      </w:r>
    </w:p>
    <w:p>
      <w:pPr>
        <w:ind w:firstLine="640"/>
        <w:rPr>
          <w:rFonts w:hint="eastAsia" w:asciiTheme="minorEastAsia" w:hAnsiTheme="minorEastAsia" w:cstheme="minorEastAsia"/>
          <w:sz w:val="32"/>
          <w:szCs w:val="32"/>
          <w:lang w:eastAsia="zh-CN"/>
        </w:rPr>
      </w:pPr>
      <w:r>
        <w:rPr>
          <w:rFonts w:hint="default" w:asciiTheme="minorEastAsia" w:hAnsiTheme="minorEastAsia" w:cstheme="minorEastAsia"/>
          <w:sz w:val="32"/>
          <w:szCs w:val="32"/>
          <w:lang w:eastAsia="zh-CN"/>
        </w:rPr>
        <w:t>3、</w:t>
      </w:r>
      <w:r>
        <w:rPr>
          <w:rFonts w:hint="eastAsia" w:asciiTheme="minorEastAsia" w:hAnsiTheme="minorEastAsia" w:cstheme="minorEastAsia"/>
          <w:sz w:val="32"/>
          <w:szCs w:val="32"/>
          <w:lang w:eastAsia="zh-CN"/>
        </w:rPr>
        <w:t>加强新行政单位会计制度和新预算法学习培训加强新《预算法》、《行政单位会计制度》等学习培训，规范部门预算收支核算，一是制定和完善基本支出、项目支出等各项支出标准，严格按项目和进度执行预算，增强预算的约束力和严肃性。二是落实预算执行分析，及时了解预算执行差异，合理调整、纠正预算执行偏差，切实提高部门预算收支管理水平。</w:t>
      </w:r>
    </w:p>
    <w:p>
      <w:pPr>
        <w:ind w:firstLine="640"/>
        <w:rPr>
          <w:rFonts w:hint="eastAsia" w:asciiTheme="minorEastAsia" w:hAnsiTheme="minorEastAsia" w:cstheme="minorEastAsia"/>
          <w:sz w:val="32"/>
          <w:szCs w:val="32"/>
          <w:lang w:val="en-US" w:eastAsia="zh-CN"/>
        </w:rPr>
      </w:pPr>
    </w:p>
    <w:p>
      <w:pPr>
        <w:ind w:firstLine="640"/>
        <w:jc w:val="right"/>
        <w:rPr>
          <w:rFonts w:hint="eastAsia" w:asciiTheme="minorEastAsia" w:hAnsiTheme="minorEastAsia" w:cstheme="minorEastAsia"/>
          <w:sz w:val="32"/>
          <w:szCs w:val="32"/>
          <w:lang w:eastAsia="zh-CN"/>
        </w:rPr>
      </w:pPr>
      <w:r>
        <w:rPr>
          <w:rFonts w:hint="eastAsia" w:asciiTheme="minorEastAsia" w:hAnsiTheme="minorEastAsia" w:cstheme="minorEastAsia"/>
          <w:sz w:val="32"/>
          <w:szCs w:val="32"/>
          <w:lang w:val="en-US" w:eastAsia="zh-CN"/>
        </w:rPr>
        <w:t xml:space="preserve">               </w:t>
      </w:r>
      <w:r>
        <w:rPr>
          <w:rFonts w:hint="eastAsia" w:asciiTheme="minorEastAsia" w:hAnsiTheme="minorEastAsia" w:cstheme="minorEastAsia"/>
          <w:sz w:val="32"/>
          <w:szCs w:val="32"/>
          <w:lang w:eastAsia="zh-CN"/>
        </w:rPr>
        <w:t>邵阳县统计局</w:t>
      </w:r>
    </w:p>
    <w:p>
      <w:pPr>
        <w:ind w:firstLine="640"/>
        <w:jc w:val="right"/>
        <w:rPr>
          <w:rFonts w:hint="eastAsia" w:asciiTheme="minorEastAsia" w:hAnsiTheme="minorEastAsia" w:cstheme="minorEastAsia"/>
          <w:sz w:val="32"/>
          <w:szCs w:val="32"/>
          <w:lang w:val="en-US" w:eastAsia="zh-CN"/>
        </w:rPr>
      </w:pPr>
      <w:r>
        <w:rPr>
          <w:rFonts w:hint="eastAsia" w:asciiTheme="minorEastAsia" w:hAnsiTheme="minorEastAsia" w:cstheme="minorEastAsia"/>
          <w:sz w:val="32"/>
          <w:szCs w:val="32"/>
          <w:lang w:val="en-US" w:eastAsia="zh-CN"/>
        </w:rPr>
        <w:t xml:space="preserve">                             2023年2月28日</w:t>
      </w:r>
    </w:p>
    <w:p>
      <w:pPr>
        <w:keepNext w:val="0"/>
        <w:keepLines w:val="0"/>
        <w:pageBreakBefore w:val="0"/>
        <w:kinsoku/>
        <w:wordWrap/>
        <w:overflowPunct/>
        <w:topLinePunct w:val="0"/>
        <w:autoSpaceDE/>
        <w:autoSpaceDN/>
        <w:bidi w:val="0"/>
        <w:spacing w:line="520" w:lineRule="exact"/>
        <w:textAlignment w:val="auto"/>
        <w:outlineLvl w:val="9"/>
        <w:rPr>
          <w:rFonts w:hint="eastAsia" w:ascii="仿宋" w:hAnsi="仿宋" w:eastAsia="仿宋" w:cs="仿宋"/>
          <w:sz w:val="32"/>
          <w:szCs w:val="32"/>
        </w:rPr>
      </w:pPr>
    </w:p>
    <w:sectPr>
      <w:pgSz w:w="11906" w:h="16838"/>
      <w:pgMar w:top="1984" w:right="1587" w:bottom="1587"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altName w:val="微软雅黑"/>
    <w:panose1 w:val="03000509000000000000"/>
    <w:charset w:val="86"/>
    <w:family w:val="script"/>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仿宋_GBK">
    <w:altName w:val="微软雅黑"/>
    <w:panose1 w:val="00000000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B41665F"/>
    <w:multiLevelType w:val="singleLevel"/>
    <w:tmpl w:val="EB41665F"/>
    <w:lvl w:ilvl="0" w:tentative="0">
      <w:start w:val="1"/>
      <w:numFmt w:val="chineseCounting"/>
      <w:suff w:val="nothing"/>
      <w:lvlText w:val="（%1）"/>
      <w:lvlJc w:val="left"/>
      <w:rPr>
        <w:rFonts w:hint="eastAsia"/>
      </w:rPr>
    </w:lvl>
  </w:abstractNum>
  <w:abstractNum w:abstractNumId="1">
    <w:nsid w:val="183AF6C0"/>
    <w:multiLevelType w:val="singleLevel"/>
    <w:tmpl w:val="183AF6C0"/>
    <w:lvl w:ilvl="0" w:tentative="0">
      <w:start w:val="6"/>
      <w:numFmt w:val="chineseCounting"/>
      <w:suff w:val="nothing"/>
      <w:lvlText w:val="%1、"/>
      <w:lvlJc w:val="left"/>
      <w:rPr>
        <w:rFonts w:hint="eastAsia"/>
      </w:rPr>
    </w:lvl>
  </w:abstractNum>
  <w:abstractNum w:abstractNumId="2">
    <w:nsid w:val="5AB4BAF4"/>
    <w:multiLevelType w:val="singleLevel"/>
    <w:tmpl w:val="5AB4BAF4"/>
    <w:lvl w:ilvl="0" w:tentative="0">
      <w:start w:val="1"/>
      <w:numFmt w:val="chineseCounting"/>
      <w:suff w:val="nothing"/>
      <w:lvlText w:val="%1、"/>
      <w:lvlJc w:val="left"/>
    </w:lvl>
  </w:abstractNum>
  <w:abstractNum w:abstractNumId="3">
    <w:nsid w:val="5AB4BB4C"/>
    <w:multiLevelType w:val="singleLevel"/>
    <w:tmpl w:val="5AB4BB4C"/>
    <w:lvl w:ilvl="0" w:tentative="0">
      <w:start w:val="3"/>
      <w:numFmt w:val="chineseCounting"/>
      <w:suff w:val="nothing"/>
      <w:lvlText w:val="%1、"/>
      <w:lvlJc w:val="left"/>
    </w:lvl>
  </w:abstractNum>
  <w:abstractNum w:abstractNumId="4">
    <w:nsid w:val="5AB4BB70"/>
    <w:multiLevelType w:val="singleLevel"/>
    <w:tmpl w:val="5AB4BB70"/>
    <w:lvl w:ilvl="0" w:tentative="0">
      <w:start w:val="8"/>
      <w:numFmt w:val="chineseCounting"/>
      <w:suff w:val="nothing"/>
      <w:lvlText w:val="%1、"/>
      <w:lvlJc w:val="left"/>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99C446F"/>
    <w:rsid w:val="04986911"/>
    <w:rsid w:val="05946EE9"/>
    <w:rsid w:val="08FD2036"/>
    <w:rsid w:val="09075639"/>
    <w:rsid w:val="0B307BC2"/>
    <w:rsid w:val="0BCA1965"/>
    <w:rsid w:val="10245702"/>
    <w:rsid w:val="10702A34"/>
    <w:rsid w:val="162C7723"/>
    <w:rsid w:val="185E7558"/>
    <w:rsid w:val="1DC01855"/>
    <w:rsid w:val="260C5E81"/>
    <w:rsid w:val="2AF22A07"/>
    <w:rsid w:val="2B327F2F"/>
    <w:rsid w:val="30AB3688"/>
    <w:rsid w:val="34FC4F15"/>
    <w:rsid w:val="38C32698"/>
    <w:rsid w:val="3A457311"/>
    <w:rsid w:val="3E0F1F4F"/>
    <w:rsid w:val="3E870233"/>
    <w:rsid w:val="44C5255E"/>
    <w:rsid w:val="47DF2E47"/>
    <w:rsid w:val="506D31AA"/>
    <w:rsid w:val="52605C4F"/>
    <w:rsid w:val="52ED67FA"/>
    <w:rsid w:val="56CF3058"/>
    <w:rsid w:val="57BD5ADE"/>
    <w:rsid w:val="588C6A5D"/>
    <w:rsid w:val="5B3A4F4C"/>
    <w:rsid w:val="5C643B27"/>
    <w:rsid w:val="5F8D730A"/>
    <w:rsid w:val="63BA52A0"/>
    <w:rsid w:val="6AC94D6E"/>
    <w:rsid w:val="6B2178A8"/>
    <w:rsid w:val="6CB133A5"/>
    <w:rsid w:val="6CC03CFC"/>
    <w:rsid w:val="70ED3001"/>
    <w:rsid w:val="751A41E0"/>
    <w:rsid w:val="754E4CF0"/>
    <w:rsid w:val="7696416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iPriority="99"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Plain Text"/>
    <w:basedOn w:val="1"/>
    <w:unhideWhenUsed/>
    <w:qFormat/>
    <w:uiPriority w:val="99"/>
    <w:rPr>
      <w:rFonts w:ascii="宋体" w:hAnsi="Courier New" w:cs="Courier New"/>
      <w:szCs w:val="21"/>
    </w:rPr>
  </w:style>
  <w:style w:type="paragraph" w:styleId="3">
    <w:name w:val="Normal (Web)"/>
    <w:basedOn w:val="1"/>
    <w:qFormat/>
    <w:uiPriority w:val="0"/>
    <w:pPr>
      <w:pBdr>
        <w:top w:val="none" w:color="auto" w:sz="0" w:space="0"/>
        <w:left w:val="none" w:color="auto" w:sz="0" w:space="0"/>
        <w:bottom w:val="none" w:color="auto" w:sz="0" w:space="0"/>
        <w:right w:val="none" w:color="auto" w:sz="0" w:space="0"/>
      </w:pBdr>
      <w:spacing w:before="0" w:beforeAutospacing="0" w:after="0" w:afterAutospacing="0"/>
      <w:ind w:left="0" w:right="0"/>
      <w:jc w:val="left"/>
    </w:pPr>
    <w:rPr>
      <w:kern w:val="0"/>
      <w:sz w:val="18"/>
      <w:szCs w:val="18"/>
      <w:lang w:val="en-US" w:eastAsia="zh-CN" w:bidi="ar"/>
    </w:rPr>
  </w:style>
  <w:style w:type="character" w:styleId="6">
    <w:name w:val="FollowedHyperlink"/>
    <w:basedOn w:val="5"/>
    <w:qFormat/>
    <w:uiPriority w:val="0"/>
    <w:rPr>
      <w:color w:val="121212"/>
      <w:u w:val="none"/>
    </w:rPr>
  </w:style>
  <w:style w:type="character" w:styleId="7">
    <w:name w:val="Hyperlink"/>
    <w:basedOn w:val="5"/>
    <w:qFormat/>
    <w:uiPriority w:val="0"/>
    <w:rPr>
      <w:rFonts w:cs="Times New Roman"/>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22</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2017-01-04T08:20:00Z</dcterms:created>
  <dc:creator>Administrator</dc:creator>
  <cp:lastModifiedBy>02</cp:lastModifiedBy>
  <cp:lastPrinted>2023-03-29T01:04:52Z</cp:lastPrinted>
  <dcterms:modified xsi:type="dcterms:W3CDTF">2023-03-29T02:19:25Z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y fmtid="{D5CDD505-2E9C-101B-9397-08002B2CF9AE}" pid="3" name="ICV">
    <vt:lpwstr>6DB0BB54CA8E417F880F9516758D995E</vt:lpwstr>
  </property>
</Properties>
</file>