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湖南省邵阳市邵阳县蔡桥乡履行</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eastAsiaTheme="minorEastAsia"/>
              <w:lang w:val="zh-CN" w:eastAsia="zh-CN"/>
            </w:rPr>
          </w:pP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BC1F4F">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BC1F4F">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0"/>
      <w:bookmarkStart w:name="_Toc172077551" w:id="1"/>
      <w:bookmarkStart w:name="_Toc172077949" w:id="2"/>
      <w:bookmarkStart w:name="_Toc172533652" w:id="3"/>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0"/>
      <w:bookmarkEnd w:id="1"/>
      <w:bookmarkEnd w:id="2"/>
      <w:bookmarkEnd w:id="3"/>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CC6A48" w:rsidRDefault="00CC6A48">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name="_GoBack" w:id="4"/>
            <w:bookmarkEnd w:id="4"/>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落实人民代表大会制度，负责组织召开乡人民代表大会，依法履行监督、决定、选举等职权，组织人大代表开展调研，强化人大代表履职保障工作，办理和督促办理人大代表议案建议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制定实施乡经济社会发展规划和产业发展规划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打造蔡桥乡“福林香柚”特色品牌，发展特色农产品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发展蔡桥乡油茶产业，推进油茶生产，建设油茶示范园，负责政策宣传、技术指导、自查验收、补助申报等工作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健全村民自治制度，指导村建立完善村规民约，推进移风易俗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乡配合职责</w:t>
            </w:r>
            <w:proofErr w:type="spellEnd"/>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（3）做好乡村两级项目及专项资金监管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 ，指导数据联网直报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 </w:t>
              <w:br/>
              <w:t>（2）联合企业组织开展大型招聘活动，促进创业就业； </w:t>
              <w:br/>
              <w:t>（3）负责创业担保贷款审批、核实、贴息返还； </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（2）对全乡垃圾回收站进行建设；</w:t>
              <w:br/>
              <w:t>（3）巡查垃圾回收站，发现问题及时上报；</w:t>
              <w:br/>
              <w:t>（4）对垃圾回收站进行后期维护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（3）对全乡污水走向进行摸排；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（1）全面摸排全乡采石场生态环境情况；</w:t>
              <w:br/>
              <w:t>（2）对存在非法开采行为和生态环境问题的采石场及时制止并上报；</w:t>
              <w:br/>
              <w:t>（3）协助上级对采石场生态环境问题进行整改</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                   </w:t>
              <w:br/>
              <w:t>（3）县住房和城乡建设局：负责房屋建筑抗震设防；</w:t>
              <w:br/>
              <w:t>（4）县城市管理和综合执法局：负责城市内涝； </w:t>
              <w:br/>
              <w:t>（5）县交通运输局：负责交通运输系统的自然灾害防范和应急处置； </w:t>
              <w:br/>
              <w:t>（6）县水利局：负责水情旱情监测预警；  </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（3）组建乡抢险救援队伍，开展日常演练，清点现有及上级下发各项物资并登记造册，做好人防、物防、技防等准备工作；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乡、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邵阳县监狱户籍人员的管理稳控、矛盾处理、信访事项的接待和处理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工作方式：县公安局负责监狱户籍人员的管理稳控、矛盾处理、信访事项的接待和处理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承接部门：县应急管理局及其他负有安全监管职责的部门</w:t>
              <w:br/>
              <w:t>工作方式：由县应急管理局及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工作方式：由县自然资源局负责历史遗留废弃矿山生态修复工作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承接部门：县自然资源局、县城市管理和综合执法局</w:t>
              <w:br/>
              <w:t>工作方式：由县自然资源局、县城市管理和综合执法局负责对临时建筑物、构筑物和其他设施限期拆除期满仍不拆除的强制拆除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工作方式：按各自权责负责电信、移动、广电、电力、污水管网等地下管线安全运维监管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已建成景区补偿费的征收结算和分配使用，对景区门票进行监管以及征收相关税费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承接部门：县文化旅游广电体育局、县发展和改革局、国家税务总局邵阳县税务局</w:t>
              <w:br/>
              <w:t>工作方式：由县文化和旅游广电体育局牵头联合县发改局等相关部门负责已建成景区补偿费的征收结算和分配使用，对景区门票进行监管以及征收相关税费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对煤矿停工停产期间煤矿火工用品进行封存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工作方式：县公安局在煤矿停工停产时，负责对火工用品进行清点登记、集中存放、实施封存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对金属非金属地下矿山企业领导未按照规定带班下井，未按照规定填写带班下井交接班记录、带班下井登记档案，或者弄虚作假的处罚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工作方式：县应急管理局按照国家有关规定和管理权限，对金属非金属地下矿山企业进行监督管理工作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金属非金属地下矿山企业未按照规定公示领导带班下井月度计划完成情况、未按照规定公告领导带班下井月度计划、未制定领导带班下井制度、未按照规定建立健全领导带班下井制度或者未制定领导带班下井月度计划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工作方式：县应急管理局负责按照国家有关规定和管理权限，对金属非金属地下矿山企业进行监督管理工作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对应当停工停产整顿的煤矿依法作出责令停产停业的行政处罚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工作方式：县应急管理局负责对煤矿安全生产实施监督管理，依据相关法律法规，对存在安全隐患、不符合安全生产条件等应当停工停产整顿的煤矿，依法作出责令停产停业的行政处罚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对煤矿主要负责人、安全管理人员无资格证或资格证过期等行为进行查处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工作方式：县应急管理局负责对煤矿安全生产实施监督管理，对煤矿主要负责人和安全管理人员的资格证情况进行检查和处理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4F" w:rsidRDefault="00BC1F4F">
      <w:r>
        <w:separator/>
      </w:r>
    </w:p>
  </w:endnote>
  <w:endnote w:type="continuationSeparator" w:id="0">
    <w:p w:rsidR="00BC1F4F" w:rsidRDefault="00BC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BC1F4F">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C6A48" w:rsidRPr="00CC6A48">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4F" w:rsidRDefault="00BC1F4F">
      <w:r>
        <w:separator/>
      </w:r>
    </w:p>
  </w:footnote>
  <w:footnote w:type="continuationSeparator" w:id="0">
    <w:p w:rsidR="00BC1F4F" w:rsidRDefault="00BC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38</cp:revision>
  <dcterms:created xsi:type="dcterms:W3CDTF">2024-07-15T12:59:00Z</dcterms:created>
  <dcterms:modified xsi:type="dcterms:W3CDTF">2025-07-09T00:58:00Z</dcterms:modified>
</cp:coreProperties>
</file>