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21</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邵阳县下花桥镇人民政府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2022</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根据《宪法》和《预算法》规定，邵阳县下花桥镇人民政府依法履行下列职能职责：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3、综治信访维稳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5、环保工作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7、安全生产</w:t>
      </w:r>
    </w:p>
    <w:p>
      <w:pPr>
        <w:pStyle w:val="2"/>
        <w:ind w:left="0" w:leftChars="0" w:firstLine="640" w:firstLineChars="200"/>
        <w:rPr>
          <w:rFonts w:hint="eastAsia" w:eastAsia="仿宋_GB2312"/>
          <w:sz w:val="32"/>
          <w:szCs w:val="32"/>
        </w:rPr>
      </w:pPr>
      <w:r>
        <w:rPr>
          <w:rFonts w:hint="eastAsia" w:eastAsia="仿宋_GB2312"/>
          <w:sz w:val="32"/>
          <w:szCs w:val="32"/>
          <w:lang w:val="en-US" w:eastAsia="zh-CN"/>
        </w:rPr>
        <w:t>8、其他中心工作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下花桥镇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事务站。</w:t>
      </w:r>
    </w:p>
    <w:p>
      <w:pPr>
        <w:widowControl/>
        <w:shd w:val="clear" w:color="auto" w:fill="FFFFFF"/>
        <w:spacing w:line="600" w:lineRule="atLeast"/>
        <w:ind w:firstLine="600"/>
        <w:rPr>
          <w:rFonts w:hint="eastAsia" w:eastAsia="仿宋_GB2312"/>
          <w:sz w:val="32"/>
          <w:szCs w:val="32"/>
        </w:rPr>
      </w:pPr>
      <w:r>
        <w:rPr>
          <w:rFonts w:hint="eastAsia" w:ascii="仿宋_GB2312" w:hAnsi="仿宋" w:eastAsia="仿宋_GB2312"/>
          <w:color w:val="000000"/>
          <w:kern w:val="0"/>
          <w:sz w:val="32"/>
          <w:szCs w:val="32"/>
        </w:rPr>
        <w:t>部门在职实有人数</w:t>
      </w:r>
      <w:r>
        <w:rPr>
          <w:rFonts w:hint="eastAsia" w:ascii="仿宋_GB2312" w:hAnsi="仿宋" w:eastAsia="仿宋_GB2312"/>
          <w:color w:val="000000"/>
          <w:kern w:val="0"/>
          <w:sz w:val="32"/>
          <w:szCs w:val="32"/>
          <w:lang w:val="en-US" w:eastAsia="zh-CN"/>
        </w:rPr>
        <w:t>129</w:t>
      </w:r>
      <w:r>
        <w:rPr>
          <w:rFonts w:hint="eastAsia" w:ascii="仿宋_GB2312" w:hAnsi="仿宋" w:eastAsia="仿宋_GB2312"/>
          <w:color w:val="000000"/>
          <w:kern w:val="0"/>
          <w:sz w:val="32"/>
          <w:szCs w:val="32"/>
        </w:rPr>
        <w:t>人，离退休人员</w:t>
      </w:r>
      <w:r>
        <w:rPr>
          <w:rFonts w:hint="eastAsia" w:ascii="仿宋_GB2312" w:hAnsi="仿宋" w:eastAsia="仿宋_GB2312"/>
          <w:color w:val="000000"/>
          <w:kern w:val="0"/>
          <w:sz w:val="32"/>
          <w:szCs w:val="32"/>
          <w:lang w:val="en-US" w:eastAsia="zh-CN"/>
        </w:rPr>
        <w:t>49</w:t>
      </w:r>
      <w:r>
        <w:rPr>
          <w:rFonts w:hint="eastAsia" w:ascii="仿宋_GB2312" w:hAnsi="仿宋" w:eastAsia="仿宋_GB2312"/>
          <w:color w:val="000000"/>
          <w:kern w:val="0"/>
          <w:sz w:val="32"/>
          <w:szCs w:val="32"/>
        </w:rPr>
        <w:t>人，其中：财政全额供养</w:t>
      </w:r>
      <w:r>
        <w:rPr>
          <w:rFonts w:hint="eastAsia" w:ascii="仿宋_GB2312" w:hAnsi="仿宋" w:eastAsia="仿宋_GB2312"/>
          <w:color w:val="000000"/>
          <w:kern w:val="0"/>
          <w:sz w:val="32"/>
          <w:szCs w:val="32"/>
          <w:lang w:val="en-US" w:eastAsia="zh-CN"/>
        </w:rPr>
        <w:t>178</w:t>
      </w:r>
      <w:r>
        <w:rPr>
          <w:rFonts w:hint="eastAsia" w:ascii="仿宋_GB2312" w:hAnsi="仿宋" w:eastAsia="仿宋_GB2312"/>
          <w:color w:val="000000"/>
          <w:kern w:val="0"/>
          <w:sz w:val="32"/>
          <w:szCs w:val="32"/>
        </w:rPr>
        <w:t>人；车改后实保留车辆</w:t>
      </w:r>
      <w:r>
        <w:rPr>
          <w:rFonts w:hint="eastAsia" w:ascii="仿宋_GB2312" w:hAnsi="仿宋" w:eastAsia="仿宋_GB2312"/>
          <w:color w:val="000000"/>
          <w:kern w:val="0"/>
          <w:sz w:val="32"/>
          <w:szCs w:val="32"/>
          <w:lang w:val="en-US" w:eastAsia="zh-CN"/>
        </w:rPr>
        <w:t>1</w:t>
      </w:r>
      <w:r>
        <w:rPr>
          <w:rFonts w:hint="eastAsia" w:ascii="仿宋_GB2312" w:hAnsi="仿宋" w:eastAsia="仿宋_GB2312"/>
          <w:color w:val="000000"/>
          <w:kern w:val="0"/>
          <w:sz w:val="32"/>
          <w:szCs w:val="32"/>
        </w:rPr>
        <w:t>辆。</w:t>
      </w:r>
    </w:p>
    <w:p>
      <w:pPr>
        <w:widowControl/>
        <w:shd w:val="clear" w:color="auto" w:fill="FFFFFF"/>
        <w:spacing w:line="600" w:lineRule="atLeast"/>
        <w:ind w:firstLine="602"/>
        <w:rPr>
          <w:rFonts w:hint="eastAsia" w:ascii="黑体" w:hAnsi="黑体" w:eastAsia="黑体"/>
          <w:b/>
          <w:bCs/>
          <w:color w:val="000000"/>
          <w:kern w:val="0"/>
          <w:sz w:val="32"/>
          <w:szCs w:val="32"/>
        </w:rPr>
      </w:pPr>
      <w:r>
        <w:rPr>
          <w:rFonts w:hint="eastAsia" w:ascii="仿宋_GB2312" w:hAnsi="仿宋" w:eastAsia="仿宋_GB2312"/>
          <w:color w:val="000000"/>
          <w:kern w:val="0"/>
          <w:sz w:val="32"/>
          <w:szCs w:val="32"/>
        </w:rPr>
        <w:t>当年在职人员</w:t>
      </w:r>
      <w:r>
        <w:rPr>
          <w:rFonts w:hint="eastAsia" w:ascii="仿宋_GB2312" w:hAnsi="仿宋" w:eastAsia="仿宋_GB2312"/>
          <w:color w:val="000000"/>
          <w:kern w:val="0"/>
          <w:sz w:val="32"/>
          <w:szCs w:val="32"/>
          <w:lang w:val="en-US" w:eastAsia="zh-CN"/>
        </w:rPr>
        <w:t>129</w:t>
      </w:r>
      <w:r>
        <w:rPr>
          <w:rFonts w:hint="eastAsia" w:ascii="仿宋_GB2312" w:hAnsi="仿宋" w:eastAsia="仿宋_GB2312"/>
          <w:color w:val="000000"/>
          <w:kern w:val="0"/>
          <w:sz w:val="32"/>
          <w:szCs w:val="32"/>
        </w:rPr>
        <w:t>人,</w:t>
      </w:r>
      <w:r>
        <w:rPr>
          <w:rFonts w:hint="eastAsia" w:ascii="仿宋_GB2312" w:hAnsi="仿宋" w:eastAsia="仿宋_GB2312"/>
          <w:color w:val="000000"/>
          <w:kern w:val="0"/>
          <w:sz w:val="32"/>
          <w:szCs w:val="32"/>
          <w:lang w:val="en-US" w:eastAsia="zh-CN"/>
        </w:rPr>
        <w:t>比上年增加0.8%，离退休人员49人，比上年增加了0%</w:t>
      </w:r>
      <w:r>
        <w:rPr>
          <w:rFonts w:hint="eastAsia" w:ascii="仿宋_GB2312" w:hAnsi="仿宋" w:eastAsia="仿宋_GB2312"/>
          <w:color w:val="000000"/>
          <w:kern w:val="0"/>
          <w:sz w:val="32"/>
          <w:szCs w:val="32"/>
          <w:lang w:eastAsia="zh-CN"/>
        </w:rPr>
        <w:t>。</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1592.78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其中：工资福利支出1060.07万元,商品和福利支出449.75万元,对个人和家庭补助支出82.96万元。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2155.5</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1563.25</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510.23</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40.18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41.84</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1592.78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其中：工资福利支出1060.07万元,商品和福利支出449.75万元,对个人和家庭补助支出82.96万元。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2155.5</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1563.25</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510.23</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40.18</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41.84</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2021年“三公”经费预算数为18万元，其中：因公出国（境）费0万元，公务用车购置及运行费4万元（公务用车购置费0万元，公务用车运行费4万元），公务接待费14万元。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5.43</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5.43</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Style w:val="5"/>
        <w:shd w:val="clear" w:color="auto" w:fill="FFFFFF"/>
        <w:spacing w:before="0" w:beforeAutospacing="0" w:after="0" w:afterAutospacing="0" w:line="600" w:lineRule="atLeast"/>
        <w:ind w:firstLine="643"/>
        <w:rPr>
          <w:rFonts w:hint="eastAsia" w:ascii="仿宋_GB2312" w:hAnsi="仿宋_GB2312" w:eastAsia="仿宋_GB2312" w:cs="仿宋_GB2312"/>
          <w:color w:val="666666"/>
          <w:sz w:val="32"/>
          <w:szCs w:val="32"/>
        </w:rPr>
      </w:pPr>
      <w:r>
        <w:rPr>
          <w:rFonts w:hint="eastAsia" w:ascii="仿宋_GB2312" w:hAnsi="仿宋" w:eastAsia="仿宋_GB2312" w:cs="Times New Roman"/>
          <w:b/>
          <w:color w:val="auto"/>
          <w:sz w:val="32"/>
          <w:szCs w:val="32"/>
        </w:rPr>
        <w:t>公务接待费</w:t>
      </w:r>
      <w:r>
        <w:rPr>
          <w:rFonts w:hint="eastAsia" w:ascii="仿宋_GB2312" w:hAnsi="仿宋" w:eastAsia="仿宋_GB2312" w:cs="Times New Roman"/>
          <w:color w:val="auto"/>
          <w:sz w:val="32"/>
          <w:szCs w:val="32"/>
        </w:rPr>
        <w:t>支出决算为</w:t>
      </w:r>
      <w:r>
        <w:rPr>
          <w:rFonts w:hint="eastAsia" w:ascii="仿宋_GB2312" w:hAnsi="仿宋" w:eastAsia="仿宋_GB2312" w:cs="Times New Roman"/>
          <w:color w:val="auto"/>
          <w:sz w:val="32"/>
          <w:szCs w:val="32"/>
          <w:u w:val="single"/>
        </w:rPr>
        <w:t xml:space="preserve">  </w:t>
      </w:r>
      <w:r>
        <w:rPr>
          <w:rFonts w:hint="eastAsia" w:ascii="仿宋_GB2312" w:hAnsi="仿宋" w:eastAsia="仿宋_GB2312" w:cs="Times New Roman"/>
          <w:color w:val="auto"/>
          <w:sz w:val="32"/>
          <w:szCs w:val="32"/>
          <w:u w:val="single"/>
          <w:lang w:val="en-US" w:eastAsia="zh-CN"/>
        </w:rPr>
        <w:t>5.34</w:t>
      </w:r>
      <w:r>
        <w:rPr>
          <w:rFonts w:hint="eastAsia" w:ascii="仿宋_GB2312" w:hAnsi="仿宋" w:eastAsia="仿宋_GB2312" w:cs="Times New Roman"/>
          <w:color w:val="auto"/>
          <w:sz w:val="32"/>
          <w:szCs w:val="32"/>
          <w:u w:val="single"/>
        </w:rPr>
        <w:t xml:space="preserve"> </w:t>
      </w:r>
      <w:r>
        <w:rPr>
          <w:rFonts w:hint="eastAsia" w:ascii="仿宋_GB2312" w:hAnsi="仿宋" w:eastAsia="仿宋_GB2312" w:cs="Times New Roman"/>
          <w:color w:val="auto"/>
          <w:sz w:val="32"/>
          <w:szCs w:val="32"/>
        </w:rPr>
        <w:t>万元，全年共接待</w:t>
      </w:r>
      <w:r>
        <w:rPr>
          <w:rFonts w:hint="eastAsia" w:ascii="仿宋_GB2312" w:hAnsi="仿宋" w:eastAsia="仿宋_GB2312" w:cs="Times New Roman"/>
          <w:color w:val="auto"/>
          <w:sz w:val="32"/>
          <w:szCs w:val="32"/>
          <w:lang w:val="en-US" w:eastAsia="zh-CN"/>
        </w:rPr>
        <w:t>183批次，970人</w:t>
      </w:r>
      <w:r>
        <w:rPr>
          <w:rFonts w:hint="eastAsia" w:ascii="仿宋_GB2312" w:hAnsi="仿宋" w:eastAsia="仿宋_GB2312" w:cs="Times New Roman"/>
          <w:color w:val="auto"/>
          <w:sz w:val="32"/>
          <w:szCs w:val="32"/>
        </w:rPr>
        <w:t>，主要是</w:t>
      </w:r>
      <w:r>
        <w:rPr>
          <w:rFonts w:hint="eastAsia" w:ascii="仿宋_GB2312" w:hAnsi="仿宋_GB2312" w:eastAsia="仿宋_GB2312" w:cs="仿宋_GB2312"/>
          <w:color w:val="000000"/>
          <w:sz w:val="32"/>
          <w:szCs w:val="32"/>
          <w:shd w:val="clear" w:color="auto" w:fill="FFFFFF"/>
        </w:rPr>
        <w:t>上级领导或机关来镇检查、督查落实各类工作任务及本单位办事人员在本辖区以外发生的接待支出。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、公务用车购置及运行费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（1）公务车运行维护费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年的公务车运行费用为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节约了</w:t>
      </w:r>
      <w:r>
        <w:rPr>
          <w:rFonts w:hint="eastAsia" w:ascii="仿宋_GB2312" w:hAnsi="仿宋_GB2312" w:eastAsia="仿宋_GB2312" w:cs="仿宋_GB2312"/>
          <w:color w:val="auto"/>
          <w:sz w:val="32"/>
          <w:szCs w:val="32"/>
          <w:lang w:val="en-US" w:eastAsia="zh-CN"/>
        </w:rPr>
        <w:t>4万元</w:t>
      </w:r>
      <w:r>
        <w:rPr>
          <w:rFonts w:hint="eastAsia" w:ascii="仿宋_GB2312" w:hAnsi="仿宋_GB2312" w:eastAsia="仿宋_GB2312" w:cs="仿宋_GB2312"/>
          <w:color w:val="auto"/>
          <w:sz w:val="32"/>
          <w:szCs w:val="32"/>
          <w:lang w:eastAsia="zh-CN"/>
        </w:rPr>
        <w:t>。</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邵阳县</w:t>
      </w:r>
      <w:r>
        <w:rPr>
          <w:rFonts w:hint="eastAsia" w:ascii="仿宋_GB2312" w:hAnsi="仿宋_GB2312" w:eastAsia="仿宋_GB2312" w:cs="仿宋_GB2312"/>
          <w:sz w:val="32"/>
          <w:szCs w:val="32"/>
          <w:lang w:val="en-US" w:eastAsia="zh-CN"/>
        </w:rPr>
        <w:t>下花桥</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bookmarkStart w:id="4" w:name="_GoBack"/>
      <w:bookmarkEnd w:id="4"/>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2021年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val="en-US"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val="en-US"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95.5</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p>
    <w:tbl>
      <w:tblPr>
        <w:tblStyle w:val="6"/>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129人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工资福利支出及公用经费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1592.78万元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val="en-US" w:eastAsia="zh-CN"/>
        </w:rPr>
        <w:t>下花桥镇</w:t>
      </w:r>
      <w:r>
        <w:rPr>
          <w:rFonts w:hint="eastAsia" w:ascii="仿宋_GB2312" w:hAnsi="仿宋_GB2312" w:eastAsia="仿宋_GB2312" w:cs="仿宋_GB2312"/>
          <w:sz w:val="32"/>
          <w:szCs w:val="32"/>
          <w:lang w:eastAsia="zh-CN"/>
        </w:rPr>
        <w:t>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邵阳县下花桥镇人民政府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2022年2月18日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OTc1YzQwMzJmZDhlZmVjZjM3MTY0ZTM3MzNiY2MifQ=="/>
    <w:docVar w:name="KSO_WPS_MARK_KEY" w:val="965bc1ae-2877-4116-aa5c-702f337e686e"/>
  </w:docVars>
  <w:rsids>
    <w:rsidRoot w:val="1A01282E"/>
    <w:rsid w:val="04A942BA"/>
    <w:rsid w:val="0F4E4AF7"/>
    <w:rsid w:val="13410A87"/>
    <w:rsid w:val="16141DB7"/>
    <w:rsid w:val="17867821"/>
    <w:rsid w:val="18D94D16"/>
    <w:rsid w:val="1A01282E"/>
    <w:rsid w:val="2D965C5C"/>
    <w:rsid w:val="320413F3"/>
    <w:rsid w:val="34AF400B"/>
    <w:rsid w:val="41A128A2"/>
    <w:rsid w:val="41F718C0"/>
    <w:rsid w:val="479374F7"/>
    <w:rsid w:val="57581999"/>
    <w:rsid w:val="59396B30"/>
    <w:rsid w:val="66100C18"/>
    <w:rsid w:val="7783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2167</Words>
  <Characters>2341</Characters>
  <Lines>0</Lines>
  <Paragraphs>0</Paragraphs>
  <TotalTime>7</TotalTime>
  <ScaleCrop>false</ScaleCrop>
  <LinksUpToDate>false</LinksUpToDate>
  <CharactersWithSpaces>2436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2022-06-14T14:29:00Z</dcterms:created>
  <dc:creator>-mmmmmmy°</dc:creator>
  <cp:lastModifiedBy>dell</cp:lastModifiedBy>
  <dcterms:modified xsi:type="dcterms:W3CDTF">2022-11-17T07:55:51Z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5D2163442A2F4BFFB5185A4ABEE8B58B</vt:lpwstr>
  </property>
</Properties>
</file>