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rPr>
      </w:pPr>
      <w:r>
        <w:rPr>
          <w:rFonts w:hint="eastAsia" w:ascii="黑体" w:eastAsia="黑体"/>
          <w:sz w:val="32"/>
          <w:szCs w:val="32"/>
        </w:rPr>
        <w:t>附件3</w:t>
      </w:r>
    </w:p>
    <w:p>
      <w:pPr>
        <w:rPr>
          <w:rFonts w:hint="eastAsia" w:eastAsia="黑体"/>
          <w:sz w:val="44"/>
        </w:rPr>
      </w:pPr>
    </w:p>
    <w:p>
      <w:pPr>
        <w:rPr>
          <w:rFonts w:hint="eastAsia" w:eastAsia="黑体"/>
          <w:sz w:val="44"/>
        </w:rPr>
      </w:pPr>
    </w:p>
    <w:p>
      <w:pPr>
        <w:rPr>
          <w:rFonts w:hint="eastAsia" w:eastAsia="黑体"/>
          <w:sz w:val="44"/>
        </w:rPr>
      </w:pPr>
    </w:p>
    <w:p>
      <w:pPr>
        <w:jc w:val="center"/>
        <w:rPr>
          <w:rFonts w:hint="eastAsia" w:ascii="宋体" w:hAnsi="宋体"/>
          <w:sz w:val="44"/>
          <w:szCs w:val="44"/>
        </w:rPr>
      </w:pPr>
    </w:p>
    <w:p>
      <w:pPr>
        <w:jc w:val="center"/>
        <w:rPr>
          <w:rFonts w:hint="eastAsia" w:ascii="宋体" w:hAnsi="宋体"/>
          <w:w w:val="90"/>
          <w:sz w:val="44"/>
          <w:szCs w:val="44"/>
        </w:rPr>
      </w:pPr>
      <w:r>
        <w:rPr>
          <w:rFonts w:hint="eastAsia" w:ascii="宋体" w:hAnsi="宋体"/>
          <w:w w:val="90"/>
          <w:sz w:val="44"/>
          <w:szCs w:val="44"/>
          <w:lang w:val="en-US" w:eastAsia="zh-CN"/>
        </w:rPr>
        <w:t xml:space="preserve">  </w:t>
      </w:r>
      <w:r>
        <w:rPr>
          <w:rFonts w:hint="eastAsia" w:ascii="宋体" w:hAnsi="宋体"/>
          <w:w w:val="90"/>
          <w:sz w:val="44"/>
          <w:szCs w:val="44"/>
        </w:rPr>
        <w:t>邵阳县</w:t>
      </w:r>
      <w:r>
        <w:rPr>
          <w:rFonts w:ascii="宋体" w:hAnsi="宋体"/>
          <w:w w:val="90"/>
          <w:sz w:val="44"/>
          <w:szCs w:val="44"/>
        </w:rPr>
        <w:t>20</w:t>
      </w:r>
      <w:r>
        <w:rPr>
          <w:rFonts w:hint="eastAsia" w:ascii="宋体" w:hAnsi="宋体"/>
          <w:w w:val="90"/>
          <w:sz w:val="44"/>
          <w:szCs w:val="44"/>
          <w:lang w:val="en-US" w:eastAsia="zh-CN"/>
        </w:rPr>
        <w:t>21</w:t>
      </w:r>
      <w:r>
        <w:rPr>
          <w:rFonts w:hint="eastAsia" w:ascii="宋体" w:hAnsi="宋体"/>
          <w:w w:val="90"/>
          <w:sz w:val="44"/>
          <w:szCs w:val="44"/>
        </w:rPr>
        <w:t xml:space="preserve">年度部门整体支出绩效自评报告   </w:t>
      </w:r>
    </w:p>
    <w:p>
      <w:pPr>
        <w:jc w:val="center"/>
        <w:rPr>
          <w:rFonts w:hint="eastAsia" w:ascii="宋体" w:hAnsi="宋体"/>
          <w:sz w:val="44"/>
          <w:szCs w:val="44"/>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600" w:lineRule="exact"/>
        <w:rPr>
          <w:rFonts w:hint="eastAsia"/>
          <w:sz w:val="36"/>
        </w:rPr>
      </w:pPr>
    </w:p>
    <w:p>
      <w:pPr>
        <w:spacing w:line="1000" w:lineRule="exact"/>
        <w:rPr>
          <w:rFonts w:hint="eastAsia"/>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w:t>
      </w:r>
      <w:r>
        <w:rPr>
          <w:rFonts w:hint="eastAsia"/>
          <w:b/>
          <w:bCs/>
          <w:sz w:val="32"/>
          <w:szCs w:val="32"/>
          <w:u w:val="single"/>
          <w:lang w:eastAsia="zh-CN"/>
        </w:rPr>
        <w:t>邵阳县</w:t>
      </w:r>
      <w:r>
        <w:rPr>
          <w:rFonts w:hint="eastAsia"/>
          <w:b/>
          <w:bCs/>
          <w:sz w:val="32"/>
          <w:szCs w:val="32"/>
          <w:u w:val="single"/>
          <w:lang w:val="en-US" w:eastAsia="zh-CN"/>
        </w:rPr>
        <w:t>岩口铺</w:t>
      </w:r>
      <w:r>
        <w:rPr>
          <w:rFonts w:hint="eastAsia"/>
          <w:b/>
          <w:bCs/>
          <w:sz w:val="32"/>
          <w:szCs w:val="32"/>
          <w:u w:val="single"/>
          <w:lang w:eastAsia="zh-CN"/>
        </w:rPr>
        <w:t>镇人民政府</w:t>
      </w:r>
      <w:r>
        <w:rPr>
          <w:rFonts w:hint="eastAsia"/>
          <w:b/>
          <w:bCs/>
          <w:sz w:val="32"/>
          <w:szCs w:val="32"/>
          <w:u w:val="single"/>
        </w:rPr>
        <w:t>　</w:t>
      </w: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rPr>
          <w:rFonts w:hint="eastAsia"/>
        </w:rPr>
      </w:pPr>
    </w:p>
    <w:p>
      <w:pPr>
        <w:spacing w:line="600" w:lineRule="exact"/>
        <w:jc w:val="center"/>
        <w:rPr>
          <w:rFonts w:hint="eastAsia"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2022</w:t>
      </w:r>
      <w:r>
        <w:rPr>
          <w:rFonts w:hint="eastAsia" w:ascii="楷体" w:hAnsi="楷体" w:eastAsia="楷体" w:cs="楷体"/>
          <w:sz w:val="36"/>
        </w:rPr>
        <w:t>年</w:t>
      </w:r>
      <w:r>
        <w:rPr>
          <w:rFonts w:hint="eastAsia" w:ascii="楷体" w:hAnsi="楷体" w:eastAsia="楷体" w:cs="楷体"/>
          <w:sz w:val="36"/>
          <w:lang w:val="en-US" w:eastAsia="zh-CN"/>
        </w:rPr>
        <w:t>5</w:t>
      </w:r>
      <w:r>
        <w:rPr>
          <w:rFonts w:hint="eastAsia" w:ascii="楷体" w:hAnsi="楷体" w:eastAsia="楷体" w:cs="楷体"/>
          <w:sz w:val="36"/>
        </w:rPr>
        <w:t>月</w:t>
      </w:r>
      <w:r>
        <w:rPr>
          <w:rFonts w:hint="eastAsia" w:ascii="楷体" w:hAnsi="楷体" w:eastAsia="楷体" w:cs="楷体"/>
          <w:sz w:val="36"/>
          <w:lang w:val="en-US" w:eastAsia="zh-CN"/>
        </w:rPr>
        <w:t>18</w:t>
      </w:r>
      <w:r>
        <w:rPr>
          <w:rFonts w:hint="eastAsia" w:ascii="楷体" w:hAnsi="楷体" w:eastAsia="楷体" w:cs="楷体"/>
          <w:sz w:val="36"/>
        </w:rPr>
        <w:t>日</w:t>
      </w:r>
    </w:p>
    <w:p>
      <w:pPr>
        <w:spacing w:line="600" w:lineRule="exact"/>
        <w:rPr>
          <w:rFonts w:hint="eastAsia" w:eastAsia="仿宋_GB2312"/>
          <w:sz w:val="28"/>
          <w:szCs w:val="28"/>
        </w:rPr>
      </w:pPr>
    </w:p>
    <w:p>
      <w:pPr>
        <w:adjustRightInd w:val="0"/>
        <w:spacing w:line="600" w:lineRule="exact"/>
        <w:ind w:right="641"/>
        <w:rPr>
          <w:rFonts w:hint="eastAsia" w:ascii="黑体" w:eastAsia="黑体"/>
          <w:sz w:val="32"/>
          <w:szCs w:val="32"/>
        </w:rPr>
      </w:pP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支出绩效报告</w:t>
      </w:r>
    </w:p>
    <w:p>
      <w:pPr>
        <w:adjustRightInd w:val="0"/>
        <w:spacing w:line="600" w:lineRule="exact"/>
        <w:ind w:right="641"/>
        <w:rPr>
          <w:rFonts w:eastAsia="仿宋_GB2312"/>
          <w:sz w:val="32"/>
          <w:szCs w:val="32"/>
        </w:rPr>
      </w:pP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（一）主要职责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根据《宪法》和《预算法》规定，邵阳县岩口铺镇人民政府依法履行下列职能职责：</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 执行上级国家行政机关的决定，命令和国家制定的法令，法规，接受同级党委的领导，执行本级人民代表大会的各项决议，并报告执行决议、决定和命令的情况。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（2）制定并落实本行政区域的经济计划和措施，促进产业结构调整及其他经济保持平衡发展，全面提高人民群众的生活水平和生活质量。</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（3）加强镇级财政的监督和管理，按计划组织，管理镇财政收入和支出，执行国家有关财经纪律和政策，保证国家财政收入的完成；做好统计工作。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（4）协助和支持设置在本行政区域内不隶属于镇的国家机关和企事业单位工作，监督其遵守和执行国家的法律、法规和政策。</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（5）承办县人民政府交办的其他事项。</w:t>
      </w:r>
    </w:p>
    <w:p>
      <w:pPr>
        <w:adjustRightInd w:val="0"/>
        <w:snapToGrid w:val="0"/>
        <w:spacing w:line="600" w:lineRule="exact"/>
        <w:ind w:firstLine="643" w:firstLineChars="200"/>
        <w:rPr>
          <w:rFonts w:hint="eastAsia" w:eastAsia="仿宋_GB2312"/>
          <w:b/>
          <w:bCs/>
          <w:sz w:val="32"/>
          <w:szCs w:val="32"/>
          <w:lang w:val="en-US" w:eastAsia="zh-CN"/>
        </w:rPr>
      </w:pPr>
      <w:r>
        <w:rPr>
          <w:rFonts w:hint="eastAsia" w:eastAsia="仿宋_GB2312"/>
          <w:b/>
          <w:bCs/>
          <w:sz w:val="32"/>
          <w:szCs w:val="32"/>
          <w:lang w:val="en-US" w:eastAsia="zh-CN"/>
        </w:rPr>
        <w:t>（二）当年主要工作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1、乡村振兴工作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2、党建工作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3、综治信访维稳</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4、城乡环境卫生同治</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5、环保工作</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6、油茶生产</w:t>
      </w:r>
    </w:p>
    <w:p>
      <w:pPr>
        <w:adjustRightInd w:val="0"/>
        <w:snapToGrid w:val="0"/>
        <w:spacing w:line="60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7、安全生产</w:t>
      </w:r>
    </w:p>
    <w:p>
      <w:pPr>
        <w:pStyle w:val="2"/>
        <w:ind w:left="0" w:leftChars="0" w:firstLine="640" w:firstLineChars="200"/>
        <w:rPr>
          <w:rFonts w:hint="eastAsia" w:eastAsia="仿宋_GB2312"/>
          <w:sz w:val="32"/>
          <w:szCs w:val="32"/>
        </w:rPr>
      </w:pPr>
      <w:r>
        <w:rPr>
          <w:rFonts w:hint="eastAsia" w:eastAsia="仿宋_GB2312"/>
          <w:sz w:val="32"/>
          <w:szCs w:val="32"/>
          <w:lang w:val="en-US" w:eastAsia="zh-CN"/>
        </w:rPr>
        <w:t>8、其他中心工作</w:t>
      </w:r>
    </w:p>
    <w:p>
      <w:pPr>
        <w:adjustRightInd w:val="0"/>
        <w:snapToGrid w:val="0"/>
        <w:spacing w:line="600" w:lineRule="exact"/>
        <w:ind w:firstLine="643" w:firstLineChars="200"/>
        <w:rPr>
          <w:rFonts w:hint="eastAsia" w:eastAsia="仿宋_GB2312"/>
          <w:b/>
          <w:bCs/>
          <w:sz w:val="32"/>
          <w:szCs w:val="32"/>
        </w:rPr>
      </w:pPr>
      <w:r>
        <w:rPr>
          <w:rFonts w:hint="eastAsia" w:eastAsia="仿宋_GB2312"/>
          <w:b/>
          <w:bCs/>
          <w:sz w:val="32"/>
          <w:szCs w:val="32"/>
          <w:lang w:val="en-US" w:eastAsia="zh-CN"/>
        </w:rPr>
        <w:t>（三）机构设置及人员情况</w:t>
      </w:r>
    </w:p>
    <w:p>
      <w:pPr>
        <w:adjustRightInd w:val="0"/>
        <w:snapToGrid w:val="0"/>
        <w:spacing w:line="600" w:lineRule="exact"/>
        <w:ind w:firstLine="640" w:firstLineChars="200"/>
        <w:rPr>
          <w:rFonts w:hint="eastAsia" w:eastAsia="仿宋_GB2312"/>
          <w:sz w:val="32"/>
          <w:szCs w:val="32"/>
        </w:rPr>
      </w:pPr>
      <w:r>
        <w:rPr>
          <w:rFonts w:hint="eastAsia" w:eastAsia="仿宋_GB2312"/>
          <w:sz w:val="32"/>
          <w:szCs w:val="32"/>
          <w:lang w:val="en-US" w:eastAsia="zh-CN"/>
        </w:rPr>
        <w:t>内设机构设置。岩口铺镇人民政府单位内设机构包括“六办三中心一大队站”:党政综合办公室、基层党建办公室、经济发展办公室、社会事务办公室、社会治安和应该管理办公室、自然资源和生态环境办公室、政务（便民）服务中心、社会事务综合服务中心、农业综合服务中心、综合行政执法大队、退役军人事务站。</w:t>
      </w:r>
    </w:p>
    <w:p>
      <w:pPr>
        <w:widowControl/>
        <w:shd w:val="clear" w:color="auto" w:fill="FFFFFF"/>
        <w:spacing w:line="600" w:lineRule="atLeast"/>
        <w:ind w:firstLine="600"/>
        <w:rPr>
          <w:rFonts w:hint="eastAsia" w:eastAsia="仿宋_GB2312"/>
          <w:sz w:val="32"/>
          <w:szCs w:val="32"/>
        </w:rPr>
      </w:pPr>
      <w:r>
        <w:rPr>
          <w:rFonts w:hint="eastAsia" w:ascii="仿宋_GB2312" w:hAnsi="仿宋" w:eastAsia="仿宋_GB2312"/>
          <w:color w:val="000000"/>
          <w:kern w:val="0"/>
          <w:sz w:val="32"/>
          <w:szCs w:val="32"/>
        </w:rPr>
        <w:t>部门在职实有人数</w:t>
      </w:r>
      <w:r>
        <w:rPr>
          <w:rFonts w:hint="eastAsia" w:ascii="仿宋_GB2312" w:hAnsi="仿宋" w:eastAsia="仿宋_GB2312"/>
          <w:color w:val="000000"/>
          <w:kern w:val="0"/>
          <w:sz w:val="32"/>
          <w:szCs w:val="32"/>
          <w:lang w:val="en-US" w:eastAsia="zh-CN"/>
        </w:rPr>
        <w:t>117</w:t>
      </w:r>
      <w:r>
        <w:rPr>
          <w:rFonts w:hint="eastAsia" w:ascii="仿宋_GB2312" w:hAnsi="仿宋" w:eastAsia="仿宋_GB2312"/>
          <w:color w:val="000000"/>
          <w:kern w:val="0"/>
          <w:sz w:val="32"/>
          <w:szCs w:val="32"/>
        </w:rPr>
        <w:t>人，离退休人员</w:t>
      </w:r>
      <w:r>
        <w:rPr>
          <w:rFonts w:hint="eastAsia" w:ascii="仿宋_GB2312" w:hAnsi="仿宋" w:eastAsia="仿宋_GB2312"/>
          <w:color w:val="000000"/>
          <w:kern w:val="0"/>
          <w:sz w:val="32"/>
          <w:szCs w:val="32"/>
          <w:lang w:val="en-US" w:eastAsia="zh-CN"/>
        </w:rPr>
        <w:t>15</w:t>
      </w:r>
      <w:r>
        <w:rPr>
          <w:rFonts w:hint="eastAsia" w:ascii="仿宋_GB2312" w:hAnsi="仿宋" w:eastAsia="仿宋_GB2312"/>
          <w:color w:val="000000"/>
          <w:kern w:val="0"/>
          <w:sz w:val="32"/>
          <w:szCs w:val="32"/>
        </w:rPr>
        <w:t>人，其中：财政全额供养</w:t>
      </w:r>
      <w:r>
        <w:rPr>
          <w:rFonts w:hint="eastAsia" w:ascii="仿宋_GB2312" w:hAnsi="仿宋" w:eastAsia="仿宋_GB2312"/>
          <w:color w:val="000000"/>
          <w:kern w:val="0"/>
          <w:sz w:val="32"/>
          <w:szCs w:val="32"/>
          <w:lang w:val="en-US" w:eastAsia="zh-CN"/>
        </w:rPr>
        <w:t>117</w:t>
      </w:r>
      <w:r>
        <w:rPr>
          <w:rFonts w:hint="eastAsia" w:ascii="仿宋_GB2312" w:hAnsi="仿宋" w:eastAsia="仿宋_GB2312"/>
          <w:color w:val="000000"/>
          <w:kern w:val="0"/>
          <w:sz w:val="32"/>
          <w:szCs w:val="32"/>
        </w:rPr>
        <w:t>人；车改后实保留车辆</w:t>
      </w:r>
      <w:r>
        <w:rPr>
          <w:rFonts w:hint="eastAsia" w:ascii="仿宋_GB2312" w:hAnsi="仿宋" w:eastAsia="仿宋_GB2312"/>
          <w:color w:val="000000"/>
          <w:kern w:val="0"/>
          <w:sz w:val="32"/>
          <w:szCs w:val="32"/>
          <w:lang w:val="en-US" w:eastAsia="zh-CN"/>
        </w:rPr>
        <w:t>1</w:t>
      </w:r>
      <w:r>
        <w:rPr>
          <w:rFonts w:hint="eastAsia" w:ascii="仿宋_GB2312" w:hAnsi="仿宋" w:eastAsia="仿宋_GB2312"/>
          <w:color w:val="000000"/>
          <w:kern w:val="0"/>
          <w:sz w:val="32"/>
          <w:szCs w:val="32"/>
        </w:rPr>
        <w:t>辆。</w:t>
      </w:r>
    </w:p>
    <w:p>
      <w:pPr>
        <w:widowControl/>
        <w:shd w:val="clear" w:color="auto" w:fill="FFFFFF"/>
        <w:spacing w:line="600" w:lineRule="atLeast"/>
        <w:ind w:firstLine="602"/>
        <w:rPr>
          <w:rFonts w:hint="default" w:ascii="黑体" w:hAnsi="黑体" w:eastAsia="黑体"/>
          <w:b/>
          <w:bCs/>
          <w:color w:val="000000"/>
          <w:kern w:val="0"/>
          <w:sz w:val="32"/>
          <w:szCs w:val="32"/>
          <w:lang w:val="en-US"/>
        </w:rPr>
      </w:pPr>
      <w:r>
        <w:rPr>
          <w:rFonts w:hint="eastAsia" w:ascii="仿宋_GB2312" w:hAnsi="仿宋" w:eastAsia="仿宋_GB2312"/>
          <w:color w:val="000000"/>
          <w:kern w:val="0"/>
          <w:sz w:val="32"/>
          <w:szCs w:val="32"/>
        </w:rPr>
        <w:t>当年在职人员</w:t>
      </w:r>
      <w:r>
        <w:rPr>
          <w:rFonts w:hint="eastAsia" w:ascii="仿宋_GB2312" w:hAnsi="仿宋" w:eastAsia="仿宋_GB2312"/>
          <w:color w:val="000000"/>
          <w:kern w:val="0"/>
          <w:sz w:val="32"/>
          <w:szCs w:val="32"/>
          <w:lang w:val="en-US" w:eastAsia="zh-CN"/>
        </w:rPr>
        <w:t>117</w:t>
      </w:r>
      <w:r>
        <w:rPr>
          <w:rFonts w:hint="eastAsia" w:ascii="仿宋_GB2312" w:hAnsi="仿宋" w:eastAsia="仿宋_GB2312"/>
          <w:color w:val="000000"/>
          <w:kern w:val="0"/>
          <w:sz w:val="32"/>
          <w:szCs w:val="32"/>
        </w:rPr>
        <w:t>人,</w:t>
      </w:r>
      <w:r>
        <w:rPr>
          <w:rFonts w:hint="eastAsia" w:ascii="仿宋_GB2312" w:hAnsi="仿宋" w:eastAsia="仿宋_GB2312"/>
          <w:color w:val="000000"/>
          <w:kern w:val="0"/>
          <w:sz w:val="32"/>
          <w:szCs w:val="32"/>
          <w:lang w:val="en-US" w:eastAsia="zh-CN"/>
        </w:rPr>
        <w:t>比上年减少了4.88%，离退休人员15人，比上年增加了1.5%，其原因是退休2人，死亡1人。</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（一）预算执行情况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1347.46</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其中：工资福利支出955.04万元,商品和福利支出360.9万元,对个人和家庭补助支出31.51万元。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eastAsia="楷体_GB2312"/>
          <w:b/>
          <w:color w:val="auto"/>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2623.03</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1627.79</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674.72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81.22</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239.3</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b/>
          <w:sz w:val="32"/>
          <w:szCs w:val="32"/>
        </w:rPr>
      </w:pPr>
      <w:r>
        <w:rPr>
          <w:rFonts w:hint="eastAsia" w:ascii="楷体_GB2312" w:eastAsia="楷体_GB2312"/>
          <w:b/>
          <w:sz w:val="32"/>
          <w:szCs w:val="32"/>
        </w:rPr>
        <w:t>（二）基本支出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基本支出用于保障单位机构正常运转、完成日常工作任务而发生的各项支出，包括用于基本工资、津贴补贴等人员经费以及办公费、印刷费、水电费、办公设备购置等日常公用经费。</w:t>
      </w:r>
    </w:p>
    <w:p>
      <w:pPr>
        <w:pageBreakBefore w:val="0"/>
        <w:kinsoku/>
        <w:wordWrap/>
        <w:overflowPunct/>
        <w:topLinePunct w:val="0"/>
        <w:autoSpaceDE/>
        <w:autoSpaceDN/>
        <w:bidi w:val="0"/>
        <w:adjustRightInd/>
        <w:spacing w:line="560" w:lineRule="exact"/>
        <w:ind w:firstLine="480" w:firstLineChars="15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年初</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财政批复部门预算为</w:t>
      </w:r>
      <w:r>
        <w:rPr>
          <w:rFonts w:hint="eastAsia" w:ascii="仿宋_GB2312" w:hAnsi="仿宋_GB2312" w:eastAsia="仿宋_GB2312" w:cs="仿宋_GB2312"/>
          <w:sz w:val="32"/>
          <w:szCs w:val="32"/>
          <w:lang w:val="en-US" w:eastAsia="zh-CN"/>
        </w:rPr>
        <w:t>1347.46</w:t>
      </w:r>
      <w:r>
        <w:rPr>
          <w:rFonts w:hint="eastAsia" w:ascii="仿宋_GB2312" w:hAnsi="仿宋_GB2312" w:eastAsia="仿宋_GB2312" w:cs="仿宋_GB2312"/>
          <w:sz w:val="32"/>
          <w:szCs w:val="32"/>
        </w:rPr>
        <w:t>万元，</w:t>
      </w:r>
      <w:r>
        <w:rPr>
          <w:rFonts w:hint="eastAsia" w:ascii="仿宋_GB2312" w:hAnsi="宋体" w:eastAsia="仿宋_GB2312" w:cs="Times New Roman"/>
          <w:sz w:val="32"/>
          <w:szCs w:val="32"/>
          <w:lang w:val="en-US" w:eastAsia="zh-CN"/>
        </w:rPr>
        <w:t>其中：工资福利支出955.04万元,商品和福利支出360.9万元,对个人和家庭补助支出31.51万元。</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年决算总支出</w:t>
      </w:r>
      <w:r>
        <w:rPr>
          <w:rFonts w:hint="eastAsia" w:ascii="仿宋_GB2312" w:hAnsi="仿宋_GB2312" w:eastAsia="仿宋_GB2312" w:cs="仿宋_GB2312"/>
          <w:color w:val="auto"/>
          <w:sz w:val="32"/>
          <w:szCs w:val="32"/>
          <w:lang w:val="en-US" w:eastAsia="zh-CN"/>
        </w:rPr>
        <w:t>2623.03</w:t>
      </w:r>
      <w:r>
        <w:rPr>
          <w:rFonts w:hint="eastAsia" w:ascii="仿宋_GB2312" w:hAnsi="仿宋_GB2312" w:eastAsia="仿宋_GB2312" w:cs="仿宋_GB2312"/>
          <w:color w:val="auto"/>
          <w:sz w:val="32"/>
          <w:szCs w:val="32"/>
        </w:rPr>
        <w:t>万元，其中工资福利支出</w:t>
      </w:r>
      <w:r>
        <w:rPr>
          <w:rFonts w:hint="eastAsia" w:ascii="仿宋_GB2312" w:hAnsi="仿宋_GB2312" w:eastAsia="仿宋_GB2312" w:cs="仿宋_GB2312"/>
          <w:color w:val="auto"/>
          <w:sz w:val="32"/>
          <w:szCs w:val="32"/>
          <w:lang w:val="en-US" w:eastAsia="zh-CN"/>
        </w:rPr>
        <w:t>1627.79</w:t>
      </w:r>
      <w:r>
        <w:rPr>
          <w:rFonts w:hint="eastAsia" w:ascii="仿宋_GB2312" w:hAnsi="仿宋_GB2312" w:eastAsia="仿宋_GB2312" w:cs="仿宋_GB2312"/>
          <w:color w:val="auto"/>
          <w:sz w:val="32"/>
          <w:szCs w:val="32"/>
        </w:rPr>
        <w:t>万元、商品和服务支出</w:t>
      </w:r>
      <w:r>
        <w:rPr>
          <w:rFonts w:hint="eastAsia" w:ascii="仿宋_GB2312" w:hAnsi="仿宋_GB2312" w:eastAsia="仿宋_GB2312" w:cs="仿宋_GB2312"/>
          <w:color w:val="auto"/>
          <w:sz w:val="32"/>
          <w:szCs w:val="32"/>
          <w:lang w:val="en-US" w:eastAsia="zh-CN"/>
        </w:rPr>
        <w:t>674.72</w:t>
      </w:r>
      <w:r>
        <w:rPr>
          <w:rFonts w:hint="eastAsia" w:ascii="仿宋_GB2312" w:hAnsi="仿宋_GB2312" w:eastAsia="仿宋_GB2312" w:cs="仿宋_GB2312"/>
          <w:color w:val="auto"/>
          <w:sz w:val="32"/>
          <w:szCs w:val="32"/>
        </w:rPr>
        <w:t>万元、对个人和家庭的补助</w:t>
      </w:r>
      <w:r>
        <w:rPr>
          <w:rFonts w:hint="eastAsia" w:ascii="仿宋_GB2312" w:hAnsi="仿宋_GB2312" w:eastAsia="仿宋_GB2312" w:cs="仿宋_GB2312"/>
          <w:color w:val="auto"/>
          <w:sz w:val="32"/>
          <w:szCs w:val="32"/>
          <w:lang w:val="en-US" w:eastAsia="zh-CN"/>
        </w:rPr>
        <w:t>81.22</w:t>
      </w:r>
      <w:r>
        <w:rPr>
          <w:rFonts w:hint="eastAsia" w:ascii="仿宋_GB2312" w:hAnsi="仿宋_GB2312" w:eastAsia="仿宋_GB2312" w:cs="仿宋_GB2312"/>
          <w:color w:val="auto"/>
          <w:sz w:val="32"/>
          <w:szCs w:val="32"/>
        </w:rPr>
        <w:t>万元、资本性支出</w:t>
      </w:r>
      <w:r>
        <w:rPr>
          <w:rFonts w:hint="eastAsia" w:ascii="仿宋_GB2312" w:hAnsi="仿宋_GB2312" w:eastAsia="仿宋_GB2312" w:cs="仿宋_GB2312"/>
          <w:color w:val="auto"/>
          <w:sz w:val="32"/>
          <w:szCs w:val="32"/>
          <w:lang w:val="en-US" w:eastAsia="zh-CN"/>
        </w:rPr>
        <w:t>239.3</w:t>
      </w:r>
      <w:r>
        <w:rPr>
          <w:rFonts w:hint="eastAsia" w:ascii="仿宋_GB2312" w:hAnsi="仿宋_GB2312" w:eastAsia="仿宋_GB2312" w:cs="仿宋_GB2312"/>
          <w:color w:val="auto"/>
          <w:sz w:val="32"/>
          <w:szCs w:val="32"/>
        </w:rPr>
        <w:t>万元。</w:t>
      </w:r>
    </w:p>
    <w:p>
      <w:pPr>
        <w:adjustRightInd w:val="0"/>
        <w:snapToGrid w:val="0"/>
        <w:spacing w:line="600" w:lineRule="exact"/>
        <w:ind w:firstLine="643" w:firstLineChars="200"/>
        <w:rPr>
          <w:rFonts w:hint="eastAsia" w:ascii="楷体_GB2312" w:eastAsia="楷体_GB2312" w:cs="Times New Roman"/>
          <w:b/>
          <w:sz w:val="32"/>
          <w:szCs w:val="32"/>
          <w:lang w:val="en-US" w:eastAsia="zh-CN"/>
        </w:rPr>
      </w:pPr>
      <w:r>
        <w:rPr>
          <w:rFonts w:hint="eastAsia" w:ascii="楷体_GB2312" w:eastAsia="楷体_GB2312" w:cs="Times New Roman"/>
          <w:b/>
          <w:sz w:val="32"/>
          <w:szCs w:val="32"/>
          <w:lang w:val="en-US" w:eastAsia="zh-CN"/>
        </w:rPr>
        <w:t>（三）项目支出</w:t>
      </w:r>
    </w:p>
    <w:p>
      <w:pPr>
        <w:pStyle w:val="2"/>
        <w:numPr>
          <w:ilvl w:val="0"/>
          <w:numId w:val="0"/>
        </w:numPr>
        <w:ind w:firstLine="640" w:firstLineChars="200"/>
        <w:rPr>
          <w:rFonts w:hint="eastAsia" w:ascii="Calibri" w:hAnsi="Calibri" w:eastAsia="仿宋_GB2312" w:cs="Times New Roman"/>
          <w:kern w:val="2"/>
          <w:sz w:val="32"/>
          <w:szCs w:val="32"/>
          <w:lang w:val="en-US" w:eastAsia="zh-CN" w:bidi="ar-SA"/>
        </w:rPr>
      </w:pPr>
      <w:r>
        <w:rPr>
          <w:rFonts w:hint="eastAsia" w:eastAsia="仿宋_GB2312" w:cs="Times New Roman"/>
          <w:kern w:val="2"/>
          <w:sz w:val="32"/>
          <w:szCs w:val="32"/>
          <w:lang w:val="en-US" w:eastAsia="zh-CN" w:bidi="ar-SA"/>
        </w:rPr>
        <w:t>项目支出</w:t>
      </w:r>
      <w:r>
        <w:rPr>
          <w:rFonts w:hint="eastAsia" w:ascii="Calibri" w:hAnsi="Calibri" w:eastAsia="仿宋_GB2312" w:cs="Times New Roman"/>
          <w:kern w:val="2"/>
          <w:sz w:val="32"/>
          <w:szCs w:val="32"/>
          <w:lang w:val="en-US" w:eastAsia="zh-CN" w:bidi="ar-SA"/>
        </w:rPr>
        <w:t>用于单位为完成特定行政工作任务或事业发展目标而发生的支出，包括有关事业发展专项、专项业务费、基本建设支出等。</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年年初预算批复</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，2</w:t>
      </w:r>
      <w:r>
        <w:rPr>
          <w:rFonts w:hint="eastAsia" w:ascii="仿宋_GB2312" w:hAnsi="仿宋_GB2312" w:eastAsia="仿宋_GB2312" w:cs="仿宋_GB2312"/>
          <w:sz w:val="32"/>
          <w:szCs w:val="32"/>
          <w:lang w:val="en-US" w:eastAsia="zh-CN"/>
        </w:rPr>
        <w:t>021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决算项目支出</w:t>
      </w:r>
      <w:r>
        <w:rPr>
          <w:rFonts w:hint="eastAsia" w:ascii="Calibri" w:hAnsi="Calibri" w:eastAsia="仿宋_GB2312" w:cs="Times New Roman"/>
          <w:kern w:val="2"/>
          <w:sz w:val="32"/>
          <w:szCs w:val="32"/>
          <w:lang w:val="en-US" w:eastAsia="zh-CN" w:bidi="ar-SA"/>
        </w:rPr>
        <w:t>0万元</w:t>
      </w:r>
      <w:r>
        <w:rPr>
          <w:rFonts w:hint="eastAsia" w:eastAsia="仿宋_GB2312" w:cs="Times New Roman"/>
          <w:kern w:val="2"/>
          <w:sz w:val="32"/>
          <w:szCs w:val="32"/>
          <w:lang w:val="en-US" w:eastAsia="zh-CN" w:bidi="ar-SA"/>
        </w:rPr>
        <w:t>。</w:t>
      </w:r>
    </w:p>
    <w:p>
      <w:pPr>
        <w:pStyle w:val="2"/>
        <w:numPr>
          <w:ilvl w:val="0"/>
          <w:numId w:val="0"/>
        </w:numPr>
        <w:ind w:firstLine="643" w:firstLineChars="200"/>
        <w:rPr>
          <w:rFonts w:hint="eastAsia" w:ascii="楷体_GB2312" w:hAnsi="Calibri" w:eastAsia="楷体_GB2312" w:cs="Times New Roman"/>
          <w:b/>
          <w:kern w:val="2"/>
          <w:sz w:val="32"/>
          <w:szCs w:val="32"/>
          <w:lang w:val="en-US" w:eastAsia="zh-CN" w:bidi="ar-SA"/>
        </w:rPr>
      </w:pPr>
      <w:r>
        <w:rPr>
          <w:rFonts w:hint="eastAsia" w:ascii="楷体_GB2312" w:eastAsia="楷体_GB2312" w:cs="Times New Roman"/>
          <w:b/>
          <w:kern w:val="2"/>
          <w:sz w:val="32"/>
          <w:szCs w:val="32"/>
          <w:lang w:val="en-US" w:eastAsia="zh-CN" w:bidi="ar-SA"/>
        </w:rPr>
        <w:t>(四）</w:t>
      </w:r>
      <w:r>
        <w:rPr>
          <w:rFonts w:hint="eastAsia" w:ascii="楷体_GB2312" w:hAnsi="Calibri" w:eastAsia="楷体_GB2312" w:cs="Times New Roman"/>
          <w:b/>
          <w:kern w:val="2"/>
          <w:sz w:val="32"/>
          <w:szCs w:val="32"/>
          <w:lang w:val="en-US" w:eastAsia="zh-CN" w:bidi="ar-SA"/>
        </w:rPr>
        <w:t>“三公”经费支出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2021年“三公”经费预算数为20万元，其中：因公出国（境）费0万元，公务用车购置及运行费0万元（公务用车购置费0万元，公务用车运行费0万元），公务接待费20万元。</w:t>
      </w:r>
    </w:p>
    <w:p>
      <w:pPr>
        <w:adjustRightInd w:val="0"/>
        <w:snapToGrid w:val="0"/>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全年决算支出“三公”经费</w:t>
      </w:r>
      <w:r>
        <w:rPr>
          <w:rFonts w:hint="eastAsia" w:ascii="仿宋_GB2312" w:hAnsi="仿宋_GB2312" w:eastAsia="仿宋_GB2312" w:cs="仿宋_GB2312"/>
          <w:color w:val="auto"/>
          <w:sz w:val="32"/>
          <w:szCs w:val="32"/>
          <w:lang w:val="en-US" w:eastAsia="zh-CN"/>
        </w:rPr>
        <w:t>19.79</w:t>
      </w:r>
      <w:r>
        <w:rPr>
          <w:rFonts w:hint="eastAsia" w:ascii="仿宋_GB2312" w:hAnsi="仿宋_GB2312" w:eastAsia="仿宋_GB2312" w:cs="仿宋_GB2312"/>
          <w:color w:val="auto"/>
          <w:sz w:val="32"/>
          <w:szCs w:val="32"/>
        </w:rPr>
        <w:t>万元，其中公务接待费</w:t>
      </w:r>
      <w:r>
        <w:rPr>
          <w:rFonts w:hint="eastAsia" w:ascii="仿宋_GB2312" w:hAnsi="仿宋_GB2312" w:eastAsia="仿宋_GB2312" w:cs="仿宋_GB2312"/>
          <w:color w:val="auto"/>
          <w:sz w:val="32"/>
          <w:szCs w:val="32"/>
          <w:lang w:val="en-US" w:eastAsia="zh-CN"/>
        </w:rPr>
        <w:t>19.79</w:t>
      </w:r>
      <w:r>
        <w:rPr>
          <w:rFonts w:hint="eastAsia" w:ascii="仿宋_GB2312" w:hAnsi="仿宋_GB2312" w:eastAsia="仿宋_GB2312" w:cs="仿宋_GB2312"/>
          <w:color w:val="auto"/>
          <w:sz w:val="32"/>
          <w:szCs w:val="32"/>
        </w:rPr>
        <w:t>万元、公务用车购置及运行</w:t>
      </w:r>
      <w:r>
        <w:rPr>
          <w:rFonts w:hint="eastAsia" w:ascii="仿宋_GB2312" w:hAnsi="仿宋_GB2312" w:eastAsia="仿宋_GB2312" w:cs="仿宋_GB2312"/>
          <w:color w:val="auto"/>
          <w:sz w:val="32"/>
          <w:szCs w:val="32"/>
          <w:lang w:eastAsia="zh-CN"/>
        </w:rPr>
        <w:t>维护</w:t>
      </w:r>
      <w:r>
        <w:rPr>
          <w:rFonts w:hint="eastAsia" w:ascii="仿宋_GB2312" w:hAnsi="仿宋_GB2312" w:eastAsia="仿宋_GB2312" w:cs="仿宋_GB2312"/>
          <w:color w:val="auto"/>
          <w:sz w:val="32"/>
          <w:szCs w:val="32"/>
        </w:rPr>
        <w:t>费</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万元。具体情况如下：</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、公务接待费</w:t>
      </w:r>
    </w:p>
    <w:p>
      <w:pPr>
        <w:pStyle w:val="5"/>
        <w:shd w:val="clear" w:color="auto" w:fill="FFFFFF"/>
        <w:spacing w:before="0" w:beforeAutospacing="0" w:after="0" w:afterAutospacing="0" w:line="600" w:lineRule="atLeast"/>
        <w:ind w:firstLine="643"/>
        <w:rPr>
          <w:rFonts w:hint="eastAsia" w:ascii="仿宋_GB2312" w:hAnsi="仿宋_GB2312" w:eastAsia="仿宋_GB2312" w:cs="仿宋_GB2312"/>
          <w:color w:val="666666"/>
          <w:sz w:val="32"/>
          <w:szCs w:val="32"/>
        </w:rPr>
      </w:pPr>
      <w:r>
        <w:rPr>
          <w:rFonts w:hint="eastAsia" w:ascii="仿宋_GB2312" w:hAnsi="仿宋" w:eastAsia="仿宋_GB2312" w:cs="Times New Roman"/>
          <w:b/>
          <w:color w:val="auto"/>
          <w:sz w:val="32"/>
          <w:szCs w:val="32"/>
        </w:rPr>
        <w:t>公务接待费</w:t>
      </w:r>
      <w:r>
        <w:rPr>
          <w:rFonts w:hint="eastAsia" w:ascii="仿宋_GB2312" w:hAnsi="仿宋" w:eastAsia="仿宋_GB2312" w:cs="Times New Roman"/>
          <w:color w:val="auto"/>
          <w:sz w:val="32"/>
          <w:szCs w:val="32"/>
        </w:rPr>
        <w:t>支出决算为</w:t>
      </w:r>
      <w:r>
        <w:rPr>
          <w:rFonts w:hint="eastAsia" w:ascii="仿宋_GB2312" w:hAnsi="仿宋" w:eastAsia="仿宋_GB2312" w:cs="Times New Roman"/>
          <w:color w:val="auto"/>
          <w:sz w:val="32"/>
          <w:szCs w:val="32"/>
          <w:u w:val="single"/>
        </w:rPr>
        <w:t xml:space="preserve">  </w:t>
      </w:r>
      <w:r>
        <w:rPr>
          <w:rFonts w:hint="eastAsia" w:ascii="仿宋_GB2312" w:hAnsi="仿宋" w:eastAsia="仿宋_GB2312" w:cs="Times New Roman"/>
          <w:color w:val="auto"/>
          <w:sz w:val="32"/>
          <w:szCs w:val="32"/>
          <w:u w:val="single"/>
          <w:lang w:val="en-US" w:eastAsia="zh-CN"/>
        </w:rPr>
        <w:t>19.79</w:t>
      </w:r>
      <w:r>
        <w:rPr>
          <w:rFonts w:hint="eastAsia" w:ascii="仿宋_GB2312" w:hAnsi="仿宋" w:eastAsia="仿宋_GB2312" w:cs="Times New Roman"/>
          <w:color w:val="auto"/>
          <w:sz w:val="32"/>
          <w:szCs w:val="32"/>
          <w:u w:val="single"/>
        </w:rPr>
        <w:t xml:space="preserve"> </w:t>
      </w:r>
      <w:r>
        <w:rPr>
          <w:rFonts w:hint="eastAsia" w:ascii="仿宋_GB2312" w:hAnsi="仿宋" w:eastAsia="仿宋_GB2312" w:cs="Times New Roman"/>
          <w:color w:val="auto"/>
          <w:sz w:val="32"/>
          <w:szCs w:val="32"/>
        </w:rPr>
        <w:t>万元，全年共接待</w:t>
      </w:r>
      <w:r>
        <w:rPr>
          <w:rFonts w:hint="eastAsia" w:ascii="仿宋_GB2312" w:hAnsi="仿宋" w:eastAsia="仿宋_GB2312" w:cs="Times New Roman"/>
          <w:color w:val="auto"/>
          <w:sz w:val="32"/>
          <w:szCs w:val="32"/>
          <w:lang w:val="en-US" w:eastAsia="zh-CN"/>
        </w:rPr>
        <w:t>431批次，2046人</w:t>
      </w:r>
      <w:r>
        <w:rPr>
          <w:rFonts w:hint="eastAsia" w:ascii="仿宋_GB2312" w:hAnsi="仿宋" w:eastAsia="仿宋_GB2312" w:cs="Times New Roman"/>
          <w:color w:val="auto"/>
          <w:sz w:val="32"/>
          <w:szCs w:val="32"/>
        </w:rPr>
        <w:t>，主要是</w:t>
      </w:r>
      <w:r>
        <w:rPr>
          <w:rFonts w:hint="eastAsia" w:ascii="仿宋_GB2312" w:hAnsi="仿宋_GB2312" w:eastAsia="仿宋_GB2312" w:cs="仿宋_GB2312"/>
          <w:color w:val="000000"/>
          <w:sz w:val="32"/>
          <w:szCs w:val="32"/>
          <w:shd w:val="clear" w:color="auto" w:fill="FFFFFF"/>
        </w:rPr>
        <w:t>上级领导或机关来镇检查、督查落实各类工作任务及本单位办事人员在本辖区以外发生的接待支出。</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、公务用车购置及运行费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（1）公务车运行维护费</w:t>
      </w:r>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年的公务车运行费用为</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较</w:t>
      </w:r>
      <w:r>
        <w:rPr>
          <w:rFonts w:hint="eastAsia" w:ascii="仿宋_GB2312" w:hAnsi="仿宋_GB2312" w:eastAsia="仿宋_GB2312" w:cs="仿宋_GB2312"/>
          <w:color w:val="auto"/>
          <w:sz w:val="32"/>
          <w:szCs w:val="32"/>
        </w:rPr>
        <w:t>年初预算</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万元，</w:t>
      </w:r>
      <w:r>
        <w:rPr>
          <w:rFonts w:hint="eastAsia" w:ascii="仿宋_GB2312" w:hAnsi="仿宋_GB2312" w:eastAsia="仿宋_GB2312" w:cs="仿宋_GB2312"/>
          <w:color w:val="auto"/>
          <w:sz w:val="32"/>
          <w:szCs w:val="32"/>
          <w:lang w:eastAsia="zh-CN"/>
        </w:rPr>
        <w:t>节约了</w:t>
      </w:r>
      <w:r>
        <w:rPr>
          <w:rFonts w:hint="eastAsia" w:ascii="仿宋_GB2312" w:hAnsi="仿宋_GB2312" w:eastAsia="仿宋_GB2312" w:cs="仿宋_GB2312"/>
          <w:color w:val="auto"/>
          <w:sz w:val="32"/>
          <w:szCs w:val="32"/>
          <w:lang w:val="en-US" w:eastAsia="zh-CN"/>
        </w:rPr>
        <w:t>4万元</w:t>
      </w:r>
      <w:r>
        <w:rPr>
          <w:rFonts w:hint="eastAsia" w:ascii="仿宋_GB2312" w:hAnsi="仿宋_GB2312" w:eastAsia="仿宋_GB2312" w:cs="仿宋_GB2312"/>
          <w:color w:val="auto"/>
          <w:sz w:val="32"/>
          <w:szCs w:val="32"/>
          <w:lang w:eastAsia="zh-CN"/>
        </w:rPr>
        <w:t>。</w:t>
      </w:r>
    </w:p>
    <w:p>
      <w:pPr>
        <w:pStyle w:val="2"/>
        <w:rPr>
          <w:rFonts w:hint="eastAsia"/>
          <w:lang w:val="en-US" w:eastAsia="zh-CN"/>
        </w:rPr>
      </w:pPr>
    </w:p>
    <w:p>
      <w:pPr>
        <w:numPr>
          <w:ilvl w:val="0"/>
          <w:numId w:val="1"/>
        </w:numPr>
        <w:adjustRightInd w:val="0"/>
        <w:snapToGrid w:val="0"/>
        <w:spacing w:line="600" w:lineRule="exact"/>
        <w:ind w:firstLine="640" w:firstLineChars="200"/>
        <w:rPr>
          <w:rFonts w:hint="eastAsia" w:eastAsia="黑体"/>
          <w:sz w:val="32"/>
          <w:szCs w:val="32"/>
        </w:rPr>
      </w:pPr>
      <w:r>
        <w:rPr>
          <w:rFonts w:hint="eastAsia" w:eastAsia="黑体"/>
          <w:sz w:val="32"/>
          <w:szCs w:val="32"/>
        </w:rPr>
        <w:t>绩效评价工作情况</w:t>
      </w:r>
    </w:p>
    <w:p>
      <w:pPr>
        <w:pageBreakBefore w:val="0"/>
        <w:kinsoku/>
        <w:wordWrap/>
        <w:overflowPunct/>
        <w:topLinePunct w:val="0"/>
        <w:autoSpaceDE/>
        <w:autoSpaceDN/>
        <w:bidi w:val="0"/>
        <w:adjustRightInd/>
        <w:spacing w:line="560" w:lineRule="exact"/>
        <w:ind w:firstLine="455"/>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根据《邵阳县财政局关于开展</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年度部门整体支出绩效自评和专项项目资金绩效评价工作的通知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邵阳县</w:t>
      </w:r>
      <w:r>
        <w:rPr>
          <w:rFonts w:hint="eastAsia" w:ascii="仿宋_GB2312" w:hAnsi="仿宋_GB2312" w:eastAsia="仿宋_GB2312" w:cs="仿宋_GB2312"/>
          <w:sz w:val="32"/>
          <w:szCs w:val="32"/>
          <w:lang w:val="en-US" w:eastAsia="zh-CN"/>
        </w:rPr>
        <w:t>岩口铺镇</w:t>
      </w:r>
      <w:r>
        <w:rPr>
          <w:rFonts w:hint="eastAsia" w:ascii="仿宋_GB2312" w:hAnsi="仿宋_GB2312" w:eastAsia="仿宋_GB2312" w:cs="仿宋_GB2312"/>
          <w:sz w:val="32"/>
          <w:szCs w:val="32"/>
          <w:lang w:eastAsia="zh-CN"/>
        </w:rPr>
        <w:t>人民政府</w:t>
      </w:r>
      <w:r>
        <w:rPr>
          <w:rFonts w:hint="eastAsia" w:ascii="仿宋_GB2312" w:hAnsi="仿宋_GB2312" w:eastAsia="仿宋_GB2312" w:cs="仿宋_GB2312"/>
          <w:sz w:val="32"/>
          <w:szCs w:val="32"/>
        </w:rPr>
        <w:t>成立了绩效评价工作领导小组，负责绩效评价工作的组织领导和具体实施。评价小组采取座谈等方式听取情况，检查基本支出、项目支出有关账目，收集整理支出相关资料，并根据各部门报送的绩效自评材料进行分析，形成评价结论。</w:t>
      </w:r>
    </w:p>
    <w:p>
      <w:pPr>
        <w:pStyle w:val="2"/>
        <w:numPr>
          <w:ilvl w:val="0"/>
          <w:numId w:val="0"/>
        </w:numPr>
        <w:ind w:leftChars="400"/>
      </w:pPr>
    </w:p>
    <w:p>
      <w:pPr>
        <w:numPr>
          <w:ilvl w:val="0"/>
          <w:numId w:val="1"/>
        </w:numPr>
        <w:adjustRightInd w:val="0"/>
        <w:snapToGrid w:val="0"/>
        <w:spacing w:line="600" w:lineRule="exact"/>
        <w:ind w:left="0" w:leftChars="0" w:firstLine="640" w:firstLineChars="200"/>
        <w:rPr>
          <w:rFonts w:hint="eastAsia" w:eastAsia="黑体"/>
          <w:sz w:val="32"/>
          <w:szCs w:val="32"/>
        </w:rPr>
      </w:pPr>
      <w:r>
        <w:rPr>
          <w:rFonts w:hint="eastAsia" w:eastAsia="黑体"/>
          <w:sz w:val="32"/>
          <w:szCs w:val="32"/>
        </w:rPr>
        <w:t>综合评价情况及评价结论</w:t>
      </w:r>
    </w:p>
    <w:p>
      <w:pPr>
        <w:ind w:firstLine="640" w:firstLineChars="200"/>
        <w:rPr>
          <w:rFonts w:hint="eastAsia" w:ascii="仿宋_GB2312" w:eastAsia="仿宋_GB2312"/>
          <w:sz w:val="30"/>
          <w:szCs w:val="30"/>
        </w:rPr>
      </w:pPr>
      <w:r>
        <w:rPr>
          <w:rFonts w:hint="eastAsia" w:ascii="仿宋" w:hAnsi="仿宋" w:eastAsia="仿宋" w:cs="仿宋"/>
          <w:i w:val="0"/>
          <w:iCs w:val="0"/>
          <w:caps w:val="0"/>
          <w:color w:val="333333"/>
          <w:spacing w:val="0"/>
          <w:sz w:val="32"/>
          <w:szCs w:val="32"/>
          <w:lang w:val="en-US" w:eastAsia="zh-CN"/>
        </w:rPr>
        <w:t>2021年</w:t>
      </w:r>
      <w:r>
        <w:rPr>
          <w:rFonts w:ascii="仿宋" w:hAnsi="仿宋" w:eastAsia="仿宋" w:cs="仿宋"/>
          <w:i w:val="0"/>
          <w:iCs w:val="0"/>
          <w:caps w:val="0"/>
          <w:color w:val="333333"/>
          <w:spacing w:val="0"/>
          <w:sz w:val="32"/>
          <w:szCs w:val="32"/>
        </w:rPr>
        <w:t>我</w:t>
      </w:r>
      <w:r>
        <w:rPr>
          <w:rFonts w:hint="eastAsia" w:ascii="仿宋" w:hAnsi="仿宋" w:eastAsia="仿宋" w:cs="仿宋"/>
          <w:i w:val="0"/>
          <w:iCs w:val="0"/>
          <w:caps w:val="0"/>
          <w:color w:val="333333"/>
          <w:spacing w:val="0"/>
          <w:sz w:val="32"/>
          <w:szCs w:val="32"/>
          <w:lang w:val="en-US" w:eastAsia="zh-CN"/>
        </w:rPr>
        <w:t>镇</w:t>
      </w:r>
      <w:r>
        <w:rPr>
          <w:rFonts w:ascii="仿宋" w:hAnsi="仿宋" w:eastAsia="仿宋" w:cs="仿宋"/>
          <w:i w:val="0"/>
          <w:iCs w:val="0"/>
          <w:caps w:val="0"/>
          <w:color w:val="333333"/>
          <w:spacing w:val="0"/>
          <w:sz w:val="32"/>
          <w:szCs w:val="32"/>
        </w:rPr>
        <w:t>积极履职，强化管理，较好的完成了年度工作目标。通过加强预算收支管理，不断建立健全内部管理制度，梳理内部管理流程，整体支出管理水平得到提升；各项绩效指标均达到了预期效果。根据部门整体支出绩效评价指标体系，我</w:t>
      </w:r>
      <w:r>
        <w:rPr>
          <w:rFonts w:hint="eastAsia" w:ascii="仿宋" w:hAnsi="仿宋" w:eastAsia="仿宋" w:cs="仿宋"/>
          <w:i w:val="0"/>
          <w:iCs w:val="0"/>
          <w:caps w:val="0"/>
          <w:color w:val="333333"/>
          <w:spacing w:val="0"/>
          <w:sz w:val="32"/>
          <w:szCs w:val="32"/>
          <w:lang w:val="en-US" w:eastAsia="zh-CN"/>
        </w:rPr>
        <w:t>镇</w:t>
      </w:r>
      <w:r>
        <w:rPr>
          <w:rFonts w:hint="eastAsia" w:ascii="仿宋" w:hAnsi="仿宋" w:eastAsia="仿宋" w:cs="仿宋"/>
          <w:i w:val="0"/>
          <w:iCs w:val="0"/>
          <w:caps w:val="0"/>
          <w:color w:val="333333"/>
          <w:spacing w:val="0"/>
          <w:sz w:val="32"/>
          <w:szCs w:val="32"/>
        </w:rPr>
        <w:t>年度</w:t>
      </w:r>
      <w:r>
        <w:rPr>
          <w:rFonts w:hint="eastAsia" w:ascii="仿宋" w:hAnsi="仿宋" w:eastAsia="仿宋" w:cs="仿宋"/>
          <w:i w:val="0"/>
          <w:iCs w:val="0"/>
          <w:caps w:val="0"/>
          <w:color w:val="333333"/>
          <w:spacing w:val="-2"/>
          <w:sz w:val="32"/>
          <w:szCs w:val="32"/>
        </w:rPr>
        <w:t>部门整体支出绩效自评</w:t>
      </w:r>
      <w:r>
        <w:rPr>
          <w:rFonts w:hint="eastAsia" w:ascii="仿宋" w:hAnsi="仿宋" w:eastAsia="仿宋" w:cs="仿宋"/>
          <w:i w:val="0"/>
          <w:iCs w:val="0"/>
          <w:caps w:val="0"/>
          <w:color w:val="333333"/>
          <w:spacing w:val="-2"/>
          <w:sz w:val="32"/>
          <w:szCs w:val="32"/>
          <w:lang w:val="en-US" w:eastAsia="zh-CN"/>
        </w:rPr>
        <w:t>95.8</w:t>
      </w:r>
      <w:r>
        <w:rPr>
          <w:rFonts w:hint="eastAsia" w:ascii="仿宋" w:hAnsi="仿宋" w:eastAsia="仿宋" w:cs="仿宋"/>
          <w:i w:val="0"/>
          <w:iCs w:val="0"/>
          <w:caps w:val="0"/>
          <w:color w:val="333333"/>
          <w:spacing w:val="0"/>
          <w:sz w:val="32"/>
          <w:szCs w:val="32"/>
        </w:rPr>
        <w:t>分</w:t>
      </w:r>
      <w:r>
        <w:rPr>
          <w:rFonts w:hint="eastAsia" w:ascii="仿宋_GB2312" w:eastAsia="仿宋_GB2312"/>
          <w:sz w:val="30"/>
          <w:szCs w:val="30"/>
        </w:rPr>
        <w:t>。</w:t>
      </w:r>
    </w:p>
    <w:p>
      <w:pPr>
        <w:numPr>
          <w:ilvl w:val="0"/>
          <w:numId w:val="1"/>
        </w:numPr>
        <w:adjustRightInd w:val="0"/>
        <w:snapToGrid w:val="0"/>
        <w:spacing w:line="600" w:lineRule="exact"/>
        <w:ind w:left="0" w:leftChars="0" w:firstLine="640" w:firstLineChars="200"/>
        <w:rPr>
          <w:rFonts w:hint="eastAsia" w:ascii="黑体" w:eastAsia="黑体"/>
          <w:sz w:val="32"/>
          <w:szCs w:val="32"/>
          <w:lang w:eastAsia="zh-CN"/>
        </w:rPr>
      </w:pPr>
      <w:r>
        <w:rPr>
          <w:rFonts w:hint="eastAsia" w:ascii="黑体" w:eastAsia="黑体"/>
          <w:sz w:val="32"/>
          <w:szCs w:val="32"/>
          <w:lang w:eastAsia="zh-CN"/>
        </w:rPr>
        <w:t>部门整体支出主要绩效</w:t>
      </w:r>
      <w:bookmarkStart w:id="4" w:name="_GoBack"/>
      <w:bookmarkEnd w:id="4"/>
    </w:p>
    <w:tbl>
      <w:tblPr>
        <w:tblStyle w:val="6"/>
        <w:tblW w:w="108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11"/>
        <w:gridCol w:w="2060"/>
        <w:gridCol w:w="2860"/>
        <w:gridCol w:w="18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产出指标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数量指标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单位实有人数</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117人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质量指标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工资发放率</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2" w:hRule="atLeast"/>
          <w:jc w:val="center"/>
        </w:trPr>
        <w:tc>
          <w:tcPr>
            <w:tcW w:w="2511" w:type="dxa"/>
            <w:vMerge w:val="continue"/>
            <w:vAlign w:val="center"/>
          </w:tcPr>
          <w:p>
            <w:pPr>
              <w:jc w:val="center"/>
              <w:rPr>
                <w:rFonts w:hint="eastAsia" w:ascii="仿宋_GB2312" w:hAnsi="黑体" w:eastAsia="仿宋_GB2312" w:cs="黑体"/>
                <w:szCs w:val="21"/>
              </w:rPr>
            </w:pPr>
          </w:p>
        </w:tc>
        <w:tc>
          <w:tcPr>
            <w:tcW w:w="20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成本指标</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工资福利支出及公用经费</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2623.03万元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6" w:hRule="atLeast"/>
          <w:jc w:val="center"/>
        </w:trPr>
        <w:tc>
          <w:tcPr>
            <w:tcW w:w="2511" w:type="dxa"/>
            <w:vMerge w:val="restart"/>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效益指标</w:t>
            </w:r>
          </w:p>
        </w:tc>
        <w:tc>
          <w:tcPr>
            <w:tcW w:w="2060" w:type="dxa"/>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经济及社会效益</w:t>
            </w:r>
          </w:p>
        </w:tc>
        <w:tc>
          <w:tcPr>
            <w:tcW w:w="2860"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发展农村经济、改善民生、改善农村人居环境及社会和谐稳定</w:t>
            </w:r>
          </w:p>
        </w:tc>
        <w:tc>
          <w:tcPr>
            <w:tcW w:w="1838" w:type="dxa"/>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促进经济发展、民生改善、环境改善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6" w:hRule="atLeast"/>
          <w:jc w:val="center"/>
        </w:trPr>
        <w:tc>
          <w:tcPr>
            <w:tcW w:w="2511" w:type="dxa"/>
            <w:vMerge w:val="continue"/>
            <w:tcBorders>
              <w:bottom w:val="single" w:color="auto" w:sz="4" w:space="0"/>
            </w:tcBorders>
            <w:vAlign w:val="center"/>
          </w:tcPr>
          <w:p>
            <w:pPr>
              <w:jc w:val="center"/>
              <w:rPr>
                <w:rFonts w:hint="eastAsia" w:ascii="仿宋_GB2312" w:hAnsi="黑体" w:eastAsia="仿宋_GB2312" w:cs="黑体"/>
                <w:szCs w:val="21"/>
              </w:rPr>
            </w:pPr>
          </w:p>
        </w:tc>
        <w:tc>
          <w:tcPr>
            <w:tcW w:w="20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社会公众或服务对象满意度</w:t>
            </w:r>
          </w:p>
        </w:tc>
        <w:tc>
          <w:tcPr>
            <w:tcW w:w="2860" w:type="dxa"/>
            <w:tcBorders>
              <w:bottom w:val="single" w:color="auto" w:sz="4" w:space="0"/>
            </w:tcBorders>
            <w:vAlign w:val="center"/>
          </w:tcPr>
          <w:p>
            <w:pPr>
              <w:jc w:val="center"/>
              <w:rPr>
                <w:rFonts w:hint="eastAsia" w:ascii="仿宋_GB2312" w:hAnsi="黑体" w:eastAsia="仿宋_GB2312" w:cs="黑体"/>
                <w:szCs w:val="21"/>
              </w:rPr>
            </w:pPr>
            <w:r>
              <w:rPr>
                <w:rFonts w:hint="eastAsia" w:ascii="仿宋_GB2312" w:hAnsi="黑体" w:eastAsia="仿宋_GB2312" w:cs="黑体"/>
                <w:szCs w:val="21"/>
              </w:rPr>
              <w:t>服务对象对单位的满意程度</w:t>
            </w:r>
          </w:p>
        </w:tc>
        <w:tc>
          <w:tcPr>
            <w:tcW w:w="1838" w:type="dxa"/>
            <w:tcBorders>
              <w:bottom w:val="single" w:color="auto" w:sz="4" w:space="0"/>
            </w:tcBorders>
            <w:vAlign w:val="center"/>
          </w:tcPr>
          <w:p>
            <w:pPr>
              <w:jc w:val="center"/>
              <w:rPr>
                <w:rFonts w:hint="default" w:ascii="仿宋_GB2312" w:hAnsi="黑体" w:eastAsia="仿宋_GB2312" w:cs="黑体"/>
                <w:szCs w:val="21"/>
                <w:lang w:val="en-US" w:eastAsia="zh-CN"/>
              </w:rPr>
            </w:pPr>
            <w:r>
              <w:rPr>
                <w:rFonts w:hint="eastAsia" w:ascii="仿宋_GB2312" w:hAnsi="黑体" w:eastAsia="仿宋_GB2312" w:cs="黑体"/>
                <w:szCs w:val="21"/>
                <w:lang w:val="en-US" w:eastAsia="zh-CN"/>
              </w:rPr>
              <w:t>98%</w:t>
            </w:r>
          </w:p>
        </w:tc>
      </w:tr>
    </w:tbl>
    <w:p>
      <w:pPr>
        <w:pStyle w:val="2"/>
        <w:numPr>
          <w:ilvl w:val="0"/>
          <w:numId w:val="0"/>
        </w:numPr>
        <w:ind w:leftChars="200"/>
        <w:rPr>
          <w:rFonts w:hint="eastAsia"/>
          <w:lang w:eastAsia="zh-CN"/>
        </w:rPr>
      </w:pPr>
    </w:p>
    <w:p>
      <w:pPr>
        <w:adjustRightInd w:val="0"/>
        <w:snapToGrid w:val="0"/>
        <w:spacing w:line="600" w:lineRule="exact"/>
        <w:ind w:firstLine="640" w:firstLineChars="200"/>
        <w:rPr>
          <w:rFonts w:hint="eastAsia" w:ascii="黑体" w:eastAsia="黑体"/>
          <w:sz w:val="32"/>
          <w:szCs w:val="32"/>
        </w:rPr>
      </w:pPr>
      <w:r>
        <w:rPr>
          <w:rFonts w:hint="eastAsia" w:ascii="黑体" w:eastAsia="黑体"/>
          <w:sz w:val="32"/>
          <w:szCs w:val="32"/>
          <w:lang w:eastAsia="zh-CN"/>
        </w:rPr>
        <w:t>六</w:t>
      </w:r>
      <w:r>
        <w:rPr>
          <w:rFonts w:hint="eastAsia" w:ascii="黑体" w:eastAsia="黑体"/>
          <w:sz w:val="32"/>
          <w:szCs w:val="32"/>
        </w:rPr>
        <w:t>、存在的问题</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0" w:name="_Toc390113229"/>
      <w:r>
        <w:rPr>
          <w:rFonts w:hint="eastAsia" w:ascii="楷体_GB2312" w:hAnsi="楷体_GB2312" w:eastAsia="楷体_GB2312" w:cs="楷体_GB2312"/>
          <w:b/>
          <w:bCs/>
          <w:sz w:val="32"/>
          <w:szCs w:val="32"/>
          <w:lang w:eastAsia="zh-CN"/>
        </w:rPr>
        <w:t>（一）</w:t>
      </w:r>
      <w:r>
        <w:rPr>
          <w:rFonts w:hint="eastAsia" w:ascii="楷体_GB2312" w:hAnsi="楷体_GB2312" w:eastAsia="楷体_GB2312" w:cs="楷体_GB2312"/>
          <w:b/>
          <w:bCs/>
          <w:sz w:val="32"/>
          <w:szCs w:val="32"/>
        </w:rPr>
        <w:t>固定资产管理有待加强</w:t>
      </w:r>
      <w:bookmarkEnd w:id="0"/>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因固定资产种类繁多，规格不一，虽然配备了专人管理，但还是存在已处理与新增的资产未及时登录入台账的现象，也未建立卡片进行管理，年终前未</w:t>
      </w:r>
      <w:r>
        <w:rPr>
          <w:rFonts w:hint="eastAsia" w:ascii="仿宋_GB2312" w:hAnsi="仿宋_GB2312" w:eastAsia="仿宋_GB2312" w:cs="仿宋_GB2312"/>
          <w:sz w:val="32"/>
          <w:szCs w:val="32"/>
          <w:lang w:eastAsia="zh-CN"/>
        </w:rPr>
        <w:t>按时</w:t>
      </w:r>
      <w:r>
        <w:rPr>
          <w:rFonts w:hint="eastAsia" w:ascii="仿宋_GB2312" w:hAnsi="仿宋_GB2312" w:eastAsia="仿宋_GB2312" w:cs="仿宋_GB2312"/>
          <w:sz w:val="32"/>
          <w:szCs w:val="32"/>
        </w:rPr>
        <w:t>对固定资产进行全面清点。</w:t>
      </w:r>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bookmarkStart w:id="1" w:name="_Toc390113230"/>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）管理制度欠完善</w:t>
      </w:r>
      <w:bookmarkEnd w:id="1"/>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虽然制定了《</w:t>
      </w:r>
      <w:r>
        <w:rPr>
          <w:rFonts w:hint="eastAsia" w:ascii="仿宋_GB2312" w:hAnsi="仿宋_GB2312" w:eastAsia="仿宋_GB2312" w:cs="仿宋_GB2312"/>
          <w:sz w:val="32"/>
          <w:szCs w:val="32"/>
          <w:lang w:val="en-US" w:eastAsia="zh-CN"/>
        </w:rPr>
        <w:t>岩口铺镇</w:t>
      </w:r>
      <w:r>
        <w:rPr>
          <w:rFonts w:hint="eastAsia" w:ascii="仿宋_GB2312" w:hAnsi="仿宋_GB2312" w:eastAsia="仿宋_GB2312" w:cs="仿宋_GB2312"/>
          <w:sz w:val="32"/>
          <w:szCs w:val="32"/>
          <w:lang w:eastAsia="zh-CN"/>
        </w:rPr>
        <w:t>财务管理制度</w:t>
      </w:r>
      <w:r>
        <w:rPr>
          <w:rFonts w:hint="eastAsia" w:ascii="仿宋_GB2312" w:hAnsi="仿宋_GB2312" w:eastAsia="仿宋_GB2312" w:cs="仿宋_GB2312"/>
          <w:sz w:val="32"/>
          <w:szCs w:val="32"/>
        </w:rPr>
        <w:t>》，针对“三公”经费的管理</w:t>
      </w:r>
      <w:r>
        <w:rPr>
          <w:rFonts w:hint="eastAsia" w:ascii="仿宋_GB2312" w:hAnsi="仿宋_GB2312" w:eastAsia="仿宋_GB2312" w:cs="仿宋_GB2312"/>
          <w:sz w:val="32"/>
          <w:szCs w:val="32"/>
          <w:lang w:eastAsia="zh-CN"/>
        </w:rPr>
        <w:t>按照县委办</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关于进一步规范和加强机关事务接待工作的通知</w:t>
      </w:r>
      <w:r>
        <w:rPr>
          <w:rFonts w:hint="eastAsia" w:ascii="仿宋_GB2312" w:hAnsi="仿宋_GB2312" w:eastAsia="仿宋_GB2312" w:cs="仿宋_GB2312"/>
          <w:sz w:val="32"/>
          <w:szCs w:val="32"/>
        </w:rPr>
        <w:t>》，但未制定专门的会议管理制度，不便于对会议费支出规范管理。</w:t>
      </w:r>
    </w:p>
    <w:p>
      <w:pPr>
        <w:numPr>
          <w:ilvl w:val="0"/>
          <w:numId w:val="0"/>
        </w:numPr>
        <w:adjustRightInd w:val="0"/>
        <w:snapToGrid w:val="0"/>
        <w:spacing w:line="600" w:lineRule="exact"/>
        <w:ind w:firstLine="640" w:firstLineChars="200"/>
        <w:rPr>
          <w:rFonts w:hint="eastAsia" w:eastAsia="黑体"/>
          <w:sz w:val="32"/>
          <w:szCs w:val="32"/>
        </w:rPr>
      </w:pPr>
      <w:r>
        <w:rPr>
          <w:rFonts w:hint="eastAsia" w:eastAsia="黑体"/>
          <w:sz w:val="32"/>
          <w:szCs w:val="32"/>
          <w:lang w:eastAsia="zh-CN"/>
        </w:rPr>
        <w:t>七、</w:t>
      </w:r>
      <w:r>
        <w:rPr>
          <w:rFonts w:hint="eastAsia" w:eastAsia="黑体"/>
          <w:sz w:val="32"/>
          <w:szCs w:val="32"/>
        </w:rPr>
        <w:t>改进措施和有关建议</w:t>
      </w:r>
      <w:bookmarkStart w:id="2" w:name="_Toc390113235"/>
    </w:p>
    <w:p>
      <w:pPr>
        <w:numPr>
          <w:ilvl w:val="0"/>
          <w:numId w:val="2"/>
        </w:numPr>
        <w:adjustRightInd w:val="0"/>
        <w:snapToGrid w:val="0"/>
        <w:spacing w:line="600" w:lineRule="exact"/>
        <w:ind w:left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加强资产管理</w:t>
      </w:r>
      <w:bookmarkEnd w:id="2"/>
    </w:p>
    <w:p>
      <w:pPr>
        <w:numPr>
          <w:ilvl w:val="0"/>
          <w:numId w:val="0"/>
        </w:numPr>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严格按照《固定资产管理办法》的规定管理固定资产，及时登记台账，并建立卡片管理，年终前对各类实物资产进行全面盘点，确保账账、账实相符。</w:t>
      </w:r>
      <w:bookmarkStart w:id="3" w:name="_Toc390113236"/>
    </w:p>
    <w:p>
      <w:pPr>
        <w:pStyle w:val="4"/>
        <w:pageBreakBefore w:val="0"/>
        <w:kinsoku/>
        <w:wordWrap/>
        <w:overflowPunct/>
        <w:topLinePunct w:val="0"/>
        <w:autoSpaceDE/>
        <w:autoSpaceDN/>
        <w:bidi w:val="0"/>
        <w:adjustRightInd/>
        <w:spacing w:before="0" w:after="0" w:line="560" w:lineRule="exact"/>
        <w:ind w:firstLine="472" w:firstLineChars="147"/>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w:t>
      </w: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）完善管理制度</w:t>
      </w:r>
      <w:bookmarkEnd w:id="3"/>
    </w:p>
    <w:p>
      <w:pPr>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进一步贯彻落实中央“八项规定”和湖南省委“九条规定”，建立会议费管理制度，加强会议审批和控制，规范支出标准与范围，并严格执行。</w:t>
      </w:r>
    </w:p>
    <w:p/>
    <w:p>
      <w:pPr>
        <w:pStyle w:val="2"/>
      </w:pPr>
    </w:p>
    <w:p>
      <w:pPr>
        <w:pStyle w:val="2"/>
        <w:rPr>
          <w:rFonts w:hint="eastAsia" w:ascii="仿宋_GB2312" w:hAnsi="仿宋_GB2312" w:eastAsia="仿宋_GB2312" w:cs="仿宋_GB2312"/>
          <w:kern w:val="2"/>
          <w:sz w:val="32"/>
          <w:szCs w:val="32"/>
          <w:lang w:val="en-US" w:eastAsia="zh-CN" w:bidi="ar-SA"/>
        </w:rPr>
      </w:pPr>
    </w:p>
    <w:p>
      <w:pPr>
        <w:pStyle w:val="2"/>
        <w:jc w:val="righ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邵阳县岩口铺镇人民政府</w:t>
      </w:r>
    </w:p>
    <w:p>
      <w:pPr>
        <w:pStyle w:val="2"/>
        <w:jc w:val="center"/>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2022年5月18日</w:t>
      </w:r>
    </w:p>
    <w:p>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D23D"/>
    <w:multiLevelType w:val="singleLevel"/>
    <w:tmpl w:val="FA6BD23D"/>
    <w:lvl w:ilvl="0" w:tentative="0">
      <w:start w:val="3"/>
      <w:numFmt w:val="chineseCounting"/>
      <w:suff w:val="nothing"/>
      <w:lvlText w:val="%1、"/>
      <w:lvlJc w:val="left"/>
      <w:rPr>
        <w:rFonts w:hint="eastAsia"/>
      </w:rPr>
    </w:lvl>
  </w:abstractNum>
  <w:abstractNum w:abstractNumId="1">
    <w:nsid w:val="04C207ED"/>
    <w:multiLevelType w:val="singleLevel"/>
    <w:tmpl w:val="04C207E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hZjg1ZDI1ODRjMDM4MDQ5OTM1MmJlN2RjNTYyMTIifQ=="/>
  </w:docVars>
  <w:rsids>
    <w:rsidRoot w:val="1A01282E"/>
    <w:rsid w:val="010F0455"/>
    <w:rsid w:val="11580205"/>
    <w:rsid w:val="13410A87"/>
    <w:rsid w:val="15322193"/>
    <w:rsid w:val="1A01282E"/>
    <w:rsid w:val="219413D8"/>
    <w:rsid w:val="32C23C57"/>
    <w:rsid w:val="34AF400B"/>
    <w:rsid w:val="3FA5377A"/>
    <w:rsid w:val="41A128A2"/>
    <w:rsid w:val="42A516D1"/>
    <w:rsid w:val="42BE5284"/>
    <w:rsid w:val="43C26008"/>
    <w:rsid w:val="44F432F9"/>
    <w:rsid w:val="46092971"/>
    <w:rsid w:val="4BC35A75"/>
    <w:rsid w:val="4ED65871"/>
    <w:rsid w:val="4F3953F9"/>
    <w:rsid w:val="58102EE3"/>
    <w:rsid w:val="589154DF"/>
    <w:rsid w:val="61FF10FE"/>
    <w:rsid w:val="63EC712E"/>
    <w:rsid w:val="682D4CF3"/>
    <w:rsid w:val="7C931A97"/>
    <w:rsid w:val="7F6D36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ind w:left="420" w:leftChars="200"/>
    </w:p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2184</Words>
  <Characters>2363</Characters>
  <Lines>0</Lines>
  <Paragraphs>0</Paragraphs>
  <TotalTime>22</TotalTime>
  <ScaleCrop>false</ScaleCrop>
  <LinksUpToDate>false</LinksUpToDate>
  <CharactersWithSpaces>2458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2022-06-14T14:29:00Z</dcterms:created>
  <dc:creator>-mmmmmmy°</dc:creator>
  <cp:lastModifiedBy>Administrator</cp:lastModifiedBy>
  <dcterms:modified xsi:type="dcterms:W3CDTF">2022-11-16T11:52:56Z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5D2163442A2F4BFFB5185A4ABEE8B58B</vt:lpwstr>
  </property>
</Properties>
</file>