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right="641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部门整体</w:t>
      </w:r>
      <w:r>
        <w:rPr>
          <w:rFonts w:eastAsia="方正小标宋_GBK"/>
          <w:sz w:val="36"/>
          <w:szCs w:val="36"/>
        </w:rPr>
        <w:t>支出绩效报告</w:t>
      </w:r>
    </w:p>
    <w:p>
      <w:pPr>
        <w:rPr>
          <w:rFonts w:hint="eastAsia" w:ascii="黑体" w:hAnsi="宋体" w:eastAsia="黑体"/>
          <w:szCs w:val="32"/>
        </w:rPr>
      </w:pPr>
    </w:p>
    <w:p>
      <w:pPr>
        <w:ind w:firstLine="442" w:firstLineChars="100"/>
        <w:jc w:val="both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县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玉田公路超限检测站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整体支出绩效报告</w:t>
      </w:r>
    </w:p>
    <w:p>
      <w:pPr>
        <w:spacing w:line="600" w:lineRule="exact"/>
        <w:ind w:left="420" w:leftChars="200"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邵阳县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玉田公路超限检测站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邵阳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县交通运输局管理的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副科级公益一类事业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核定全额拨款事业编制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25名，实有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在职人数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人，财政全额供养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人，在编实有车辆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辆。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内设综合部、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人事部、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财务部、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安全应急部和超限运输信息中心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主要职责是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宣传、贯彻、执行国家有关车辆超限治理的法律、法规、规章和政策。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依法对公路上行驶的车辆进行超限检测，认定、查处和纠正违法行为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为公路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超限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执法工作提供技术支持。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监督当事人对超限运输车辆采取卸载、分装等消除违法状态的改正。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收集、整理、上报有关检测数据和动态信息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60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管理、维护公路超限检测站的设施、设备和信息系统。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法律、法规规定的其他职责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制定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玉田</w:t>
      </w:r>
      <w:r>
        <w:rPr>
          <w:rFonts w:hint="eastAsia" w:ascii="仿宋" w:hAnsi="仿宋" w:eastAsia="仿宋" w:cs="仿宋"/>
          <w:sz w:val="32"/>
          <w:szCs w:val="32"/>
        </w:rPr>
        <w:t>公路超限检测站的各项管理制度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（八）完成</w:t>
      </w:r>
      <w:r>
        <w:rPr>
          <w:rFonts w:hint="eastAsia" w:ascii="仿宋" w:hAnsi="仿宋" w:eastAsia="仿宋" w:cs="仿宋"/>
          <w:sz w:val="32"/>
          <w:szCs w:val="32"/>
        </w:rPr>
        <w:t>县交通运输局交办的其他事务性工作。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主要工作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（一）宣传、贯彻国家和省、市有关公路超限检测工作的法律、法规和规章制度。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）制定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玉田</w:t>
      </w:r>
      <w:r>
        <w:rPr>
          <w:rFonts w:hint="eastAsia" w:ascii="仿宋" w:hAnsi="仿宋" w:eastAsia="仿宋" w:cs="仿宋"/>
          <w:sz w:val="32"/>
          <w:szCs w:val="32"/>
        </w:rPr>
        <w:t>公路超限检测站的各项管理制度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）对在公路上行驶的车辆进行超限检测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为公路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超限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执法工作提供技术支持。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）收集、整理、上报有关检测数据和动态信息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240" w:lineRule="auto"/>
        <w:ind w:firstLine="600"/>
        <w:jc w:val="left"/>
        <w:textAlignment w:val="auto"/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管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理、维护公路超限检测站的设施、设备和信息系统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完成</w:t>
      </w:r>
      <w:r>
        <w:rPr>
          <w:rFonts w:hint="eastAsia" w:ascii="仿宋" w:hAnsi="仿宋" w:eastAsia="仿宋" w:cs="仿宋"/>
          <w:sz w:val="32"/>
          <w:szCs w:val="32"/>
        </w:rPr>
        <w:t>县交通运输局交办的其他事务性工作。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-18" w:leftChars="0" w:firstLine="640" w:firstLineChars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部门整体支出管理及使用</w:t>
      </w:r>
    </w:p>
    <w:p>
      <w:pPr>
        <w:widowControl/>
        <w:shd w:val="clear" w:color="auto" w:fill="FFFFFF"/>
        <w:spacing w:line="360" w:lineRule="auto"/>
        <w:ind w:left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（一）预算执行情况</w:t>
      </w:r>
    </w:p>
    <w:p>
      <w:pPr>
        <w:widowControl/>
        <w:shd w:val="clear" w:color="auto" w:fill="FFFFFF"/>
        <w:spacing w:line="360" w:lineRule="auto"/>
        <w:ind w:left="640" w:firstLine="800" w:firstLineChars="2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年预算执行情况:202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年年初预算为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310.98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万元，其中基本支出：工资福利支出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210.39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万元，商品和服务支出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47.59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万元，对个人和家庭的补助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万元，专项经费支出13 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元。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各项经费照预算执行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基本支出</w:t>
      </w:r>
    </w:p>
    <w:p>
      <w:pPr>
        <w:pStyle w:val="2"/>
        <w:widowControl w:val="0"/>
        <w:numPr>
          <w:ilvl w:val="0"/>
          <w:numId w:val="0"/>
        </w:numPr>
        <w:adjustRightInd w:val="0"/>
        <w:snapToGrid w:val="0"/>
        <w:spacing w:after="0" w:line="660" w:lineRule="exact"/>
        <w:ind w:firstLine="640" w:firstLineChars="200"/>
        <w:jc w:val="both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用于本单位机构正常运转的日常公用经费支出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47.59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万元，人员工资福利支出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210.39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万元。我单位公务用车保有量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辆，公务用车运行维护费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万元，主要用于车辆维修、及油料费等支出。我单位国内公务接待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批次，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242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人次，公务接待费开支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0.89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严格按照财政相关部门规定没有超标</w:t>
      </w:r>
      <w:r>
        <w:rPr>
          <w:rFonts w:hint="eastAsia" w:ascii="Calibri" w:eastAsia="仿宋_GB2312" w:cs="Times New Roman"/>
          <w:sz w:val="32"/>
          <w:szCs w:val="32"/>
          <w:lang w:val="en-US" w:eastAsia="zh-CN"/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（三）专项支出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年财政预算安排资金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用于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车辆称重检测设备系统运行维护。</w:t>
      </w:r>
    </w:p>
    <w:p>
      <w:pPr>
        <w:widowControl/>
        <w:shd w:val="clear" w:color="auto" w:fill="FFFFFF"/>
        <w:snapToGrid w:val="0"/>
        <w:spacing w:line="360" w:lineRule="auto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三、部门专项组织实施情况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邵阳县玉田公路超限检测站车辆称重检测设备系统运行维护费</w:t>
      </w:r>
      <w:r>
        <w:rPr>
          <w:rFonts w:hint="eastAsia" w:ascii="仿宋" w:hAnsi="仿宋" w:eastAsia="仿宋" w:cs="仿宋"/>
          <w:sz w:val="32"/>
          <w:szCs w:val="32"/>
        </w:rPr>
        <w:t>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万，主要用于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设备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日常检查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运行维护等开支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四、资产管理情况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邵阳县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玉田公路超限检测站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固定资产的配置是按照在利于工作的开展，科学合理，优化资产结构，勤俭节约出发，从严控制。主要是办公设备、公务用车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、车辆检测设备系统运行维护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等。</w:t>
      </w:r>
    </w:p>
    <w:p>
      <w:pPr>
        <w:widowControl/>
        <w:shd w:val="clear" w:color="auto" w:fill="FFFFFF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固定资产的管理严格按照财政规定，对所有固定资产按类进行登记，保证账实相符，固定资产的购入及时进行登记，并进行账务核算，对报废不能用的严格履行审批手续，未经批准不得处置。</w:t>
      </w:r>
    </w:p>
    <w:p>
      <w:pPr>
        <w:widowControl/>
        <w:shd w:val="clear" w:color="auto" w:fill="FFFFFF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五、绩效评价工作情况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为了继续扎实推进财政绩效评价工作的深入开展，严格遵循“深度拓展、提升质量、公正公平、着力实效”的工作原则，成立了以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站</w:t>
      </w:r>
      <w:r>
        <w:rPr>
          <w:rFonts w:hint="eastAsia" w:ascii="仿宋" w:hAnsi="仿宋" w:eastAsia="仿宋"/>
          <w:color w:val="000000"/>
          <w:sz w:val="32"/>
          <w:szCs w:val="32"/>
        </w:rPr>
        <w:t>领导为组长，1名工作人员为组员，各股室协助配合的本级财政支出绩效评价小组。为了提高绩效评价的客观性、公正性。</w:t>
      </w:r>
    </w:p>
    <w:p>
      <w:pPr>
        <w:pStyle w:val="4"/>
        <w:shd w:val="clear" w:color="auto" w:fill="FFFFFF"/>
        <w:spacing w:before="240" w:beforeAutospacing="0" w:after="240" w:afterAutospacing="0"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六、综合评价情况及评价结论</w:t>
      </w:r>
    </w:p>
    <w:p>
      <w:pPr>
        <w:pStyle w:val="4"/>
        <w:shd w:val="clear" w:color="auto" w:fill="FFFFFF"/>
        <w:spacing w:before="240" w:beforeAutospacing="0" w:after="240" w:afterAutospacing="0"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年度绩效评价实施单位资金支付范围、支付标准、支付进度、支付依据等合规合法，单位对项目资金实行专款专用，基本实现转账核算，资金使用安全有效。单位财务管理制度健全，能够认真执行财务管理制度，账务处理、会计核算较为规范。单位预决算的编制依据充分、科学合理、公开公正，内控管理做到了分级负责，各有侧重，动态监管；资金付款请示和审批均做到严格监管。</w:t>
      </w:r>
    </w:p>
    <w:p>
      <w:pPr>
        <w:pStyle w:val="7"/>
        <w:widowControl/>
        <w:shd w:val="clear" w:color="auto" w:fill="FFFFFF"/>
        <w:snapToGrid w:val="0"/>
        <w:spacing w:line="360" w:lineRule="auto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七、部门整体支出主要绩效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结合评价得分评价结果为良好，202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年的项目按期完成顺利通过验收，各项绩效目标基本实现，经济和社会效益有所提高，项目组织管理和财务管理基本健全规范，未发生违法违规问题。</w:t>
      </w:r>
    </w:p>
    <w:p>
      <w:pPr>
        <w:widowControl/>
        <w:shd w:val="clear" w:color="auto" w:fill="FFFFFF"/>
        <w:snapToGrid w:val="0"/>
        <w:spacing w:line="360" w:lineRule="auto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八、存在的主要问题</w:t>
      </w:r>
    </w:p>
    <w:p>
      <w:pPr>
        <w:widowControl/>
        <w:shd w:val="clear" w:color="auto" w:fill="FFFFFF"/>
        <w:snapToGrid w:val="0"/>
        <w:spacing w:before="100" w:after="100"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车辆称重检测系统建设时间较长，设备老化，故障率逐渐增高，运行维护费用随之增加。</w:t>
      </w:r>
    </w:p>
    <w:p>
      <w:pPr>
        <w:pStyle w:val="7"/>
        <w:widowControl/>
        <w:shd w:val="clear" w:color="auto" w:fill="FFFFFF"/>
        <w:snapToGrid w:val="0"/>
        <w:spacing w:before="100" w:after="100" w:line="360" w:lineRule="auto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九、改进措施和有关建议</w:t>
      </w:r>
    </w:p>
    <w:p>
      <w:pPr>
        <w:widowControl/>
        <w:shd w:val="clear" w:color="auto" w:fill="FFFFFF"/>
        <w:snapToGrid w:val="0"/>
        <w:spacing w:before="100" w:after="100" w:line="360" w:lineRule="auto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建议财政进一步加大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车辆称重检测设备运行维护费用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的投资力度。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0E9E37"/>
    <w:multiLevelType w:val="singleLevel"/>
    <w:tmpl w:val="CB0E9E3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C1C5CF5"/>
    <w:multiLevelType w:val="singleLevel"/>
    <w:tmpl w:val="3C1C5CF5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6D63D9B"/>
    <w:multiLevelType w:val="singleLevel"/>
    <w:tmpl w:val="56D63D9B"/>
    <w:lvl w:ilvl="0" w:tentative="0">
      <w:start w:val="2"/>
      <w:numFmt w:val="chineseCounting"/>
      <w:suff w:val="nothing"/>
      <w:lvlText w:val="%1、"/>
      <w:lvlJc w:val="left"/>
      <w:pPr>
        <w:ind w:left="-1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YTkzN2E1OWMyOGMzMGIxNWY0ZWQyNmM1NTAwYjUifQ=="/>
  </w:docVars>
  <w:rsids>
    <w:rsidRoot w:val="0F2425C3"/>
    <w:rsid w:val="0F2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??_GB2312" w:eastAsia="Times New Roman"/>
      <w:kern w:val="0"/>
      <w:sz w:val="32"/>
      <w:szCs w:val="32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Calibri" w:hAnsi="Calibri" w:eastAsia="宋体" w:cs="Times New Roman"/>
      <w:sz w:val="32"/>
      <w:szCs w:val="2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2023-11-15T02:37:00Z</dcterms:created>
  <dc:creator>勿忘初衷        ᘗ༣</dc:creator>
  <cp:lastModifiedBy>勿忘初衷        ᘗ༣</cp:lastModifiedBy>
  <dcterms:modified xsi:type="dcterms:W3CDTF">2023-11-15T02:37:58Z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48733AA5291C407DA3FA771C2A7248A0_11</vt:lpwstr>
  </property>
</Properties>
</file>