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EC2612">
      <w:pPr>
        <w:adjustRightInd w:val="0"/>
        <w:spacing w:line="600" w:lineRule="exact"/>
        <w:ind w:right="641"/>
        <w:jc w:val="center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</w:rPr>
        <w:t xml:space="preserve"> 部门整体</w:t>
      </w:r>
      <w:r>
        <w:rPr>
          <w:rFonts w:eastAsia="方正小标宋_GBK"/>
          <w:sz w:val="36"/>
          <w:szCs w:val="36"/>
        </w:rPr>
        <w:t>支出绩效报告</w:t>
      </w:r>
    </w:p>
    <w:p w14:paraId="6DBE8DDF">
      <w:pPr>
        <w:rPr>
          <w:rFonts w:hint="eastAsia" w:ascii="黑体" w:hAnsi="宋体" w:eastAsia="黑体"/>
          <w:szCs w:val="32"/>
        </w:rPr>
      </w:pPr>
    </w:p>
    <w:p w14:paraId="4F9C1FEA">
      <w:pPr>
        <w:ind w:firstLine="442" w:firstLineChars="100"/>
        <w:jc w:val="both"/>
        <w:rPr>
          <w:rFonts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县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玉田公路超限检测站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整体支出绩效报告</w:t>
      </w:r>
    </w:p>
    <w:p w14:paraId="10B2F615">
      <w:pPr>
        <w:spacing w:line="600" w:lineRule="exact"/>
        <w:ind w:left="420" w:leftChars="200"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一、部门概况</w:t>
      </w:r>
    </w:p>
    <w:p w14:paraId="0F9E43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邵阳县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玉田公路超限检测站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邵阳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县交通运输局管理的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zh-CN"/>
        </w:rPr>
        <w:t>副科级公益一类事业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核定全额拨款事业编制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25名，实有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在职人数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人，财政全额供养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人，在编实有车辆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内设综合部、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人事部、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财务部、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安全应急部和超限运输信息中心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个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机构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主要职责是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261C91A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宣传、贯彻、执行国家有关车辆超限治理的法律、法规、规章和政策。</w:t>
      </w:r>
    </w:p>
    <w:p w14:paraId="60EB74F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依法对公路上行驶的车辆进行超限检测，认定、查处和纠正违法行为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为公路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超限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执法工作提供技术支持。</w:t>
      </w:r>
    </w:p>
    <w:p w14:paraId="71408BF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监督当事人对超限运输车辆采取卸载、分装等消除违法状态的改正。</w:t>
      </w:r>
    </w:p>
    <w:p w14:paraId="66E1E81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（四）</w:t>
      </w:r>
      <w:r>
        <w:rPr>
          <w:rFonts w:hint="eastAsia" w:ascii="仿宋" w:hAnsi="仿宋" w:eastAsia="仿宋" w:cs="仿宋"/>
          <w:sz w:val="32"/>
          <w:szCs w:val="32"/>
        </w:rPr>
        <w:t>收集、整理、上报有关检测数据和动态信息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A66FBC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left="0" w:leftChars="0" w:firstLine="60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管理、维护公路超限检测站的设施、设备和信息系统。</w:t>
      </w:r>
    </w:p>
    <w:p w14:paraId="0D6F5BF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（六）</w:t>
      </w:r>
      <w:r>
        <w:rPr>
          <w:rFonts w:hint="eastAsia" w:ascii="仿宋" w:hAnsi="仿宋" w:eastAsia="仿宋" w:cs="仿宋"/>
          <w:sz w:val="32"/>
          <w:szCs w:val="32"/>
        </w:rPr>
        <w:t>法律、法规规定的其他职责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8A9794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（七）</w:t>
      </w:r>
      <w:r>
        <w:rPr>
          <w:rFonts w:hint="eastAsia" w:ascii="仿宋" w:hAnsi="仿宋" w:eastAsia="仿宋" w:cs="仿宋"/>
          <w:sz w:val="32"/>
          <w:szCs w:val="32"/>
        </w:rPr>
        <w:t>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玉田</w:t>
      </w:r>
      <w:r>
        <w:rPr>
          <w:rFonts w:hint="eastAsia" w:ascii="仿宋" w:hAnsi="仿宋" w:eastAsia="仿宋" w:cs="仿宋"/>
          <w:sz w:val="32"/>
          <w:szCs w:val="32"/>
        </w:rPr>
        <w:t>公路超限检测站的各项管理制度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99F98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（八）完成</w:t>
      </w:r>
      <w:r>
        <w:rPr>
          <w:rFonts w:hint="eastAsia" w:ascii="仿宋" w:hAnsi="仿宋" w:eastAsia="仿宋" w:cs="仿宋"/>
          <w:sz w:val="32"/>
          <w:szCs w:val="32"/>
        </w:rPr>
        <w:t>县交通运输局交办的其他事务性工作。</w:t>
      </w:r>
    </w:p>
    <w:p w14:paraId="7D86D7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主要工作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 w14:paraId="2F0918E4"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24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（一）宣传、贯彻国家和省、市有关公路超限检测工作的法律、法规和规章制度。</w:t>
      </w:r>
    </w:p>
    <w:p w14:paraId="5A2A5DD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）制定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玉田</w:t>
      </w:r>
      <w:r>
        <w:rPr>
          <w:rFonts w:hint="eastAsia" w:ascii="仿宋" w:hAnsi="仿宋" w:eastAsia="仿宋" w:cs="仿宋"/>
          <w:sz w:val="32"/>
          <w:szCs w:val="32"/>
        </w:rPr>
        <w:t>公路超限检测站的各项管理制度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9408C8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）对在公路上行驶的车辆进行超限检测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为公路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超限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执法工作提供技术支持。</w:t>
      </w:r>
    </w:p>
    <w:p w14:paraId="1370BD7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6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）收集、整理、上报有关检测数据和动态信息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4FB5FB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600"/>
        <w:jc w:val="left"/>
        <w:textAlignment w:val="auto"/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管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理、维护公路超限检测站的设施、设备和信息系统</w:t>
      </w:r>
      <w:r>
        <w:rPr>
          <w:rFonts w:hint="eastAsia" w:ascii="仿宋" w:hAnsi="仿宋" w:eastAsia="仿宋" w:cs="仿宋"/>
          <w:spacing w:val="-11"/>
          <w:sz w:val="32"/>
          <w:szCs w:val="32"/>
          <w:lang w:eastAsia="zh-CN"/>
        </w:rPr>
        <w:t>。</w:t>
      </w:r>
    </w:p>
    <w:p w14:paraId="1E35DD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</w:t>
      </w:r>
      <w:r>
        <w:rPr>
          <w:rFonts w:hint="eastAsia" w:ascii="仿宋" w:hAnsi="仿宋" w:eastAsia="仿宋" w:cs="仿宋"/>
          <w:sz w:val="32"/>
          <w:szCs w:val="32"/>
        </w:rPr>
        <w:t>县交通运输局交办的其他事务性工作。</w:t>
      </w:r>
    </w:p>
    <w:p w14:paraId="484D6C50">
      <w:pPr>
        <w:widowControl/>
        <w:numPr>
          <w:ilvl w:val="0"/>
          <w:numId w:val="0"/>
        </w:numPr>
        <w:shd w:val="clear" w:color="auto" w:fill="FFFFFF"/>
        <w:spacing w:line="360" w:lineRule="auto"/>
        <w:ind w:left="-18" w:leftChars="0" w:firstLine="640" w:firstLineChars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部门整体支出管理及使用</w:t>
      </w:r>
    </w:p>
    <w:p w14:paraId="6044AEB5">
      <w:pPr>
        <w:widowControl/>
        <w:shd w:val="clear" w:color="auto" w:fill="FFFFFF"/>
        <w:spacing w:line="360" w:lineRule="auto"/>
        <w:ind w:left="64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（一）预算执行情况</w:t>
      </w:r>
    </w:p>
    <w:p w14:paraId="0B248E28">
      <w:pPr>
        <w:widowControl/>
        <w:shd w:val="clear" w:color="auto" w:fill="FFFFFF"/>
        <w:spacing w:line="360" w:lineRule="auto"/>
        <w:ind w:left="640" w:firstLine="800" w:firstLineChars="25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年预算执行情况:202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年年初预算为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340.35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万元，其中基本支出：工资福利支出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300.43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万元，商品和服务支出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33.48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万元，对个人和家庭的补助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6.44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万元，专项经费支出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万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元。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各项经费照预算执行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。</w:t>
      </w:r>
    </w:p>
    <w:p w14:paraId="1A2052D7">
      <w:pPr>
        <w:widowControl/>
        <w:numPr>
          <w:ilvl w:val="0"/>
          <w:numId w:val="0"/>
        </w:numPr>
        <w:shd w:val="clear" w:color="auto" w:fill="FFFFFF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</w:rPr>
        <w:t>基本支出</w:t>
      </w:r>
    </w:p>
    <w:p w14:paraId="34C16EAD">
      <w:pPr>
        <w:pStyle w:val="3"/>
        <w:widowControl w:val="0"/>
        <w:numPr>
          <w:ilvl w:val="0"/>
          <w:numId w:val="0"/>
        </w:numPr>
        <w:adjustRightInd w:val="0"/>
        <w:snapToGrid w:val="0"/>
        <w:spacing w:after="0" w:line="660" w:lineRule="exact"/>
        <w:ind w:firstLine="640" w:firstLineChars="200"/>
        <w:jc w:val="both"/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用于本单位机构正常运转的日常公用经费支出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33.48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万元，人员工资福利支出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300.43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万元。我单位公务用车保有量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辆，公务用车运行维护费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万元，主要用于车辆维修、及油料费等支出。我单位国内公务接待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批次，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人次，公务接待费开支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0.19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</w:t>
      </w:r>
      <w:r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  <w:t>严格按照财政相关部门规定没有超标</w:t>
      </w:r>
      <w:r>
        <w:rPr>
          <w:rFonts w:hint="eastAsia" w:ascii="Calibri" w:eastAsia="仿宋_GB2312" w:cs="Times New Roman"/>
          <w:sz w:val="32"/>
          <w:szCs w:val="32"/>
          <w:lang w:val="en-US" w:eastAsia="zh-CN"/>
        </w:rPr>
        <w:t>。</w:t>
      </w:r>
    </w:p>
    <w:p w14:paraId="13010E80"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（三）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支出</w:t>
      </w:r>
    </w:p>
    <w:p w14:paraId="394A3067"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年财政预算安排资金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用于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车辆称重检测设备系统运行维护。县级管理资金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50万元，</w:t>
      </w:r>
      <w:r>
        <w:rPr>
          <w:rFonts w:hint="eastAsia" w:eastAsia="仿宋_GB2312"/>
          <w:sz w:val="32"/>
          <w:szCs w:val="32"/>
        </w:rPr>
        <w:t>除专项资金以外的其他项目支出</w:t>
      </w:r>
      <w:r>
        <w:rPr>
          <w:rFonts w:hint="eastAsia" w:eastAsia="仿宋_GB2312"/>
          <w:sz w:val="32"/>
          <w:szCs w:val="32"/>
          <w:lang w:eastAsia="zh-CN"/>
        </w:rPr>
        <w:t>于</w:t>
      </w:r>
      <w:r>
        <w:rPr>
          <w:rFonts w:hint="eastAsia" w:eastAsia="仿宋_GB2312"/>
          <w:sz w:val="32"/>
          <w:szCs w:val="32"/>
          <w:lang w:val="en-US" w:eastAsia="zh-CN"/>
        </w:rPr>
        <w:t>2021年建成的S336线不停车检测系统项目资金支付100万元整。</w:t>
      </w:r>
    </w:p>
    <w:p w14:paraId="7DEFA7FA">
      <w:pPr>
        <w:widowControl/>
        <w:spacing w:line="600" w:lineRule="exact"/>
        <w:ind w:firstLine="645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"三公"经费使用和管理情况</w:t>
      </w:r>
    </w:p>
    <w:p w14:paraId="1A06EC0B"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"三公"经费使用和管理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严格按照财政相关部门规定没有超标，公车运行费用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3.61万元。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我单位公务用车保有量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辆，公务用车运行维护费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3.43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万元，主要用于车辆维修、及油料费等支出。我单位国内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公务接待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批次，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258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人次，公务接待费开支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1.02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万元，</w:t>
      </w:r>
      <w:r>
        <w:rPr>
          <w:rFonts w:hint="eastAsia" w:ascii="Calibri" w:hAnsi="Calibri" w:eastAsia="仿宋_GB2312" w:cs="Times New Roman"/>
          <w:sz w:val="32"/>
          <w:szCs w:val="32"/>
          <w:lang w:val="en-US" w:eastAsia="zh-CN"/>
        </w:rPr>
        <w:t>严格按照财政相关部门规定没有超标</w:t>
      </w:r>
      <w:r>
        <w:rPr>
          <w:rFonts w:hint="eastAsia" w:ascii="Calibri" w:eastAsia="仿宋_GB2312" w:cs="Times New Roman"/>
          <w:sz w:val="32"/>
          <w:szCs w:val="32"/>
          <w:lang w:val="en-US" w:eastAsia="zh-CN"/>
        </w:rPr>
        <w:t>。</w:t>
      </w:r>
    </w:p>
    <w:p w14:paraId="329BB2BC">
      <w:pPr>
        <w:widowControl/>
        <w:spacing w:line="600" w:lineRule="exact"/>
        <w:ind w:firstLine="645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资金结转和结余情况</w:t>
      </w:r>
    </w:p>
    <w:p w14:paraId="48C6BBF2"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资金结转结余情况如下，公务接待费结余0.26万元，公务费结余0.67万元，乡村振兴驻村帮扶工作队员关爱保障经费结余2.1万元，不停车检测系统日常维护运行费用结余12.71万元，S336线不停车检测系统购置费用140万元整。</w:t>
      </w:r>
    </w:p>
    <w:p w14:paraId="6B3D94C8"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ind w:left="0" w:leftChars="0" w:firstLine="964" w:firstLineChars="300"/>
        <w:jc w:val="left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五、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部门整体支出管理与制度建设情况</w:t>
      </w:r>
    </w:p>
    <w:p w14:paraId="07BF3A0A">
      <w:pPr>
        <w:widowControl/>
        <w:numPr>
          <w:ilvl w:val="0"/>
          <w:numId w:val="0"/>
        </w:numPr>
        <w:shd w:val="clear" w:color="auto" w:fill="FFFFFF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邵阳县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玉田公路超限检测站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固定资产的配置是按照在利于工作的开展，科学合理，优化资产结构，勤俭节约出发，从严控制。主要是办公设备、公务用车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、车辆检测设备系统运行维护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等。</w:t>
      </w:r>
    </w:p>
    <w:p w14:paraId="4020C3E7">
      <w:pPr>
        <w:widowControl/>
        <w:shd w:val="clear" w:color="auto" w:fill="FFFFFF"/>
        <w:snapToGrid w:val="0"/>
        <w:spacing w:line="360" w:lineRule="auto"/>
        <w:ind w:firstLine="64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固定资产的管理严格按照财政规定，对所有固定资产按类进行登记，保证账实相符，固定资产的购入及时进行登记，并进行账务核算，对报废不能用的严格履行审批手续，未经批准不得处置。</w:t>
      </w:r>
    </w:p>
    <w:p w14:paraId="5762EB96"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为了继续扎实推进财政绩效评价工作的深入开展，严格遵循“深度拓展、提升质量、公正公平、着力实效”的工作原则，成立了以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站</w:t>
      </w:r>
      <w:r>
        <w:rPr>
          <w:rFonts w:hint="eastAsia" w:ascii="仿宋" w:hAnsi="仿宋" w:eastAsia="仿宋"/>
          <w:color w:val="000000"/>
          <w:sz w:val="32"/>
          <w:szCs w:val="32"/>
        </w:rPr>
        <w:t>领导为组长，1名工作人员为组员，各股室协助配合的本级财政支出绩效评价小组。为了提高绩效评价的客观性、公正性。</w:t>
      </w:r>
    </w:p>
    <w:p w14:paraId="58E432B4"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年度绩效评价实施单位资金支付范围、支付标准、支付进度、支付依据等合规合法，单位对项目资金实行专款专用，基本实现转账核算，资金使用安全有效。单位财务管理制度健全，能够认真执行财务管理制度，账务处理、会计核算较为规范。单位预决算的编制依据充分、科学合理、公开公正，内控管理做到了分级负责，各有侧重，动态监管；资金付款请示和审批均做到严格监管。</w:t>
      </w:r>
    </w:p>
    <w:p w14:paraId="0B520703">
      <w:pPr>
        <w:pStyle w:val="6"/>
        <w:widowControl/>
        <w:shd w:val="clear" w:color="auto" w:fill="FFFFFF"/>
        <w:snapToGrid w:val="0"/>
        <w:spacing w:line="360" w:lineRule="auto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</w:pPr>
    </w:p>
    <w:p w14:paraId="1DB415A1">
      <w:pPr>
        <w:pStyle w:val="6"/>
        <w:widowControl/>
        <w:shd w:val="clear" w:color="auto" w:fill="FFFFFF"/>
        <w:snapToGrid w:val="0"/>
        <w:spacing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七、部门整体支出主要绩效</w:t>
      </w:r>
    </w:p>
    <w:p w14:paraId="0154A204">
      <w:pPr>
        <w:widowControl/>
        <w:shd w:val="clear" w:color="auto" w:fill="FFFFFF"/>
        <w:snapToGrid w:val="0"/>
        <w:spacing w:line="360" w:lineRule="auto"/>
        <w:ind w:firstLine="640" w:firstLineChars="200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结合评价得分评价结果为良好，202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年的项目按期完成顺利通过验收，各项绩效目标基本实现，经济和社会效益有所提高，项目组织管理和财务管理基本健全规范，未发生违法违规问题。</w:t>
      </w:r>
    </w:p>
    <w:p w14:paraId="1C982483">
      <w:pPr>
        <w:widowControl/>
        <w:shd w:val="clear" w:color="auto" w:fill="FFFFFF"/>
        <w:snapToGrid w:val="0"/>
        <w:spacing w:line="360" w:lineRule="auto"/>
        <w:ind w:firstLine="643" w:firstLineChars="200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八、存在的主要问题</w:t>
      </w:r>
    </w:p>
    <w:p w14:paraId="0637B36E">
      <w:pPr>
        <w:widowControl/>
        <w:shd w:val="clear" w:color="auto" w:fill="FFFFFF"/>
        <w:snapToGrid w:val="0"/>
        <w:spacing w:before="100" w:after="100" w:line="360" w:lineRule="auto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车辆称重检测系统建设时间较长，设备老化，故障率逐渐增高，运行维护费用随之增加。</w:t>
      </w:r>
    </w:p>
    <w:p w14:paraId="71AD2CB8">
      <w:pPr>
        <w:pStyle w:val="6"/>
        <w:widowControl/>
        <w:shd w:val="clear" w:color="auto" w:fill="FFFFFF"/>
        <w:snapToGrid w:val="0"/>
        <w:spacing w:before="100" w:after="100" w:line="360" w:lineRule="auto"/>
        <w:jc w:val="left"/>
        <w:rPr>
          <w:rFonts w:ascii="仿宋" w:hAnsi="仿宋" w:eastAsia="仿宋" w:cs="仿宋"/>
          <w:b/>
          <w:bCs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九、改进措施和有关建议</w:t>
      </w:r>
    </w:p>
    <w:p w14:paraId="7C0DDFD2">
      <w:pPr>
        <w:widowControl/>
        <w:shd w:val="clear" w:color="auto" w:fill="FFFFFF"/>
        <w:snapToGrid w:val="0"/>
        <w:spacing w:before="100" w:after="100" w:line="360" w:lineRule="auto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 xml:space="preserve">    建议财政进一步加大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eastAsia="zh-CN"/>
        </w:rPr>
        <w:t>车辆称重检测设备运行维护费用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的投资力度。</w:t>
      </w:r>
    </w:p>
    <w:p w14:paraId="73409E53">
      <w:pPr>
        <w:rPr>
          <w:rFonts w:hint="eastAsia" w:ascii="黑体" w:eastAsia="黑体"/>
          <w:sz w:val="32"/>
          <w:szCs w:val="32"/>
        </w:rPr>
      </w:pPr>
    </w:p>
    <w:p w14:paraId="0C10A190">
      <w:pPr>
        <w:rPr>
          <w:rFonts w:hint="eastAsia" w:ascii="黑体" w:eastAsia="黑体"/>
          <w:sz w:val="32"/>
          <w:szCs w:val="32"/>
        </w:rPr>
      </w:pPr>
    </w:p>
    <w:p w14:paraId="39A94109">
      <w:pPr>
        <w:rPr>
          <w:rFonts w:hint="eastAsia" w:ascii="黑体" w:eastAsia="黑体"/>
          <w:sz w:val="32"/>
          <w:szCs w:val="32"/>
        </w:rPr>
      </w:pPr>
    </w:p>
    <w:p w14:paraId="59A195DA">
      <w:pPr>
        <w:rPr>
          <w:rFonts w:hint="eastAsia" w:ascii="黑体" w:eastAsia="黑体"/>
          <w:sz w:val="32"/>
          <w:szCs w:val="32"/>
        </w:rPr>
      </w:pPr>
    </w:p>
    <w:p w14:paraId="218D2276">
      <w:pPr>
        <w:rPr>
          <w:rFonts w:hint="eastAsia" w:ascii="黑体" w:eastAsia="黑体"/>
          <w:sz w:val="32"/>
          <w:szCs w:val="32"/>
        </w:rPr>
      </w:pPr>
    </w:p>
    <w:p w14:paraId="2FD4D5AF">
      <w:pPr>
        <w:rPr>
          <w:rFonts w:hint="eastAsia" w:ascii="黑体" w:eastAsia="黑体"/>
          <w:sz w:val="32"/>
          <w:szCs w:val="32"/>
        </w:rPr>
      </w:pPr>
    </w:p>
    <w:p w14:paraId="5F3626E3">
      <w:pPr>
        <w:rPr>
          <w:rFonts w:hint="eastAsia" w:ascii="黑体" w:eastAsia="黑体"/>
          <w:sz w:val="32"/>
          <w:szCs w:val="32"/>
        </w:rPr>
      </w:pPr>
    </w:p>
    <w:p w14:paraId="56515952">
      <w:pPr>
        <w:rPr>
          <w:rFonts w:hint="eastAsia" w:ascii="黑体" w:eastAsia="黑体"/>
          <w:sz w:val="32"/>
          <w:szCs w:val="32"/>
        </w:rPr>
      </w:pPr>
    </w:p>
    <w:p w14:paraId="6D151382">
      <w:pPr>
        <w:rPr>
          <w:rFonts w:hint="eastAsia" w:ascii="黑体" w:eastAsia="黑体"/>
          <w:sz w:val="32"/>
          <w:szCs w:val="32"/>
        </w:rPr>
      </w:pPr>
    </w:p>
    <w:p w14:paraId="56EA2503">
      <w:pPr>
        <w:rPr>
          <w:rFonts w:hint="eastAsia" w:ascii="黑体" w:eastAsia="黑体"/>
          <w:sz w:val="32"/>
          <w:szCs w:val="32"/>
        </w:rPr>
      </w:pPr>
    </w:p>
    <w:p w14:paraId="1FD050A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DDACF3D-6A79-4CBD-B773-3D89EE3E9B2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91128C9C-EDBE-4239-8FD2-ECEBC9846CB3}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A8935438-6B6D-46F4-9E8F-ECA8611B88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CC056BE-1C5E-4D29-84FB-6E4A939D421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3C437AAD-1736-42AA-831E-EC24F112317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29FEFFC-0569-4294-8B4B-F60A47C5A0F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1C5CF5"/>
    <w:multiLevelType w:val="singleLevel"/>
    <w:tmpl w:val="3C1C5CF5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YTkzN2E1OWMyOGMzMGIxNWY0ZWQyNmM1NTAwYjUifQ=="/>
  </w:docVars>
  <w:rsids>
    <w:rsidRoot w:val="4509125E"/>
    <w:rsid w:val="401F0E92"/>
    <w:rsid w:val="4509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Calibri" w:hAnsi="Calibri" w:eastAsia="宋体" w:cs="Times New Roman"/>
      <w:sz w:val="32"/>
      <w:szCs w:val="22"/>
    </w:rPr>
  </w:style>
  <w:style w:type="paragraph" w:styleId="3">
    <w:name w:val="Body Text First Indent 2"/>
    <w:basedOn w:val="2"/>
    <w:qFormat/>
    <w:uiPriority w:val="0"/>
    <w:pPr>
      <w:adjustRightInd w:val="0"/>
      <w:snapToGrid w:val="0"/>
      <w:spacing w:after="0" w:line="660" w:lineRule="exact"/>
      <w:ind w:left="0" w:leftChars="0" w:firstLine="420" w:firstLineChars="200"/>
    </w:pPr>
    <w:rPr>
      <w:rFonts w:ascii="??_GB2312" w:eastAsia="Times New Roman"/>
      <w:kern w:val="0"/>
      <w:sz w:val="32"/>
      <w:szCs w:val="32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1756</Words>
  <Characters>1837</Characters>
  <Lines>0</Lines>
  <Paragraphs>0</Paragraphs>
  <TotalTime>8</TotalTime>
  <ScaleCrop>false</ScaleCrop>
  <LinksUpToDate>false</LinksUpToDate>
  <CharactersWithSpaces>1848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2024-04-10T12:00:00Z</dcterms:created>
  <dc:creator>Administrator</dc:creator>
  <cp:lastModifiedBy>时光静好ⱄ࿚໌້ᮨ</cp:lastModifiedBy>
  <dcterms:modified xsi:type="dcterms:W3CDTF">2024-11-04T08:32:08Z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67D54E09B1CD45C09C07F16535DFCE08_13</vt:lpwstr>
  </property>
</Properties>
</file>