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25" w:after="225" w:line="560" w:lineRule="exact"/>
        <w:jc w:val="center"/>
        <w:rPr>
          <w:rFonts w:hint="eastAsia" w:eastAsia="宋体"/>
          <w:b/>
          <w:bCs/>
          <w:lang w:val="en-US" w:eastAsia="zh-CN"/>
        </w:rPr>
      </w:pPr>
      <w:r>
        <w:rPr>
          <w:rFonts w:ascii="?????_GBK" w:hAnsi="宋体" w:eastAsia="Times New Roman" w:cs="?????_GBK"/>
          <w:b/>
          <w:bCs/>
          <w:color w:val="333333"/>
          <w:sz w:val="44"/>
          <w:szCs w:val="44"/>
          <w:shd w:val="clear" w:color="auto" w:fill="FFFFFF"/>
        </w:rPr>
        <w:t>201</w:t>
      </w:r>
      <w:r>
        <w:rPr>
          <w:rFonts w:hint="eastAsia" w:ascii="?????_GBK" w:hAnsi="宋体" w:eastAsia="宋体" w:cs="?????_GBK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9</w:t>
      </w:r>
      <w:r>
        <w:rPr>
          <w:rFonts w:ascii="?????_GBK" w:hAnsi="宋体" w:eastAsia="Times New Roman" w:cs="?????_GBK"/>
          <w:b/>
          <w:bCs/>
          <w:color w:val="333333"/>
          <w:sz w:val="44"/>
          <w:szCs w:val="44"/>
          <w:shd w:val="clear" w:color="auto" w:fill="FFFFFF"/>
        </w:rPr>
        <w:t>年邵阳</w:t>
      </w:r>
      <w:r>
        <w:rPr>
          <w:rFonts w:hint="eastAsia" w:ascii="?????_GBK" w:hAnsi="宋体" w:cs="?????_GBK"/>
          <w:b/>
          <w:bCs/>
          <w:color w:val="333333"/>
          <w:sz w:val="44"/>
          <w:szCs w:val="44"/>
          <w:shd w:val="clear" w:color="auto" w:fill="FFFFFF"/>
        </w:rPr>
        <w:t>县</w:t>
      </w:r>
      <w:r>
        <w:rPr>
          <w:rFonts w:ascii="?????_GBK" w:hAnsi="宋体" w:eastAsia="Times New Roman" w:cs="?????_GBK"/>
          <w:b/>
          <w:bCs/>
          <w:color w:val="333333"/>
          <w:sz w:val="44"/>
          <w:szCs w:val="44"/>
          <w:shd w:val="clear" w:color="auto" w:fill="FFFFFF"/>
        </w:rPr>
        <w:t>教育督导工作</w:t>
      </w:r>
      <w:r>
        <w:rPr>
          <w:rFonts w:hint="eastAsia" w:ascii="?????_GBK" w:hAnsi="宋体" w:eastAsia="宋体" w:cs="?????_GBK"/>
          <w:b/>
          <w:bCs/>
          <w:color w:val="333333"/>
          <w:sz w:val="44"/>
          <w:szCs w:val="44"/>
          <w:shd w:val="clear" w:color="auto" w:fill="FFFFFF"/>
          <w:lang w:eastAsia="zh-CN"/>
        </w:rPr>
        <w:t>计划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25" w:after="225" w:line="50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25" w:after="225" w:line="50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lang w:eastAsia="zh-CN"/>
        </w:rPr>
        <w:t>指导思想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sz w:val="31"/>
        </w:rPr>
      </w:pPr>
      <w:r>
        <w:rPr>
          <w:rFonts w:hint="eastAsia" w:ascii="仿宋" w:hAnsi="仿宋" w:eastAsia="仿宋" w:cs="仿宋"/>
          <w:sz w:val="32"/>
          <w:lang w:eastAsia="zh-CN"/>
        </w:rPr>
        <w:t>以习近平新时代中国特色社会主义思想为指引，全面</w:t>
      </w:r>
      <w:r>
        <w:rPr>
          <w:rFonts w:hint="eastAsia" w:ascii="仿宋" w:hAnsi="仿宋" w:eastAsia="仿宋" w:cs="仿宋"/>
          <w:sz w:val="32"/>
        </w:rPr>
        <w:t>贯彻党的</w:t>
      </w:r>
      <w:r>
        <w:rPr>
          <w:rFonts w:hint="eastAsia" w:ascii="仿宋" w:hAnsi="仿宋" w:eastAsia="仿宋" w:cs="仿宋"/>
          <w:sz w:val="32"/>
          <w:lang w:eastAsia="zh-CN"/>
        </w:rPr>
        <w:t>十九大精神和全国教育大会精神，</w:t>
      </w:r>
      <w:r>
        <w:rPr>
          <w:rFonts w:hint="eastAsia" w:ascii="仿宋" w:hAnsi="仿宋" w:eastAsia="仿宋" w:cs="仿宋"/>
          <w:sz w:val="31"/>
        </w:rPr>
        <w:t>全面深化教育督导体制与机制创新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sz w:val="31"/>
        </w:rPr>
        <w:t>坚持立德树人、提高质量、促进公平的教育方针，</w:t>
      </w:r>
      <w:r>
        <w:rPr>
          <w:rFonts w:hint="eastAsia" w:ascii="仿宋" w:hAnsi="仿宋" w:eastAsia="仿宋" w:cs="仿宋"/>
          <w:sz w:val="31"/>
          <w:lang w:eastAsia="zh-CN"/>
        </w:rPr>
        <w:t>以迎“国检”、“省检”</w:t>
      </w:r>
      <w:r>
        <w:rPr>
          <w:rFonts w:hint="eastAsia" w:ascii="仿宋" w:hAnsi="仿宋" w:eastAsia="仿宋" w:cs="仿宋"/>
          <w:sz w:val="31"/>
        </w:rPr>
        <w:t>为</w:t>
      </w:r>
      <w:r>
        <w:rPr>
          <w:rFonts w:hint="eastAsia" w:ascii="仿宋" w:hAnsi="仿宋" w:eastAsia="仿宋" w:cs="仿宋"/>
          <w:sz w:val="31"/>
          <w:lang w:eastAsia="zh-CN"/>
        </w:rPr>
        <w:t>契机</w:t>
      </w:r>
      <w:r>
        <w:rPr>
          <w:rFonts w:hint="eastAsia" w:ascii="仿宋" w:hAnsi="仿宋" w:eastAsia="仿宋" w:cs="仿宋"/>
          <w:sz w:val="31"/>
        </w:rPr>
        <w:t>，</w:t>
      </w:r>
      <w:r>
        <w:rPr>
          <w:rFonts w:hint="eastAsia" w:ascii="仿宋" w:hAnsi="仿宋" w:eastAsia="仿宋" w:cs="仿宋"/>
          <w:sz w:val="31"/>
          <w:lang w:eastAsia="zh-CN"/>
        </w:rPr>
        <w:t>强</w:t>
      </w:r>
      <w:r>
        <w:rPr>
          <w:rFonts w:hint="eastAsia" w:ascii="仿宋" w:hAnsi="仿宋" w:eastAsia="仿宋" w:cs="仿宋"/>
          <w:sz w:val="31"/>
        </w:rPr>
        <w:t>力推进义务教育</w:t>
      </w:r>
      <w:r>
        <w:rPr>
          <w:rFonts w:hint="eastAsia" w:ascii="仿宋" w:hAnsi="仿宋" w:eastAsia="仿宋" w:cs="仿宋"/>
          <w:sz w:val="31"/>
          <w:lang w:eastAsia="zh-CN"/>
        </w:rPr>
        <w:t>均衡</w:t>
      </w:r>
      <w:r>
        <w:rPr>
          <w:rFonts w:hint="eastAsia" w:ascii="仿宋" w:hAnsi="仿宋" w:eastAsia="仿宋" w:cs="仿宋"/>
          <w:sz w:val="31"/>
        </w:rPr>
        <w:t>发展，</w:t>
      </w:r>
      <w:r>
        <w:rPr>
          <w:rFonts w:hint="eastAsia" w:ascii="仿宋" w:hAnsi="仿宋" w:eastAsia="仿宋" w:cs="仿宋"/>
          <w:sz w:val="31"/>
          <w:lang w:val="en-US" w:eastAsia="zh-CN"/>
        </w:rPr>
        <w:t>创新督导机制，积极筹备申报督学责任区挂牌创新县工作。</w:t>
      </w:r>
      <w:r>
        <w:rPr>
          <w:rFonts w:hint="eastAsia" w:ascii="仿宋" w:hAnsi="仿宋" w:eastAsia="仿宋" w:cs="仿宋"/>
          <w:sz w:val="31"/>
          <w:lang w:eastAsia="zh-CN"/>
        </w:rPr>
        <w:t>推进教育督导</w:t>
      </w:r>
      <w:r>
        <w:rPr>
          <w:rFonts w:hint="eastAsia" w:ascii="仿宋" w:hAnsi="仿宋" w:eastAsia="仿宋" w:cs="仿宋"/>
          <w:sz w:val="31"/>
        </w:rPr>
        <w:t>信息化，建立全面实施素质教育的监督保障长效机制，</w:t>
      </w:r>
      <w:r>
        <w:rPr>
          <w:rFonts w:hint="eastAsia" w:ascii="仿宋" w:hAnsi="仿宋" w:eastAsia="仿宋" w:cs="仿宋"/>
          <w:sz w:val="31"/>
          <w:lang w:eastAsia="zh-CN"/>
        </w:rPr>
        <w:t>更好地服务学校内涵式发展和教育强县建设，</w:t>
      </w:r>
      <w:r>
        <w:rPr>
          <w:rFonts w:hint="eastAsia" w:ascii="仿宋" w:hAnsi="仿宋" w:eastAsia="仿宋" w:cs="仿宋"/>
          <w:sz w:val="31"/>
        </w:rPr>
        <w:t>办好人民满意的教育。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left="320" w:leftChars="0" w:right="0" w:rightChars="0"/>
        <w:jc w:val="both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（一）统一认识，高度重视，做好迎“两检”准备工作。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今年是全县接受“大考”之年,将迎接省人民政府“第三轮两项督导评估”和“义务教育基本均衡发展县”国家验收。必须做到上下联动，齐心协力，打好迎“两检”攻坚战，争取双通过。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1、督促县人民政府成立迎“两检”领导小组，出台迎“两检”工作方案，并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于3月底前专门召开全县迎检工作调度会，统一思想，明确目标，强化责任，形成合力。</w:t>
      </w:r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2、明确分工，强化责任。依照“湖南省第三轮两项督导评估”考核细则及县域义务教育基本均衡发展的验收标准，列出任务清单，实行责任分解，分解到各相关责任单位、相关学校，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确保人员安排到位，任务落实到位</w:t>
      </w:r>
      <w:r>
        <w:rPr>
          <w:rFonts w:hint="eastAsia" w:ascii="仿宋" w:hAnsi="仿宋" w:eastAsia="仿宋" w:cs="仿宋"/>
          <w:sz w:val="32"/>
          <w:lang w:val="en-US" w:eastAsia="zh-CN"/>
        </w:rPr>
        <w:t>。特向县委、县政府建议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将迎检工作纳入年度文明建设目标管理，并与各相关部门签订责任状，实行责任制和责任追究制。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3、根据迎检时间表，制订迎“两检”工作进度表、路线图，全力推进“四改三化”工程、学校功能室建设、学校运动场馆建设，对标问题台账，逐一消号。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4、全力推进教育信息化工程，补齐计算机不足、图书不足的短板，做到补短板，强弱项，兜底线。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5、认真准备县级迎“两检”资料，指导全县各级各类学校做好充分迎检准备工作，跟踪督查问题整改进度，确保“两检”顺利通过。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left="320" w:leftChars="0" w:right="0" w:rightChars="0"/>
        <w:jc w:val="both"/>
        <w:textAlignment w:val="auto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（二）加强督学责任区建设，积极申报责任督学挂牌督导创新县。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24"/>
          <w:lang w:val="en-US" w:eastAsia="zh-CN" w:bidi="ar"/>
        </w:rPr>
        <w:t>1、进一步加强督学队伍建设，提高教育督导水平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24"/>
          <w:lang w:val="en-US" w:eastAsia="zh-CN" w:bidi="ar"/>
        </w:rPr>
        <w:t>加强专职督学队伍的建设，认真学习教育法律法规，依法督导；努力学习业务知识，提高“监督、检查、评估、指导”能力，带好兼职督导队伍，做到全县各级各类学校挂牌督导全覆盖。调整县直学校督学责任区集中办公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right="0" w:rightChars="0" w:firstLine="320" w:firstLineChars="1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24"/>
          <w:lang w:val="en-US" w:eastAsia="zh-CN" w:bidi="ar"/>
        </w:rPr>
        <w:t>2、创新督导方式和方法，助推教育内涵式发展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right="0" w:rightChars="0" w:firstLine="320" w:firstLineChars="1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24"/>
          <w:lang w:val="en-US" w:eastAsia="zh-CN" w:bidi="ar"/>
        </w:rPr>
        <w:t>不断总结督导经验，形成定时督导和随访督导相结合，专项督导和综合督导相衔接，个人督导与团队督导相配合，常规督导和信息化督导相融合，将诊问题、督规范、教方法、导方向有机结合，深化教育教学改革，培育学校办学特色，促进学校高质量发展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32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24"/>
          <w:lang w:val="en-US" w:eastAsia="zh-CN" w:bidi="ar"/>
        </w:rPr>
        <w:t>3、加强全县兼职督学暑期集中培训、网络培训，做好随访常规督导，促进各学校依法依规办学，解决教育热点难点问题，努力创建责任督学挂牌督导创新县。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320" w:leftChars="0" w:right="0" w:rightChars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24"/>
          <w:lang w:val="en-US" w:eastAsia="zh-CN" w:bidi="ar"/>
        </w:rPr>
      </w:pPr>
      <w:r>
        <w:rPr>
          <w:rFonts w:hint="eastAsia" w:ascii="仿宋_GB2312" w:eastAsia="仿宋_GB2312" w:cstheme="minorBidi"/>
          <w:b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Calibri" w:eastAsia="仿宋_GB2312" w:cstheme="minorBidi"/>
          <w:b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="仿宋_GB2312" w:eastAsia="仿宋_GB2312" w:cstheme="minorBidi"/>
          <w:b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Calibri" w:eastAsia="仿宋_GB2312" w:cstheme="minorBidi"/>
          <w:b/>
          <w:kern w:val="2"/>
          <w:sz w:val="32"/>
          <w:szCs w:val="32"/>
          <w:lang w:val="en-US" w:eastAsia="zh-CN" w:bidi="ar-SA"/>
        </w:rPr>
        <w:t>做好专项督导工作，充分发挥教育督导职能作用</w:t>
      </w:r>
      <w:r>
        <w:rPr>
          <w:rFonts w:hint="eastAsia" w:ascii="仿宋" w:hAnsi="仿宋" w:eastAsia="仿宋" w:cs="仿宋"/>
          <w:kern w:val="0"/>
          <w:sz w:val="32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24"/>
          <w:lang w:val="en-US" w:eastAsia="zh-CN" w:bidi="ar"/>
        </w:rPr>
        <w:t>1、扎实开展春、秋季开学工作专项督查。对在督查中发现的典型和存在的问题，进行通报，并责令各校对照问题清单，逐一限时整改到位，要求各责任区跟踪督导，促进学校规范办学。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24"/>
          <w:lang w:val="en-US" w:eastAsia="zh-CN" w:bidi="ar"/>
        </w:rPr>
        <w:t>2、加强对省、市示范性普通高中的随访督导，视导县二中，做好迎接省级实地评估的准备工作。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24"/>
          <w:lang w:val="en-US" w:eastAsia="zh-CN" w:bidi="ar"/>
        </w:rPr>
        <w:t>3、做好幼儿园网络督导评估。为促进我县幼儿园管理、办学行为、办学条件、师德师风等不断完善，提高保育教育质量，按照《市示范性幼儿园督导评估方案》将对塘渡口镇中心幼儿园、金色摇篮幼儿园、长阳铺镇中心幼儿园（复查）三所幼儿园开展随访督导，查找突出问题，督促问题整改，并积极指导其做好迎市督导评估各项准备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24"/>
          <w:lang w:val="en-US" w:eastAsia="zh-CN" w:bidi="ar"/>
        </w:rPr>
        <w:t>4、牵头组织开展全县教育系统的年度绩效考核工作。继续修订完善绩效文明考核细则及义务教育学校的《邵阳县义务教育学校管理标准评估考核细则》，促进我县教育精细化管理工作逐步迈上制度化、规范化、科学化的发展轨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24"/>
          <w:lang w:val="en-US" w:eastAsia="zh-CN" w:bidi="ar"/>
        </w:rPr>
        <w:t>5、加强部门联动，组织开展校园暴力欺凌和扫黑除恶、禁毒教育专项督查，努力净化校园周边环境，建设平安校园。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320" w:leftChars="0" w:right="0" w:rightChars="0"/>
        <w:jc w:val="left"/>
        <w:textAlignment w:val="auto"/>
        <w:rPr>
          <w:rFonts w:hint="eastAsia" w:ascii="仿宋_GB2312" w:hAnsi="Calibri" w:eastAsia="仿宋_GB2312" w:cstheme="minorBidi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b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Calibri" w:eastAsia="仿宋_GB2312" w:cstheme="minorBidi"/>
          <w:b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="仿宋_GB2312" w:eastAsia="仿宋_GB2312" w:cstheme="minorBidi"/>
          <w:b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Calibri" w:eastAsia="仿宋_GB2312" w:cstheme="minorBidi"/>
          <w:b/>
          <w:kern w:val="2"/>
          <w:sz w:val="32"/>
          <w:szCs w:val="32"/>
          <w:lang w:val="en-US" w:eastAsia="zh-CN" w:bidi="ar-SA"/>
        </w:rPr>
        <w:t>加强督导调研与宣传，树立教育督导良好形象。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25" w:after="225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24"/>
          <w:lang w:val="en-US" w:eastAsia="zh-CN" w:bidi="ar"/>
        </w:rPr>
        <w:t>1、加强我县教育督导宣传和信息报送工作，充分利用地方主流媒体和网络媒体，广泛宣传我县教育督导工作成绩，不断提升教育督导的社会影响力。积极开展教育督导理论研究，探索教育督导工作新机制。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25" w:after="225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24"/>
          <w:lang w:val="en-US" w:eastAsia="zh-CN" w:bidi="ar"/>
        </w:rPr>
        <w:t>2、组织参加市、县第十三届教育督导论文评选活动，推荐有新意有深度的好文章到省级以上平台和报刊发表，展现“教育督导正能量”、传播“教育督导好声音”。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25" w:after="225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24"/>
          <w:lang w:val="en-US" w:eastAsia="zh-CN" w:bidi="ar"/>
        </w:rPr>
        <w:t>3、继续办好《义务教育均衡发展工作简报》，利用芙夷教育微信公众平台发布教育大事件，推介教育督导中的好典型、好经验、好做法。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25" w:after="225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24"/>
          <w:lang w:val="en-US" w:eastAsia="zh-CN" w:bidi="ar"/>
        </w:rPr>
        <w:t>4、完善责任区督导评估责任制度，规范教育督导评估行为，制定责任区教育督导工作考核办法，培塑典型，创设积极争先良好氛围，牢固树立教育督导良好形象。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after="225" w:line="60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24"/>
          <w:lang w:val="en-US" w:eastAsia="zh-CN" w:bidi="ar"/>
        </w:rPr>
        <w:t xml:space="preserve">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after="225" w:line="600" w:lineRule="exact"/>
        <w:ind w:firstLine="2880" w:firstLineChars="9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24"/>
          <w:lang w:val="en-US" w:eastAsia="zh-CN" w:bidi="ar"/>
        </w:rPr>
        <w:t>邵阳县人民政府教育督导委员会办公室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after="225" w:line="600" w:lineRule="exact"/>
        <w:ind w:firstLine="4160" w:firstLineChars="13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24"/>
          <w:lang w:val="en-US" w:eastAsia="zh-CN" w:bidi="ar"/>
        </w:rPr>
        <w:t xml:space="preserve"> 2019年2月16日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after="225" w:line="600" w:lineRule="exact"/>
        <w:jc w:val="both"/>
        <w:textAlignment w:val="auto"/>
        <w:rPr>
          <w:rFonts w:hint="eastAsia" w:ascii="仿宋_GB2312" w:eastAsia="仿宋_GB2312"/>
          <w:b/>
          <w:sz w:val="36"/>
          <w:szCs w:val="36"/>
        </w:rPr>
      </w:pPr>
    </w:p>
    <w:p>
      <w:pPr>
        <w:widowControl/>
        <w:spacing w:before="225" w:after="225" w:line="560" w:lineRule="exact"/>
        <w:ind w:firstLine="1807" w:firstLineChars="500"/>
        <w:jc w:val="both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201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9</w:t>
      </w:r>
      <w:r>
        <w:rPr>
          <w:rFonts w:hint="eastAsia" w:ascii="仿宋_GB2312" w:eastAsia="仿宋_GB2312"/>
          <w:b/>
          <w:sz w:val="36"/>
          <w:szCs w:val="36"/>
        </w:rPr>
        <w:t>年邵阳县教育督导工作计划</w:t>
      </w:r>
    </w:p>
    <w:tbl>
      <w:tblPr>
        <w:tblStyle w:val="7"/>
        <w:tblW w:w="9783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80" w:type="dxa"/>
            <w:vAlign w:val="center"/>
          </w:tcPr>
          <w:p>
            <w:pPr>
              <w:widowControl/>
              <w:spacing w:before="225" w:after="225"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月 份</w:t>
            </w:r>
          </w:p>
        </w:tc>
        <w:tc>
          <w:tcPr>
            <w:tcW w:w="8703" w:type="dxa"/>
            <w:vAlign w:val="center"/>
          </w:tcPr>
          <w:p>
            <w:pPr>
              <w:widowControl/>
              <w:spacing w:before="225" w:after="225" w:line="560" w:lineRule="exact"/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主要工作安排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080" w:type="dxa"/>
            <w:vAlign w:val="center"/>
          </w:tcPr>
          <w:p>
            <w:pPr>
              <w:widowControl/>
              <w:spacing w:before="225" w:after="225"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1月</w:t>
            </w:r>
          </w:p>
        </w:tc>
        <w:tc>
          <w:tcPr>
            <w:tcW w:w="8703" w:type="dxa"/>
            <w:vAlign w:val="top"/>
          </w:tcPr>
          <w:p>
            <w:pPr>
              <w:widowControl/>
              <w:numPr>
                <w:ilvl w:val="0"/>
                <w:numId w:val="2"/>
              </w:numPr>
              <w:spacing w:before="225" w:after="225" w:line="320" w:lineRule="exact"/>
              <w:rPr>
                <w:rFonts w:hint="eastAsia" w:ascii="仿宋_GB2312" w:eastAsia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shd w:val="clear" w:color="auto" w:fill="FFFFFF"/>
              </w:rPr>
              <w:t>做好201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shd w:val="clear" w:color="auto" w:fill="FFFFFF"/>
              </w:rPr>
              <w:t>年度教育督导工作总结和资料归档工作。</w:t>
            </w:r>
          </w:p>
          <w:p>
            <w:pPr>
              <w:widowControl/>
              <w:numPr>
                <w:ilvl w:val="0"/>
                <w:numId w:val="2"/>
              </w:numPr>
              <w:spacing w:before="225" w:after="225" w:line="320" w:lineRule="exact"/>
              <w:rPr>
                <w:rFonts w:hint="eastAsia" w:ascii="仿宋_GB2312" w:eastAsia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shd w:val="clear" w:color="auto" w:fill="FFFFFF"/>
                <w:lang w:eastAsia="zh-CN"/>
              </w:rPr>
              <w:t>对各中心学校进行绩效综合考核。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080" w:type="dxa"/>
            <w:vAlign w:val="center"/>
          </w:tcPr>
          <w:p>
            <w:pPr>
              <w:widowControl/>
              <w:spacing w:before="225" w:after="225"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2月</w:t>
            </w:r>
          </w:p>
        </w:tc>
        <w:tc>
          <w:tcPr>
            <w:tcW w:w="8703" w:type="dxa"/>
            <w:vAlign w:val="top"/>
          </w:tcPr>
          <w:p>
            <w:pPr>
              <w:widowControl/>
              <w:shd w:val="clear" w:color="auto" w:fill="FFFFFF"/>
              <w:spacing w:line="480" w:lineRule="exact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  <w:t>1、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eastAsia="zh-CN"/>
              </w:rPr>
              <w:t>通报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  <w:t>表彰201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  <w:t>年度邵阳县合格学校（园）建设工作先进单位。</w:t>
            </w:r>
          </w:p>
          <w:p>
            <w:pPr>
              <w:widowControl/>
              <w:shd w:val="clear" w:color="auto" w:fill="FFFFFF"/>
              <w:spacing w:line="480" w:lineRule="exact"/>
              <w:rPr>
                <w:rFonts w:hint="eastAsia" w:ascii="仿宋_GB2312" w:eastAsia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  <w:t>2、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shd w:val="clear" w:color="auto" w:fill="FFFFFF"/>
                <w:lang w:eastAsia="zh-CN"/>
              </w:rPr>
              <w:t>通报表彰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2018年绩效文明考核先进单位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shd w:val="clear" w:color="auto" w:fill="FFFFFF"/>
              </w:rPr>
              <w:t>。</w:t>
            </w:r>
          </w:p>
          <w:p>
            <w:pPr>
              <w:widowControl/>
              <w:shd w:val="clear" w:color="auto" w:fill="FFFFFF"/>
              <w:spacing w:line="480" w:lineRule="exact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3、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  <w:t>开展201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  <w:t>年春季开学工作专项督查并形成专项督查报告。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widowControl/>
              <w:spacing w:before="225" w:after="225"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3月</w:t>
            </w:r>
          </w:p>
        </w:tc>
        <w:tc>
          <w:tcPr>
            <w:tcW w:w="8703" w:type="dxa"/>
            <w:vAlign w:val="top"/>
          </w:tcPr>
          <w:p>
            <w:pPr>
              <w:widowControl/>
              <w:numPr>
                <w:ilvl w:val="0"/>
                <w:numId w:val="3"/>
              </w:numPr>
              <w:shd w:val="clear" w:color="auto" w:fill="FFFFFF"/>
              <w:spacing w:line="480" w:lineRule="exact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  <w:t>印发《201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  <w:t>年度教育督导工作计划》。</w:t>
            </w:r>
          </w:p>
          <w:p>
            <w:pPr>
              <w:widowControl/>
              <w:numPr>
                <w:ilvl w:val="0"/>
                <w:numId w:val="3"/>
              </w:numPr>
              <w:shd w:val="clear" w:color="auto" w:fill="FFFFFF"/>
              <w:spacing w:line="480" w:lineRule="exact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筹备县人民政府迎“两检”动员会和二中实地评估准备工作</w:t>
            </w:r>
          </w:p>
          <w:p>
            <w:pPr>
              <w:widowControl/>
              <w:numPr>
                <w:ilvl w:val="0"/>
                <w:numId w:val="3"/>
              </w:numPr>
              <w:shd w:val="clear" w:color="auto" w:fill="FFFFFF"/>
              <w:spacing w:line="480" w:lineRule="exact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eastAsia="zh-CN"/>
              </w:rPr>
              <w:t>召开教育系统专职督学会议部署全年督导工作。</w:t>
            </w:r>
          </w:p>
          <w:p>
            <w:pPr>
              <w:widowControl/>
              <w:numPr>
                <w:ilvl w:val="0"/>
                <w:numId w:val="3"/>
              </w:numPr>
              <w:shd w:val="clear" w:color="auto" w:fill="FFFFFF"/>
              <w:spacing w:line="480" w:lineRule="exact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eastAsia="zh-CN"/>
              </w:rPr>
              <w:t>召开全县各级各类学校迎“两检”业务培训会。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widowControl/>
              <w:spacing w:before="225" w:after="225"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4月</w:t>
            </w:r>
          </w:p>
        </w:tc>
        <w:tc>
          <w:tcPr>
            <w:tcW w:w="8703" w:type="dxa"/>
            <w:vAlign w:val="top"/>
          </w:tcPr>
          <w:p>
            <w:pPr>
              <w:widowControl/>
              <w:numPr>
                <w:ilvl w:val="0"/>
                <w:numId w:val="4"/>
              </w:numPr>
              <w:shd w:val="clear" w:color="auto" w:fill="FFFFFF"/>
              <w:spacing w:line="480" w:lineRule="exact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eastAsia="zh-CN"/>
              </w:rPr>
              <w:t>筹备县教育系统迎“两检”推进会。</w:t>
            </w:r>
          </w:p>
          <w:p>
            <w:pPr>
              <w:widowControl/>
              <w:numPr>
                <w:ilvl w:val="0"/>
                <w:numId w:val="4"/>
              </w:numPr>
              <w:shd w:val="clear" w:color="auto" w:fill="FFFFFF"/>
              <w:spacing w:line="480" w:lineRule="exact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eastAsia="zh-CN"/>
              </w:rPr>
              <w:t>对全县各级各类学校迎“两检”第一次督导。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480" w:lineRule="exact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  <w:t>、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eastAsia="zh-CN"/>
              </w:rPr>
              <w:t>迎接市义务教育均衡发展市级督导评估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  <w:t>。</w:t>
            </w:r>
          </w:p>
          <w:p>
            <w:pPr>
              <w:widowControl/>
              <w:shd w:val="clear" w:color="auto" w:fill="FFFFFF"/>
              <w:spacing w:line="480" w:lineRule="exact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4、对全县中小学校责任督学挂牌督导工作全面督查。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widowControl/>
              <w:spacing w:before="225" w:after="225"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5月</w:t>
            </w:r>
          </w:p>
        </w:tc>
        <w:tc>
          <w:tcPr>
            <w:tcW w:w="8703" w:type="dxa"/>
            <w:vAlign w:val="top"/>
          </w:tcPr>
          <w:p>
            <w:pPr>
              <w:widowControl/>
              <w:numPr>
                <w:ilvl w:val="0"/>
                <w:numId w:val="5"/>
              </w:numPr>
              <w:shd w:val="clear" w:color="auto" w:fill="FFFFFF"/>
              <w:spacing w:line="480" w:lineRule="exact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  <w:t>下发教育督导论文报送通知。</w:t>
            </w:r>
          </w:p>
          <w:p>
            <w:pPr>
              <w:widowControl/>
              <w:numPr>
                <w:ilvl w:val="0"/>
                <w:numId w:val="5"/>
              </w:numPr>
              <w:shd w:val="clear" w:color="auto" w:fill="FFFFFF"/>
              <w:spacing w:line="480" w:lineRule="exact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eastAsia="zh-CN"/>
              </w:rPr>
              <w:t>开展暴力欺凌、扫黑除恶、禁毒教育专项督导。</w:t>
            </w:r>
          </w:p>
          <w:p>
            <w:pPr>
              <w:widowControl/>
              <w:shd w:val="clear" w:color="auto" w:fill="FFFFFF"/>
              <w:spacing w:line="480" w:lineRule="exact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  <w:t>3、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eastAsia="zh-CN"/>
              </w:rPr>
              <w:t>加强对督学责任区的建设。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widowControl/>
              <w:spacing w:before="225" w:after="225"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6月</w:t>
            </w:r>
          </w:p>
        </w:tc>
        <w:tc>
          <w:tcPr>
            <w:tcW w:w="8703" w:type="dxa"/>
            <w:vAlign w:val="top"/>
          </w:tcPr>
          <w:p>
            <w:pPr>
              <w:widowControl/>
              <w:numPr>
                <w:ilvl w:val="0"/>
                <w:numId w:val="6"/>
              </w:numPr>
              <w:shd w:val="clear" w:color="auto" w:fill="FFFFFF"/>
              <w:spacing w:line="480" w:lineRule="exact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  <w:t>评选县级教育督导论文。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480" w:lineRule="exact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  <w:t>2、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eastAsia="zh-CN"/>
              </w:rPr>
              <w:t>对全县各级各类学校迎“两检”第二次督导。</w:t>
            </w:r>
          </w:p>
          <w:p>
            <w:pPr>
              <w:widowControl/>
              <w:shd w:val="clear" w:color="auto" w:fill="FFFFFF"/>
              <w:spacing w:line="480" w:lineRule="exact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3、督查义务教育均衡发展项目建设进度。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080" w:type="dxa"/>
            <w:vAlign w:val="center"/>
          </w:tcPr>
          <w:p>
            <w:pPr>
              <w:widowControl/>
              <w:spacing w:before="225" w:after="225"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7月</w:t>
            </w:r>
          </w:p>
          <w:p>
            <w:pPr>
              <w:widowControl/>
              <w:spacing w:before="225" w:after="225"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8月</w:t>
            </w:r>
          </w:p>
        </w:tc>
        <w:tc>
          <w:tcPr>
            <w:tcW w:w="8703" w:type="dxa"/>
            <w:vAlign w:val="top"/>
          </w:tcPr>
          <w:p>
            <w:pPr>
              <w:widowControl/>
              <w:shd w:val="clear" w:color="auto" w:fill="FFFFFF"/>
              <w:spacing w:line="440" w:lineRule="exact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  <w:t>1、督查暑假违规补课。</w:t>
            </w:r>
          </w:p>
          <w:p>
            <w:pPr>
              <w:widowControl/>
              <w:shd w:val="clear" w:color="auto" w:fill="FFFFFF"/>
              <w:spacing w:line="440" w:lineRule="exact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  <w:t>2、参加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eastAsia="zh-CN"/>
              </w:rPr>
              <w:t>省、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  <w:t>市级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eastAsia="zh-CN"/>
              </w:rPr>
              <w:t>督学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  <w:t>业务培训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eastAsia="zh-CN"/>
              </w:rPr>
              <w:t>和网络培训。</w:t>
            </w:r>
          </w:p>
          <w:p>
            <w:pPr>
              <w:widowControl/>
              <w:shd w:val="clear" w:color="auto" w:fill="FFFFFF"/>
              <w:spacing w:line="440" w:lineRule="exact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3、准备县级迎“两检”资料和督“两检”工程项目进度。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widowControl/>
              <w:spacing w:before="225" w:after="225"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9月</w:t>
            </w:r>
          </w:p>
        </w:tc>
        <w:tc>
          <w:tcPr>
            <w:tcW w:w="8703" w:type="dxa"/>
            <w:vAlign w:val="top"/>
          </w:tcPr>
          <w:p>
            <w:pPr>
              <w:widowControl/>
              <w:shd w:val="clear" w:color="auto" w:fill="FFFFFF"/>
              <w:spacing w:line="480" w:lineRule="exact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  <w:t>1、秋季开学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eastAsia="zh-CN"/>
              </w:rPr>
              <w:t>专项督查。</w:t>
            </w:r>
          </w:p>
          <w:p>
            <w:pPr>
              <w:widowControl/>
              <w:shd w:val="clear" w:color="auto" w:fill="FFFFFF"/>
              <w:spacing w:line="480" w:lineRule="exact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  <w:t>2、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eastAsia="zh-CN"/>
              </w:rPr>
              <w:t>视导省示范性普通高中县二中。</w:t>
            </w:r>
          </w:p>
          <w:p>
            <w:pPr>
              <w:widowControl/>
              <w:shd w:val="clear" w:color="auto" w:fill="FFFFFF"/>
              <w:spacing w:line="480" w:lineRule="exact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3、迎省责任督学挂牌督导创新县初评。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080" w:type="dxa"/>
            <w:vAlign w:val="center"/>
          </w:tcPr>
          <w:p>
            <w:pPr>
              <w:widowControl/>
              <w:spacing w:before="225" w:after="225"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10月</w:t>
            </w:r>
          </w:p>
        </w:tc>
        <w:tc>
          <w:tcPr>
            <w:tcW w:w="8703" w:type="dxa"/>
            <w:vAlign w:val="top"/>
          </w:tcPr>
          <w:p>
            <w:pPr>
              <w:widowControl/>
              <w:numPr>
                <w:ilvl w:val="0"/>
                <w:numId w:val="7"/>
              </w:numPr>
              <w:shd w:val="clear" w:color="auto" w:fill="FFFFFF"/>
              <w:spacing w:line="480" w:lineRule="exact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eastAsia="zh-CN"/>
              </w:rPr>
              <w:t>对全县义务教育阶段学校迎“两检”工作第三次督查。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480" w:lineRule="exact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2、3所市级幼儿园迎市级督导评估。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480" w:lineRule="exact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3、迎接省第三轮两项督导评估。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widowControl/>
              <w:spacing w:before="225" w:after="225"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11月</w:t>
            </w:r>
          </w:p>
        </w:tc>
        <w:tc>
          <w:tcPr>
            <w:tcW w:w="8703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480" w:lineRule="exact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1、迎“国检”冲刺，对标对表。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480" w:lineRule="exact"/>
              <w:ind w:leftChars="0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2、迎接国务院对我县义务教育基本均衡发展县评估验收。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widowControl/>
              <w:spacing w:before="225" w:after="225"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12月</w:t>
            </w:r>
          </w:p>
        </w:tc>
        <w:tc>
          <w:tcPr>
            <w:tcW w:w="8703" w:type="dxa"/>
            <w:vAlign w:val="top"/>
          </w:tcPr>
          <w:p>
            <w:pPr>
              <w:widowControl/>
              <w:numPr>
                <w:ilvl w:val="0"/>
                <w:numId w:val="8"/>
              </w:numPr>
              <w:shd w:val="clear" w:color="auto" w:fill="FFFFFF"/>
              <w:spacing w:line="480" w:lineRule="exact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eastAsia="zh-CN"/>
              </w:rPr>
              <w:t>牵头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  <w:t>组织开展各校年度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eastAsia="zh-CN"/>
              </w:rPr>
              <w:t>绩效考核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  <w:t>评估。</w:t>
            </w:r>
          </w:p>
          <w:p>
            <w:pPr>
              <w:widowControl/>
              <w:numPr>
                <w:ilvl w:val="0"/>
                <w:numId w:val="8"/>
              </w:numPr>
              <w:shd w:val="clear" w:color="auto" w:fill="FFFFFF"/>
              <w:spacing w:line="480" w:lineRule="exact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  <w:lang w:eastAsia="zh-CN"/>
              </w:rPr>
              <w:t>对责任区专职督学进行年终考核。</w:t>
            </w:r>
          </w:p>
          <w:p>
            <w:pPr>
              <w:widowControl/>
              <w:shd w:val="clear" w:color="auto" w:fill="FFFFFF"/>
              <w:spacing w:line="480" w:lineRule="exact"/>
              <w:rPr>
                <w:rFonts w:hint="eastAsia" w:ascii="仿宋_GB2312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shd w:val="clear" w:color="auto" w:fill="FFFFFF"/>
              </w:rPr>
              <w:t>、全面总结201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shd w:val="clear" w:color="auto" w:fill="FFFFFF"/>
              </w:rPr>
              <w:t>年教育督导工作，研究部署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2020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shd w:val="clear" w:color="auto" w:fill="FFFFFF"/>
              </w:rPr>
              <w:t>年督导工作。</w:t>
            </w:r>
          </w:p>
        </w:tc>
      </w:tr>
    </w:tbl>
    <w:p/>
    <w:p/>
    <w:sectPr>
      <w:footerReference r:id="rId3" w:type="default"/>
      <w:pgSz w:w="11906" w:h="16838"/>
      <w:pgMar w:top="1440" w:right="1486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A3E74E"/>
    <w:multiLevelType w:val="singleLevel"/>
    <w:tmpl w:val="9DA3E74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E2A2ABF"/>
    <w:multiLevelType w:val="singleLevel"/>
    <w:tmpl w:val="9E2A2AB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FFF16EC"/>
    <w:multiLevelType w:val="singleLevel"/>
    <w:tmpl w:val="EFFF16E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038BC33"/>
    <w:multiLevelType w:val="singleLevel"/>
    <w:tmpl w:val="0038BC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1049E4DC"/>
    <w:multiLevelType w:val="singleLevel"/>
    <w:tmpl w:val="1049E4DC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8A408C0"/>
    <w:multiLevelType w:val="singleLevel"/>
    <w:tmpl w:val="58A408C0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8A40A4E"/>
    <w:multiLevelType w:val="singleLevel"/>
    <w:tmpl w:val="58A40A4E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8A40ED9"/>
    <w:multiLevelType w:val="singleLevel"/>
    <w:tmpl w:val="58A40ED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B1363"/>
    <w:rsid w:val="02E93FA2"/>
    <w:rsid w:val="08181733"/>
    <w:rsid w:val="0AF134AF"/>
    <w:rsid w:val="119F29B6"/>
    <w:rsid w:val="16582FAC"/>
    <w:rsid w:val="17CD729E"/>
    <w:rsid w:val="1A3274A4"/>
    <w:rsid w:val="1ADF23E8"/>
    <w:rsid w:val="1B7B1363"/>
    <w:rsid w:val="1CCD1EEB"/>
    <w:rsid w:val="21AF717E"/>
    <w:rsid w:val="24B07DB1"/>
    <w:rsid w:val="2FB83AC5"/>
    <w:rsid w:val="3FF17129"/>
    <w:rsid w:val="40157709"/>
    <w:rsid w:val="418F0CF0"/>
    <w:rsid w:val="42E90A2F"/>
    <w:rsid w:val="446E6AC2"/>
    <w:rsid w:val="46DB51CC"/>
    <w:rsid w:val="4AF73777"/>
    <w:rsid w:val="4C7A2A37"/>
    <w:rsid w:val="5B2A0A1E"/>
    <w:rsid w:val="5D5E3E10"/>
    <w:rsid w:val="5F8E19D7"/>
    <w:rsid w:val="605D7039"/>
    <w:rsid w:val="6134661C"/>
    <w:rsid w:val="65652A89"/>
    <w:rsid w:val="66A42C29"/>
    <w:rsid w:val="671574E6"/>
    <w:rsid w:val="687B01B4"/>
    <w:rsid w:val="6A3727DE"/>
    <w:rsid w:val="74756798"/>
    <w:rsid w:val="7837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2019-02-14T01:54:00Z</dcterms:created>
  <dc:creator>留点空间</dc:creator>
  <cp:lastModifiedBy>留点空间</cp:lastModifiedBy>
  <cp:lastPrinted>2019-03-13T01:14:00Z</cp:lastPrinted>
  <dcterms:modified xsi:type="dcterms:W3CDTF">2019-03-13T02:34:10Z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