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rPr>
          <w:rFonts w:hint="eastAsia" w:ascii="黑体" w:hAnsi="宋体" w:eastAsia="黑体" w:cs="宋体"/>
          <w:kern w:val="0"/>
          <w:sz w:val="32"/>
          <w:szCs w:val="32"/>
          <w:lang w:eastAsia="zh-CN"/>
        </w:rPr>
      </w:pPr>
      <w:r>
        <w:rPr>
          <w:rFonts w:hint="eastAsia" w:ascii="黑体" w:hAnsi="宋体" w:eastAsia="黑体" w:cs="宋体"/>
          <w:kern w:val="0"/>
          <w:sz w:val="32"/>
          <w:szCs w:val="32"/>
        </w:rPr>
        <w:t>附件</w:t>
      </w:r>
      <w:r>
        <w:rPr>
          <w:rFonts w:hint="eastAsia" w:ascii="黑体" w:hAnsi="宋体" w:eastAsia="黑体" w:cs="宋体"/>
          <w:kern w:val="0"/>
          <w:sz w:val="32"/>
          <w:szCs w:val="32"/>
          <w:lang w:val="en-US" w:eastAsia="zh-CN"/>
        </w:rPr>
        <w:t>3</w:t>
      </w:r>
    </w:p>
    <w:p>
      <w:pPr>
        <w:spacing w:line="600" w:lineRule="exact"/>
        <w:jc w:val="center"/>
        <w:rPr>
          <w:rFonts w:hint="eastAsia" w:ascii="黑体" w:hAnsi="宋体" w:eastAsia="黑体" w:cs="宋体"/>
          <w:kern w:val="0"/>
          <w:sz w:val="32"/>
          <w:szCs w:val="32"/>
        </w:rPr>
      </w:pPr>
      <w:r>
        <w:rPr>
          <w:rFonts w:hint="eastAsia" w:ascii="方正小标宋简体" w:hAnsi="方正小标宋简体" w:eastAsia="方正小标宋简体" w:cs="方正小标宋简体"/>
          <w:i w:val="0"/>
          <w:iCs w:val="0"/>
          <w:color w:val="000000"/>
          <w:kern w:val="0"/>
          <w:sz w:val="36"/>
          <w:szCs w:val="36"/>
          <w:u w:val="none"/>
          <w:lang w:val="en-US" w:eastAsia="zh-CN"/>
        </w:rPr>
        <w:t>部门（单位）整体支出绩效自评表</w:t>
      </w:r>
    </w:p>
    <w:tbl>
      <w:tblPr>
        <w:tblStyle w:val="6"/>
        <w:tblW w:w="13671"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873"/>
        <w:gridCol w:w="870"/>
        <w:gridCol w:w="1050"/>
        <w:gridCol w:w="495"/>
        <w:gridCol w:w="2570"/>
        <w:gridCol w:w="5112"/>
        <w:gridCol w:w="2115"/>
        <w:gridCol w:w="58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39" w:hRule="atLeast"/>
          <w:tblHeader/>
          <w:jc w:val="center"/>
        </w:trPr>
        <w:tc>
          <w:tcPr>
            <w:tcW w:w="873" w:type="dxa"/>
            <w:tcBorders>
              <w:tl2br w:val="nil"/>
              <w:tr2bl w:val="nil"/>
            </w:tcBorders>
            <w:vAlign w:val="center"/>
          </w:tcPr>
          <w:p>
            <w:pPr>
              <w:keepNext w:val="0"/>
              <w:keepLines w:val="0"/>
              <w:widowControl/>
              <w:suppressLineNumbers w:val="0"/>
              <w:jc w:val="center"/>
              <w:textAlignment w:val="center"/>
              <w:rPr>
                <w:rFonts w:hint="eastAsia" w:ascii="黑体" w:hAnsi="宋体" w:eastAsia="黑体" w:cs="黑体"/>
                <w:i w:val="0"/>
                <w:iCs w:val="0"/>
                <w:color w:val="000000"/>
                <w:kern w:val="0"/>
                <w:sz w:val="20"/>
                <w:szCs w:val="20"/>
                <w:u w:val="none"/>
                <w:lang w:val="en-US" w:eastAsia="zh-CN"/>
              </w:rPr>
            </w:pPr>
            <w:r>
              <w:rPr>
                <w:rFonts w:hint="eastAsia" w:ascii="黑体" w:hAnsi="宋体" w:eastAsia="黑体" w:cs="黑体"/>
                <w:i w:val="0"/>
                <w:iCs w:val="0"/>
                <w:color w:val="000000"/>
                <w:kern w:val="0"/>
                <w:sz w:val="20"/>
                <w:szCs w:val="20"/>
                <w:u w:val="none"/>
                <w:lang w:val="en-US" w:eastAsia="zh-CN"/>
              </w:rPr>
              <w:t>一级</w:t>
            </w:r>
          </w:p>
          <w:p>
            <w:pPr>
              <w:keepNext w:val="0"/>
              <w:keepLines w:val="0"/>
              <w:widowControl/>
              <w:suppressLineNumbers w:val="0"/>
              <w:jc w:val="center"/>
              <w:textAlignment w:val="center"/>
              <w:rPr>
                <w:rFonts w:ascii="黑体" w:hAnsi="宋体" w:eastAsia="黑体" w:cs="黑体"/>
                <w:i w:val="0"/>
                <w:iCs w:val="0"/>
                <w:color w:val="000000"/>
                <w:sz w:val="20"/>
                <w:szCs w:val="20"/>
                <w:u w:val="none"/>
              </w:rPr>
            </w:pPr>
            <w:r>
              <w:rPr>
                <w:rFonts w:hint="eastAsia" w:ascii="黑体" w:hAnsi="宋体" w:eastAsia="黑体" w:cs="黑体"/>
                <w:i w:val="0"/>
                <w:iCs w:val="0"/>
                <w:color w:val="000000"/>
                <w:kern w:val="0"/>
                <w:sz w:val="20"/>
                <w:szCs w:val="20"/>
                <w:u w:val="none"/>
                <w:lang w:val="en-US" w:eastAsia="zh-CN"/>
              </w:rPr>
              <w:t>指标</w:t>
            </w:r>
          </w:p>
        </w:tc>
        <w:tc>
          <w:tcPr>
            <w:tcW w:w="870" w:type="dxa"/>
            <w:tcBorders>
              <w:tl2br w:val="nil"/>
              <w:tr2bl w:val="nil"/>
            </w:tcBorders>
            <w:vAlign w:val="center"/>
          </w:tcPr>
          <w:p>
            <w:pPr>
              <w:keepNext w:val="0"/>
              <w:keepLines w:val="0"/>
              <w:widowControl/>
              <w:suppressLineNumbers w:val="0"/>
              <w:jc w:val="center"/>
              <w:textAlignment w:val="center"/>
              <w:rPr>
                <w:rFonts w:hint="eastAsia" w:ascii="黑体" w:hAnsi="宋体" w:eastAsia="黑体" w:cs="黑体"/>
                <w:i w:val="0"/>
                <w:iCs w:val="0"/>
                <w:color w:val="000000"/>
                <w:kern w:val="0"/>
                <w:sz w:val="20"/>
                <w:szCs w:val="20"/>
                <w:u w:val="none"/>
                <w:lang w:val="en-US" w:eastAsia="zh-CN"/>
              </w:rPr>
            </w:pPr>
            <w:r>
              <w:rPr>
                <w:rFonts w:hint="eastAsia" w:ascii="黑体" w:hAnsi="宋体" w:eastAsia="黑体" w:cs="黑体"/>
                <w:i w:val="0"/>
                <w:iCs w:val="0"/>
                <w:color w:val="000000"/>
                <w:kern w:val="0"/>
                <w:sz w:val="20"/>
                <w:szCs w:val="20"/>
                <w:u w:val="none"/>
                <w:lang w:val="en-US" w:eastAsia="zh-CN"/>
              </w:rPr>
              <w:t>二级</w:t>
            </w:r>
          </w:p>
          <w:p>
            <w:pPr>
              <w:keepNext w:val="0"/>
              <w:keepLines w:val="0"/>
              <w:widowControl/>
              <w:suppressLineNumbers w:val="0"/>
              <w:jc w:val="center"/>
              <w:textAlignment w:val="center"/>
              <w:rPr>
                <w:rFonts w:hint="eastAsia" w:ascii="黑体" w:hAnsi="宋体" w:eastAsia="黑体" w:cs="黑体"/>
                <w:i w:val="0"/>
                <w:iCs w:val="0"/>
                <w:color w:val="000000"/>
                <w:sz w:val="20"/>
                <w:szCs w:val="20"/>
                <w:u w:val="none"/>
              </w:rPr>
            </w:pPr>
            <w:r>
              <w:rPr>
                <w:rFonts w:hint="eastAsia" w:ascii="黑体" w:hAnsi="宋体" w:eastAsia="黑体" w:cs="黑体"/>
                <w:i w:val="0"/>
                <w:iCs w:val="0"/>
                <w:color w:val="000000"/>
                <w:kern w:val="0"/>
                <w:sz w:val="20"/>
                <w:szCs w:val="20"/>
                <w:u w:val="none"/>
                <w:lang w:val="en-US" w:eastAsia="zh-CN"/>
              </w:rPr>
              <w:t>指标</w:t>
            </w:r>
          </w:p>
        </w:tc>
        <w:tc>
          <w:tcPr>
            <w:tcW w:w="1050" w:type="dxa"/>
            <w:tcBorders>
              <w:tl2br w:val="nil"/>
              <w:tr2bl w:val="nil"/>
            </w:tcBorders>
            <w:vAlign w:val="center"/>
          </w:tcPr>
          <w:p>
            <w:pPr>
              <w:keepNext w:val="0"/>
              <w:keepLines w:val="0"/>
              <w:widowControl/>
              <w:suppressLineNumbers w:val="0"/>
              <w:jc w:val="center"/>
              <w:textAlignment w:val="center"/>
              <w:rPr>
                <w:rFonts w:hint="eastAsia" w:ascii="黑体" w:hAnsi="宋体" w:eastAsia="黑体" w:cs="黑体"/>
                <w:i w:val="0"/>
                <w:iCs w:val="0"/>
                <w:color w:val="000000"/>
                <w:sz w:val="20"/>
                <w:szCs w:val="20"/>
                <w:u w:val="none"/>
              </w:rPr>
            </w:pPr>
            <w:r>
              <w:rPr>
                <w:rFonts w:hint="eastAsia" w:ascii="黑体" w:hAnsi="宋体" w:eastAsia="黑体" w:cs="黑体"/>
                <w:i w:val="0"/>
                <w:iCs w:val="0"/>
                <w:color w:val="000000"/>
                <w:kern w:val="0"/>
                <w:sz w:val="20"/>
                <w:szCs w:val="20"/>
                <w:u w:val="none"/>
                <w:lang w:val="en-US" w:eastAsia="zh-CN"/>
              </w:rPr>
              <w:t>三级指标</w:t>
            </w:r>
          </w:p>
        </w:tc>
        <w:tc>
          <w:tcPr>
            <w:tcW w:w="495" w:type="dxa"/>
            <w:tcBorders>
              <w:tl2br w:val="nil"/>
              <w:tr2bl w:val="nil"/>
            </w:tcBorders>
            <w:vAlign w:val="center"/>
          </w:tcPr>
          <w:p>
            <w:pPr>
              <w:keepNext w:val="0"/>
              <w:keepLines w:val="0"/>
              <w:widowControl/>
              <w:suppressLineNumbers w:val="0"/>
              <w:jc w:val="center"/>
              <w:textAlignment w:val="center"/>
              <w:rPr>
                <w:rFonts w:hint="eastAsia" w:ascii="黑体" w:hAnsi="宋体" w:eastAsia="黑体" w:cs="黑体"/>
                <w:i w:val="0"/>
                <w:iCs w:val="0"/>
                <w:color w:val="000000"/>
                <w:sz w:val="20"/>
                <w:szCs w:val="20"/>
                <w:u w:val="none"/>
              </w:rPr>
            </w:pPr>
            <w:r>
              <w:rPr>
                <w:rFonts w:hint="eastAsia" w:ascii="黑体" w:hAnsi="宋体" w:eastAsia="黑体" w:cs="黑体"/>
                <w:i w:val="0"/>
                <w:iCs w:val="0"/>
                <w:color w:val="000000"/>
                <w:kern w:val="0"/>
                <w:sz w:val="20"/>
                <w:szCs w:val="20"/>
                <w:u w:val="none"/>
                <w:lang w:val="en-US" w:eastAsia="zh-CN"/>
              </w:rPr>
              <w:t>分值</w:t>
            </w:r>
          </w:p>
        </w:tc>
        <w:tc>
          <w:tcPr>
            <w:tcW w:w="2570" w:type="dxa"/>
            <w:tcBorders>
              <w:tl2br w:val="nil"/>
              <w:tr2bl w:val="nil"/>
            </w:tcBorders>
            <w:vAlign w:val="center"/>
          </w:tcPr>
          <w:p>
            <w:pPr>
              <w:keepNext w:val="0"/>
              <w:keepLines w:val="0"/>
              <w:widowControl/>
              <w:suppressLineNumbers w:val="0"/>
              <w:jc w:val="center"/>
              <w:textAlignment w:val="center"/>
              <w:rPr>
                <w:rFonts w:hint="eastAsia" w:ascii="黑体" w:hAnsi="宋体" w:eastAsia="黑体" w:cs="黑体"/>
                <w:i w:val="0"/>
                <w:iCs w:val="0"/>
                <w:color w:val="000000"/>
                <w:sz w:val="20"/>
                <w:szCs w:val="20"/>
                <w:u w:val="none"/>
              </w:rPr>
            </w:pPr>
            <w:r>
              <w:rPr>
                <w:rFonts w:hint="eastAsia" w:ascii="黑体" w:hAnsi="宋体" w:eastAsia="黑体" w:cs="黑体"/>
                <w:i w:val="0"/>
                <w:iCs w:val="0"/>
                <w:color w:val="000000"/>
                <w:kern w:val="0"/>
                <w:sz w:val="20"/>
                <w:szCs w:val="20"/>
                <w:u w:val="none"/>
                <w:lang w:val="en-US" w:eastAsia="zh-CN"/>
              </w:rPr>
              <w:t>指标说明</w:t>
            </w:r>
          </w:p>
        </w:tc>
        <w:tc>
          <w:tcPr>
            <w:tcW w:w="5112" w:type="dxa"/>
            <w:tcBorders>
              <w:tl2br w:val="nil"/>
              <w:tr2bl w:val="nil"/>
            </w:tcBorders>
            <w:vAlign w:val="center"/>
          </w:tcPr>
          <w:p>
            <w:pPr>
              <w:keepNext w:val="0"/>
              <w:keepLines w:val="0"/>
              <w:widowControl/>
              <w:suppressLineNumbers w:val="0"/>
              <w:jc w:val="center"/>
              <w:textAlignment w:val="center"/>
              <w:rPr>
                <w:rFonts w:hint="eastAsia" w:ascii="黑体" w:hAnsi="宋体" w:eastAsia="黑体" w:cs="黑体"/>
                <w:i w:val="0"/>
                <w:iCs w:val="0"/>
                <w:color w:val="000000"/>
                <w:sz w:val="20"/>
                <w:szCs w:val="20"/>
                <w:u w:val="none"/>
              </w:rPr>
            </w:pPr>
            <w:r>
              <w:rPr>
                <w:rFonts w:hint="eastAsia" w:ascii="黑体" w:hAnsi="宋体" w:eastAsia="黑体" w:cs="黑体"/>
                <w:i w:val="0"/>
                <w:iCs w:val="0"/>
                <w:color w:val="000000"/>
                <w:kern w:val="0"/>
                <w:sz w:val="20"/>
                <w:szCs w:val="20"/>
                <w:u w:val="none"/>
                <w:lang w:val="en-US" w:eastAsia="zh-CN"/>
              </w:rPr>
              <w:t>评分标准</w:t>
            </w:r>
          </w:p>
        </w:tc>
        <w:tc>
          <w:tcPr>
            <w:tcW w:w="2115" w:type="dxa"/>
            <w:tcBorders>
              <w:tl2br w:val="nil"/>
              <w:tr2bl w:val="nil"/>
            </w:tcBorders>
            <w:vAlign w:val="center"/>
          </w:tcPr>
          <w:p>
            <w:pPr>
              <w:keepNext w:val="0"/>
              <w:keepLines w:val="0"/>
              <w:widowControl/>
              <w:suppressLineNumbers w:val="0"/>
              <w:jc w:val="center"/>
              <w:textAlignment w:val="center"/>
              <w:rPr>
                <w:rFonts w:hint="eastAsia" w:ascii="黑体" w:hAnsi="宋体" w:eastAsia="黑体" w:cs="黑体"/>
                <w:i w:val="0"/>
                <w:iCs w:val="0"/>
                <w:color w:val="000000"/>
                <w:sz w:val="20"/>
                <w:szCs w:val="20"/>
                <w:u w:val="none"/>
              </w:rPr>
            </w:pPr>
            <w:r>
              <w:rPr>
                <w:rFonts w:hint="eastAsia" w:ascii="黑体" w:hAnsi="宋体" w:eastAsia="黑体" w:cs="黑体"/>
                <w:i w:val="0"/>
                <w:iCs w:val="0"/>
                <w:color w:val="000000"/>
                <w:kern w:val="0"/>
                <w:sz w:val="20"/>
                <w:szCs w:val="20"/>
                <w:u w:val="none"/>
                <w:lang w:val="en-US" w:eastAsia="zh-CN"/>
              </w:rPr>
              <w:t>评价依据</w:t>
            </w:r>
          </w:p>
        </w:tc>
        <w:tc>
          <w:tcPr>
            <w:tcW w:w="586" w:type="dxa"/>
            <w:tcBorders>
              <w:tl2br w:val="nil"/>
              <w:tr2bl w:val="nil"/>
            </w:tcBorders>
            <w:vAlign w:val="center"/>
          </w:tcPr>
          <w:p>
            <w:pPr>
              <w:keepNext w:val="0"/>
              <w:keepLines w:val="0"/>
              <w:widowControl/>
              <w:suppressLineNumbers w:val="0"/>
              <w:jc w:val="center"/>
              <w:textAlignment w:val="center"/>
              <w:rPr>
                <w:rFonts w:hint="eastAsia" w:ascii="黑体" w:hAnsi="宋体" w:eastAsia="黑体" w:cs="黑体"/>
                <w:i w:val="0"/>
                <w:iCs w:val="0"/>
                <w:color w:val="000000"/>
                <w:sz w:val="20"/>
                <w:szCs w:val="20"/>
                <w:u w:val="none"/>
              </w:rPr>
            </w:pPr>
            <w:r>
              <w:rPr>
                <w:rFonts w:hint="eastAsia" w:ascii="黑体" w:hAnsi="宋体" w:eastAsia="黑体" w:cs="黑体"/>
                <w:i w:val="0"/>
                <w:iCs w:val="0"/>
                <w:color w:val="000000"/>
                <w:kern w:val="0"/>
                <w:sz w:val="20"/>
                <w:szCs w:val="20"/>
                <w:u w:val="none"/>
                <w:lang w:val="en-US" w:eastAsia="zh-CN"/>
              </w:rPr>
              <w:t>自评分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350" w:hRule="atLeast"/>
          <w:jc w:val="center"/>
        </w:trPr>
        <w:tc>
          <w:tcPr>
            <w:tcW w:w="873" w:type="dxa"/>
            <w:vMerge w:val="restart"/>
            <w:tcBorders>
              <w:tl2br w:val="nil"/>
              <w:tr2bl w:val="nil"/>
            </w:tcBorders>
            <w:vAlign w:val="center"/>
          </w:tcPr>
          <w:p>
            <w:pPr>
              <w:keepNext w:val="0"/>
              <w:keepLines w:val="0"/>
              <w:widowControl/>
              <w:suppressLineNumbers w:val="0"/>
              <w:jc w:val="center"/>
              <w:textAlignment w:val="center"/>
              <w:rPr>
                <w:rStyle w:val="8"/>
                <w:lang w:val="en-US" w:eastAsia="zh-CN"/>
              </w:rPr>
            </w:pPr>
            <w:r>
              <w:rPr>
                <w:rStyle w:val="8"/>
                <w:lang w:val="en-US" w:eastAsia="zh-CN"/>
              </w:rPr>
              <w:t>投入</w:t>
            </w:r>
          </w:p>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Style w:val="8"/>
                <w:lang w:val="en-US" w:eastAsia="zh-CN"/>
              </w:rPr>
              <w:t>（</w:t>
            </w:r>
            <w:r>
              <w:rPr>
                <w:rStyle w:val="9"/>
                <w:rFonts w:eastAsia="宋体"/>
                <w:lang w:val="en-US" w:eastAsia="zh-CN"/>
              </w:rPr>
              <w:t>14</w:t>
            </w:r>
            <w:r>
              <w:rPr>
                <w:rStyle w:val="8"/>
                <w:lang w:val="en-US" w:eastAsia="zh-CN"/>
              </w:rPr>
              <w:t>分）</w:t>
            </w:r>
          </w:p>
        </w:tc>
        <w:tc>
          <w:tcPr>
            <w:tcW w:w="870" w:type="dxa"/>
            <w:vMerge w:val="restart"/>
            <w:tcBorders>
              <w:tl2br w:val="nil"/>
              <w:tr2bl w:val="nil"/>
            </w:tcBorders>
            <w:vAlign w:val="center"/>
          </w:tcPr>
          <w:p>
            <w:pPr>
              <w:keepNext w:val="0"/>
              <w:keepLines w:val="0"/>
              <w:widowControl/>
              <w:suppressLineNumbers w:val="0"/>
              <w:jc w:val="center"/>
              <w:textAlignment w:val="center"/>
              <w:rPr>
                <w:rStyle w:val="8"/>
                <w:lang w:val="en-US" w:eastAsia="zh-CN"/>
              </w:rPr>
            </w:pPr>
            <w:r>
              <w:rPr>
                <w:rStyle w:val="8"/>
                <w:lang w:val="en-US" w:eastAsia="zh-CN"/>
              </w:rPr>
              <w:t>目标</w:t>
            </w:r>
          </w:p>
          <w:p>
            <w:pPr>
              <w:keepNext w:val="0"/>
              <w:keepLines w:val="0"/>
              <w:widowControl/>
              <w:suppressLineNumbers w:val="0"/>
              <w:jc w:val="center"/>
              <w:textAlignment w:val="center"/>
              <w:rPr>
                <w:rStyle w:val="8"/>
                <w:lang w:val="en-US" w:eastAsia="zh-CN"/>
              </w:rPr>
            </w:pPr>
            <w:r>
              <w:rPr>
                <w:rStyle w:val="8"/>
                <w:lang w:val="en-US" w:eastAsia="zh-CN"/>
              </w:rPr>
              <w:t>设定</w:t>
            </w:r>
          </w:p>
          <w:p>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Style w:val="8"/>
                <w:lang w:val="en-US" w:eastAsia="zh-CN"/>
              </w:rPr>
              <w:t>（</w:t>
            </w:r>
            <w:r>
              <w:rPr>
                <w:rStyle w:val="9"/>
                <w:rFonts w:eastAsia="宋体"/>
                <w:lang w:val="en-US" w:eastAsia="zh-CN"/>
              </w:rPr>
              <w:t>7</w:t>
            </w:r>
            <w:r>
              <w:rPr>
                <w:rStyle w:val="8"/>
                <w:lang w:val="en-US" w:eastAsia="zh-CN"/>
              </w:rPr>
              <w:t>分）</w:t>
            </w:r>
          </w:p>
        </w:tc>
        <w:tc>
          <w:tcPr>
            <w:tcW w:w="1050" w:type="dxa"/>
            <w:tcBorders>
              <w:tl2br w:val="nil"/>
              <w:tr2bl w:val="nil"/>
            </w:tcBorders>
            <w:vAlign w:val="center"/>
          </w:tcPr>
          <w:p>
            <w:pPr>
              <w:keepNext w:val="0"/>
              <w:keepLines w:val="0"/>
              <w:widowControl/>
              <w:suppressLineNumbers w:val="0"/>
              <w:jc w:val="center"/>
              <w:textAlignment w:val="center"/>
              <w:rPr>
                <w:rStyle w:val="8"/>
                <w:lang w:val="en-US" w:eastAsia="zh-CN"/>
              </w:rPr>
            </w:pPr>
            <w:r>
              <w:rPr>
                <w:rStyle w:val="8"/>
                <w:lang w:val="en-US" w:eastAsia="zh-CN"/>
              </w:rPr>
              <w:t>绩效目标</w:t>
            </w:r>
          </w:p>
          <w:p>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Style w:val="8"/>
                <w:lang w:val="en-US" w:eastAsia="zh-CN"/>
              </w:rPr>
              <w:t>合理性</w:t>
            </w:r>
          </w:p>
        </w:tc>
        <w:tc>
          <w:tcPr>
            <w:tcW w:w="495" w:type="dxa"/>
            <w:tcBorders>
              <w:tl2br w:val="nil"/>
              <w:tr2bl w:val="nil"/>
            </w:tcBorders>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rPr>
              <w:t>3</w:t>
            </w:r>
          </w:p>
        </w:tc>
        <w:tc>
          <w:tcPr>
            <w:tcW w:w="2570" w:type="dxa"/>
            <w:tcBorders>
              <w:tl2br w:val="nil"/>
              <w:tr2bl w:val="nil"/>
            </w:tcBorders>
            <w:vAlign w:val="center"/>
          </w:tcPr>
          <w:p>
            <w:pPr>
              <w:keepNext w:val="0"/>
              <w:keepLines w:val="0"/>
              <w:widowControl/>
              <w:suppressLineNumbers w:val="0"/>
              <w:jc w:val="left"/>
              <w:textAlignment w:val="center"/>
              <w:rPr>
                <w:rFonts w:hint="default" w:ascii="Times New Roman" w:hAnsi="Times New Roman" w:eastAsia="宋体" w:cs="Times New Roman"/>
                <w:i w:val="0"/>
                <w:iCs w:val="0"/>
                <w:color w:val="000000"/>
                <w:sz w:val="18"/>
                <w:szCs w:val="18"/>
                <w:u w:val="none"/>
              </w:rPr>
            </w:pPr>
            <w:r>
              <w:rPr>
                <w:rStyle w:val="8"/>
                <w:lang w:val="en-US" w:eastAsia="zh-CN"/>
              </w:rPr>
              <w:t>部门（单位）所设立的整体绩效目标依据是否充分，是否符合客观实际，用以反映和考核部门（单位）整体绩效目标与部门履职、年度工作任务的相符性情况。</w:t>
            </w:r>
          </w:p>
        </w:tc>
        <w:tc>
          <w:tcPr>
            <w:tcW w:w="5112" w:type="dxa"/>
            <w:tcBorders>
              <w:tl2br w:val="nil"/>
              <w:tr2bl w:val="nil"/>
            </w:tcBorders>
            <w:vAlign w:val="center"/>
          </w:tcPr>
          <w:p>
            <w:pPr>
              <w:keepNext w:val="0"/>
              <w:keepLines w:val="0"/>
              <w:widowControl/>
              <w:suppressLineNumbers w:val="0"/>
              <w:jc w:val="left"/>
              <w:textAlignment w:val="center"/>
              <w:rPr>
                <w:rStyle w:val="8"/>
                <w:lang w:val="en-US" w:eastAsia="zh-CN"/>
              </w:rPr>
            </w:pPr>
            <w:r>
              <w:rPr>
                <w:rStyle w:val="8"/>
                <w:lang w:val="en-US" w:eastAsia="zh-CN"/>
              </w:rPr>
              <w:t>①是否符合国家法律法规、国民经济和社会发展总体规划；</w:t>
            </w:r>
          </w:p>
          <w:p>
            <w:pPr>
              <w:keepNext w:val="0"/>
              <w:keepLines w:val="0"/>
              <w:widowControl/>
              <w:suppressLineNumbers w:val="0"/>
              <w:jc w:val="left"/>
              <w:textAlignment w:val="center"/>
              <w:rPr>
                <w:rStyle w:val="8"/>
                <w:lang w:val="en-US" w:eastAsia="zh-CN"/>
              </w:rPr>
            </w:pPr>
            <w:r>
              <w:rPr>
                <w:rStyle w:val="8"/>
                <w:lang w:val="en-US" w:eastAsia="zh-CN"/>
              </w:rPr>
              <w:t>②是否符合部门</w:t>
            </w:r>
            <w:r>
              <w:rPr>
                <w:rStyle w:val="9"/>
                <w:rFonts w:eastAsia="宋体"/>
                <w:lang w:val="en-US" w:eastAsia="zh-CN"/>
              </w:rPr>
              <w:t>“</w:t>
            </w:r>
            <w:r>
              <w:rPr>
                <w:rStyle w:val="8"/>
                <w:lang w:val="en-US" w:eastAsia="zh-CN"/>
              </w:rPr>
              <w:t>三定</w:t>
            </w:r>
            <w:r>
              <w:rPr>
                <w:rStyle w:val="9"/>
                <w:rFonts w:eastAsia="宋体"/>
                <w:lang w:val="en-US" w:eastAsia="zh-CN"/>
              </w:rPr>
              <w:t>”</w:t>
            </w:r>
            <w:r>
              <w:rPr>
                <w:rStyle w:val="8"/>
                <w:lang w:val="en-US" w:eastAsia="zh-CN"/>
              </w:rPr>
              <w:t>方案确定的职责；</w:t>
            </w:r>
          </w:p>
          <w:p>
            <w:pPr>
              <w:keepNext w:val="0"/>
              <w:keepLines w:val="0"/>
              <w:widowControl/>
              <w:suppressLineNumbers w:val="0"/>
              <w:jc w:val="left"/>
              <w:textAlignment w:val="center"/>
              <w:rPr>
                <w:rStyle w:val="8"/>
                <w:lang w:val="en-US" w:eastAsia="zh-CN"/>
              </w:rPr>
            </w:pPr>
            <w:r>
              <w:rPr>
                <w:rStyle w:val="8"/>
                <w:lang w:val="en-US" w:eastAsia="zh-CN"/>
              </w:rPr>
              <w:t>③是否符合部门制定的中长期实施规划。</w:t>
            </w:r>
          </w:p>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Style w:val="8"/>
                <w:lang w:val="en-US" w:eastAsia="zh-CN"/>
              </w:rPr>
              <w:t>以上各项每发现一起不符合要求扣</w:t>
            </w:r>
            <w:r>
              <w:rPr>
                <w:rStyle w:val="9"/>
                <w:rFonts w:eastAsia="宋体"/>
                <w:lang w:val="en-US" w:eastAsia="zh-CN"/>
              </w:rPr>
              <w:t>1</w:t>
            </w:r>
            <w:r>
              <w:rPr>
                <w:rStyle w:val="8"/>
                <w:lang w:val="en-US" w:eastAsia="zh-CN"/>
              </w:rPr>
              <w:t>分，扣完为止。</w:t>
            </w:r>
          </w:p>
        </w:tc>
        <w:tc>
          <w:tcPr>
            <w:tcW w:w="2115" w:type="dxa"/>
            <w:tcBorders>
              <w:tl2br w:val="nil"/>
              <w:tr2bl w:val="nil"/>
            </w:tcBorders>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绩效目标申报表；本县国民经济和社会发展规划；</w:t>
            </w:r>
            <w:r>
              <w:rPr>
                <w:rStyle w:val="9"/>
                <w:rFonts w:eastAsia="宋体"/>
                <w:lang w:val="en-US" w:eastAsia="zh-CN"/>
              </w:rPr>
              <w:t>“</w:t>
            </w:r>
            <w:r>
              <w:rPr>
                <w:rStyle w:val="8"/>
                <w:lang w:val="en-US" w:eastAsia="zh-CN"/>
              </w:rPr>
              <w:t>三定</w:t>
            </w:r>
            <w:r>
              <w:rPr>
                <w:rStyle w:val="9"/>
                <w:rFonts w:eastAsia="宋体"/>
                <w:lang w:val="en-US" w:eastAsia="zh-CN"/>
              </w:rPr>
              <w:t>”</w:t>
            </w:r>
            <w:r>
              <w:rPr>
                <w:rStyle w:val="8"/>
                <w:lang w:val="en-US" w:eastAsia="zh-CN"/>
              </w:rPr>
              <w:t>方案；部门职责；部门制定的中长期实施规划等。</w:t>
            </w:r>
          </w:p>
        </w:tc>
        <w:tc>
          <w:tcPr>
            <w:tcW w:w="586" w:type="dxa"/>
            <w:tcBorders>
              <w:tl2br w:val="nil"/>
              <w:tr2bl w:val="nil"/>
            </w:tcBorders>
            <w:vAlign w:val="center"/>
          </w:tcPr>
          <w:p>
            <w:pPr>
              <w:jc w:val="left"/>
              <w:rPr>
                <w:rFonts w:hint="eastAsia" w:ascii="Times New Roman" w:hAnsi="Times New Roman" w:eastAsia="宋体" w:cs="Times New Roman"/>
                <w:i w:val="0"/>
                <w:iCs w:val="0"/>
                <w:color w:val="000000"/>
                <w:sz w:val="18"/>
                <w:szCs w:val="18"/>
                <w:u w:val="none"/>
                <w:lang w:val="en-US" w:eastAsia="zh-CN"/>
              </w:rPr>
            </w:pPr>
            <w:r>
              <w:rPr>
                <w:rFonts w:hint="eastAsia" w:ascii="Times New Roman" w:hAnsi="Times New Roman" w:cs="Times New Roman"/>
                <w:i w:val="0"/>
                <w:iCs w:val="0"/>
                <w:color w:val="000000"/>
                <w:sz w:val="18"/>
                <w:szCs w:val="18"/>
                <w:u w:val="none"/>
                <w:lang w:val="en-US" w:eastAsia="zh-CN"/>
              </w:rPr>
              <w:t>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920" w:hRule="atLeast"/>
          <w:jc w:val="center"/>
        </w:trPr>
        <w:tc>
          <w:tcPr>
            <w:tcW w:w="873" w:type="dxa"/>
            <w:vMerge w:val="continue"/>
            <w:tcBorders>
              <w:tl2br w:val="nil"/>
              <w:tr2bl w:val="nil"/>
            </w:tcBorders>
            <w:vAlign w:val="center"/>
          </w:tcPr>
          <w:p>
            <w:pPr>
              <w:jc w:val="center"/>
              <w:rPr>
                <w:rFonts w:hint="eastAsia" w:ascii="宋体" w:hAnsi="宋体" w:eastAsia="宋体" w:cs="宋体"/>
                <w:i w:val="0"/>
                <w:iCs w:val="0"/>
                <w:color w:val="000000"/>
                <w:sz w:val="18"/>
                <w:szCs w:val="18"/>
                <w:u w:val="none"/>
              </w:rPr>
            </w:pPr>
          </w:p>
        </w:tc>
        <w:tc>
          <w:tcPr>
            <w:tcW w:w="870" w:type="dxa"/>
            <w:vMerge w:val="continue"/>
            <w:tcBorders>
              <w:tl2br w:val="nil"/>
              <w:tr2bl w:val="nil"/>
            </w:tcBorders>
            <w:vAlign w:val="center"/>
          </w:tcPr>
          <w:p>
            <w:pPr>
              <w:jc w:val="center"/>
              <w:rPr>
                <w:rFonts w:hint="default" w:ascii="Times New Roman" w:hAnsi="Times New Roman" w:eastAsia="宋体" w:cs="Times New Roman"/>
                <w:i w:val="0"/>
                <w:iCs w:val="0"/>
                <w:color w:val="000000"/>
                <w:sz w:val="18"/>
                <w:szCs w:val="18"/>
                <w:u w:val="none"/>
              </w:rPr>
            </w:pPr>
          </w:p>
        </w:tc>
        <w:tc>
          <w:tcPr>
            <w:tcW w:w="1050" w:type="dxa"/>
            <w:tcBorders>
              <w:tl2br w:val="nil"/>
              <w:tr2bl w:val="nil"/>
            </w:tcBorders>
            <w:vAlign w:val="center"/>
          </w:tcPr>
          <w:p>
            <w:pPr>
              <w:keepNext w:val="0"/>
              <w:keepLines w:val="0"/>
              <w:widowControl/>
              <w:suppressLineNumbers w:val="0"/>
              <w:jc w:val="center"/>
              <w:textAlignment w:val="center"/>
              <w:rPr>
                <w:rStyle w:val="8"/>
                <w:lang w:val="en-US" w:eastAsia="zh-CN"/>
              </w:rPr>
            </w:pPr>
            <w:r>
              <w:rPr>
                <w:rStyle w:val="8"/>
                <w:lang w:val="en-US" w:eastAsia="zh-CN"/>
              </w:rPr>
              <w:t>绩效指标</w:t>
            </w:r>
          </w:p>
          <w:p>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Style w:val="8"/>
                <w:lang w:val="en-US" w:eastAsia="zh-CN"/>
              </w:rPr>
              <w:t>明确性</w:t>
            </w:r>
          </w:p>
        </w:tc>
        <w:tc>
          <w:tcPr>
            <w:tcW w:w="495" w:type="dxa"/>
            <w:tcBorders>
              <w:tl2br w:val="nil"/>
              <w:tr2bl w:val="nil"/>
            </w:tcBorders>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rPr>
              <w:t>4</w:t>
            </w:r>
          </w:p>
        </w:tc>
        <w:tc>
          <w:tcPr>
            <w:tcW w:w="2570" w:type="dxa"/>
            <w:tcBorders>
              <w:tl2br w:val="nil"/>
              <w:tr2bl w:val="nil"/>
            </w:tcBorders>
            <w:vAlign w:val="center"/>
          </w:tcPr>
          <w:p>
            <w:pPr>
              <w:keepNext w:val="0"/>
              <w:keepLines w:val="0"/>
              <w:widowControl/>
              <w:suppressLineNumbers w:val="0"/>
              <w:jc w:val="left"/>
              <w:textAlignment w:val="center"/>
              <w:rPr>
                <w:rFonts w:hint="default" w:ascii="Times New Roman" w:hAnsi="Times New Roman" w:eastAsia="宋体" w:cs="Times New Roman"/>
                <w:i w:val="0"/>
                <w:iCs w:val="0"/>
                <w:color w:val="000000"/>
                <w:sz w:val="18"/>
                <w:szCs w:val="18"/>
                <w:u w:val="none"/>
              </w:rPr>
            </w:pPr>
            <w:r>
              <w:rPr>
                <w:rStyle w:val="8"/>
                <w:lang w:val="en-US" w:eastAsia="zh-CN"/>
              </w:rPr>
              <w:t>部门（单位）依据整体绩效目标所设定的绩效指标是否清晰、细化、可衡量，用以反映和考核部门整体绩效目标的明细化情况。</w:t>
            </w:r>
          </w:p>
        </w:tc>
        <w:tc>
          <w:tcPr>
            <w:tcW w:w="5112" w:type="dxa"/>
            <w:tcBorders>
              <w:tl2br w:val="nil"/>
              <w:tr2bl w:val="nil"/>
            </w:tcBorders>
            <w:vAlign w:val="center"/>
          </w:tcPr>
          <w:p>
            <w:pPr>
              <w:keepNext w:val="0"/>
              <w:keepLines w:val="0"/>
              <w:widowControl/>
              <w:suppressLineNumbers w:val="0"/>
              <w:jc w:val="left"/>
              <w:textAlignment w:val="center"/>
              <w:rPr>
                <w:rStyle w:val="8"/>
                <w:lang w:val="en-US" w:eastAsia="zh-CN"/>
              </w:rPr>
            </w:pPr>
          </w:p>
          <w:p>
            <w:pPr>
              <w:keepNext w:val="0"/>
              <w:keepLines w:val="0"/>
              <w:widowControl/>
              <w:suppressLineNumbers w:val="0"/>
              <w:jc w:val="left"/>
              <w:textAlignment w:val="center"/>
              <w:rPr>
                <w:rStyle w:val="8"/>
                <w:lang w:val="en-US" w:eastAsia="zh-CN"/>
              </w:rPr>
            </w:pPr>
            <w:r>
              <w:rPr>
                <w:rStyle w:val="8"/>
                <w:lang w:val="en-US" w:eastAsia="zh-CN"/>
              </w:rPr>
              <w:t>①有目标，计</w:t>
            </w:r>
            <w:r>
              <w:rPr>
                <w:rStyle w:val="9"/>
                <w:rFonts w:eastAsia="宋体"/>
                <w:lang w:val="en-US" w:eastAsia="zh-CN"/>
              </w:rPr>
              <w:t>1</w:t>
            </w:r>
            <w:r>
              <w:rPr>
                <w:rStyle w:val="8"/>
                <w:lang w:val="en-US" w:eastAsia="zh-CN"/>
              </w:rPr>
              <w:t>分，否则不得分；</w:t>
            </w:r>
          </w:p>
          <w:p>
            <w:pPr>
              <w:keepNext w:val="0"/>
              <w:keepLines w:val="0"/>
              <w:widowControl/>
              <w:suppressLineNumbers w:val="0"/>
              <w:jc w:val="left"/>
              <w:textAlignment w:val="center"/>
              <w:rPr>
                <w:rStyle w:val="8"/>
                <w:lang w:val="en-US" w:eastAsia="zh-CN"/>
              </w:rPr>
            </w:pPr>
            <w:r>
              <w:rPr>
                <w:rStyle w:val="8"/>
                <w:lang w:val="en-US" w:eastAsia="zh-CN"/>
              </w:rPr>
              <w:t>②目标明确，细化量化良好，个性指标中量化指标超过</w:t>
            </w:r>
            <w:r>
              <w:rPr>
                <w:rStyle w:val="9"/>
                <w:rFonts w:eastAsia="宋体"/>
                <w:lang w:val="en-US" w:eastAsia="zh-CN"/>
              </w:rPr>
              <w:t>3</w:t>
            </w:r>
            <w:r>
              <w:rPr>
                <w:rStyle w:val="8"/>
                <w:lang w:val="en-US" w:eastAsia="zh-CN"/>
              </w:rPr>
              <w:t>个，计</w:t>
            </w:r>
            <w:r>
              <w:rPr>
                <w:rStyle w:val="9"/>
                <w:rFonts w:eastAsia="宋体"/>
                <w:lang w:val="en-US" w:eastAsia="zh-CN"/>
              </w:rPr>
              <w:t>1</w:t>
            </w:r>
            <w:r>
              <w:rPr>
                <w:rStyle w:val="8"/>
                <w:lang w:val="en-US" w:eastAsia="zh-CN"/>
              </w:rPr>
              <w:t>分，量化指标为</w:t>
            </w:r>
            <w:r>
              <w:rPr>
                <w:rStyle w:val="9"/>
                <w:rFonts w:eastAsia="宋体"/>
                <w:lang w:val="en-US" w:eastAsia="zh-CN"/>
              </w:rPr>
              <w:t>2</w:t>
            </w:r>
            <w:r>
              <w:rPr>
                <w:rStyle w:val="8"/>
                <w:lang w:val="en-US" w:eastAsia="zh-CN"/>
              </w:rPr>
              <w:t>个，计</w:t>
            </w:r>
            <w:r>
              <w:rPr>
                <w:rStyle w:val="9"/>
                <w:rFonts w:eastAsia="宋体"/>
                <w:lang w:val="en-US" w:eastAsia="zh-CN"/>
              </w:rPr>
              <w:t>0.5</w:t>
            </w:r>
            <w:r>
              <w:rPr>
                <w:rStyle w:val="8"/>
                <w:lang w:val="en-US" w:eastAsia="zh-CN"/>
              </w:rPr>
              <w:t>分，</w:t>
            </w:r>
            <w:r>
              <w:rPr>
                <w:rStyle w:val="9"/>
                <w:rFonts w:eastAsia="宋体"/>
                <w:lang w:val="en-US" w:eastAsia="zh-CN"/>
              </w:rPr>
              <w:t>2</w:t>
            </w:r>
            <w:r>
              <w:rPr>
                <w:rStyle w:val="8"/>
                <w:lang w:val="en-US" w:eastAsia="zh-CN"/>
              </w:rPr>
              <w:t>个以下不得分；</w:t>
            </w:r>
          </w:p>
          <w:p>
            <w:pPr>
              <w:keepNext w:val="0"/>
              <w:keepLines w:val="0"/>
              <w:widowControl/>
              <w:suppressLineNumbers w:val="0"/>
              <w:jc w:val="left"/>
              <w:textAlignment w:val="center"/>
              <w:rPr>
                <w:rStyle w:val="8"/>
                <w:lang w:val="en-US" w:eastAsia="zh-CN"/>
              </w:rPr>
            </w:pPr>
            <w:r>
              <w:rPr>
                <w:rStyle w:val="8"/>
                <w:lang w:val="en-US" w:eastAsia="zh-CN"/>
              </w:rPr>
              <w:t>③与年度任务数或计划数相对应，计</w:t>
            </w:r>
            <w:r>
              <w:rPr>
                <w:rStyle w:val="9"/>
                <w:rFonts w:eastAsia="宋体"/>
                <w:lang w:val="en-US" w:eastAsia="zh-CN"/>
              </w:rPr>
              <w:t>1</w:t>
            </w:r>
            <w:r>
              <w:rPr>
                <w:rStyle w:val="8"/>
                <w:lang w:val="en-US" w:eastAsia="zh-CN"/>
              </w:rPr>
              <w:t>分，大于</w:t>
            </w:r>
            <w:r>
              <w:rPr>
                <w:rStyle w:val="9"/>
                <w:rFonts w:eastAsia="宋体"/>
                <w:lang w:val="en-US" w:eastAsia="zh-CN"/>
              </w:rPr>
              <w:t>50%</w:t>
            </w:r>
            <w:r>
              <w:rPr>
                <w:rStyle w:val="8"/>
                <w:lang w:val="en-US" w:eastAsia="zh-CN"/>
              </w:rPr>
              <w:t>计</w:t>
            </w:r>
            <w:r>
              <w:rPr>
                <w:rStyle w:val="9"/>
                <w:rFonts w:eastAsia="宋体"/>
                <w:lang w:val="en-US" w:eastAsia="zh-CN"/>
              </w:rPr>
              <w:t>0.5</w:t>
            </w:r>
            <w:r>
              <w:rPr>
                <w:rStyle w:val="8"/>
                <w:lang w:val="en-US" w:eastAsia="zh-CN"/>
              </w:rPr>
              <w:t>分，对应低于</w:t>
            </w:r>
            <w:r>
              <w:rPr>
                <w:rStyle w:val="9"/>
                <w:rFonts w:eastAsia="宋体"/>
                <w:lang w:val="en-US" w:eastAsia="zh-CN"/>
              </w:rPr>
              <w:t>50%</w:t>
            </w:r>
            <w:r>
              <w:rPr>
                <w:rStyle w:val="8"/>
                <w:lang w:val="en-US" w:eastAsia="zh-CN"/>
              </w:rPr>
              <w:t>不计分；</w:t>
            </w:r>
          </w:p>
          <w:p>
            <w:pPr>
              <w:keepNext w:val="0"/>
              <w:keepLines w:val="0"/>
              <w:widowControl/>
              <w:suppressLineNumbers w:val="0"/>
              <w:jc w:val="left"/>
              <w:textAlignment w:val="center"/>
              <w:rPr>
                <w:rFonts w:hint="default" w:ascii="Times New Roman" w:hAnsi="Times New Roman" w:eastAsia="宋体" w:cs="Times New Roman"/>
                <w:i w:val="0"/>
                <w:iCs w:val="0"/>
                <w:color w:val="000000"/>
                <w:sz w:val="18"/>
                <w:szCs w:val="18"/>
                <w:u w:val="none"/>
              </w:rPr>
            </w:pPr>
            <w:r>
              <w:rPr>
                <w:rStyle w:val="8"/>
                <w:lang w:val="en-US" w:eastAsia="zh-CN"/>
              </w:rPr>
              <w:t>④目标与资金匹配良好，逻辑关系明确，计</w:t>
            </w:r>
            <w:r>
              <w:rPr>
                <w:rStyle w:val="9"/>
                <w:rFonts w:eastAsia="宋体"/>
                <w:lang w:val="en-US" w:eastAsia="zh-CN"/>
              </w:rPr>
              <w:t>1</w:t>
            </w:r>
            <w:r>
              <w:rPr>
                <w:rStyle w:val="8"/>
                <w:lang w:val="en-US" w:eastAsia="zh-CN"/>
              </w:rPr>
              <w:t>分，否则不得分。</w:t>
            </w:r>
          </w:p>
        </w:tc>
        <w:tc>
          <w:tcPr>
            <w:tcW w:w="2115" w:type="dxa"/>
            <w:tcBorders>
              <w:tl2br w:val="nil"/>
              <w:tr2bl w:val="nil"/>
            </w:tcBorders>
            <w:vAlign w:val="center"/>
          </w:tcPr>
          <w:p>
            <w:pPr>
              <w:keepNext w:val="0"/>
              <w:keepLines w:val="0"/>
              <w:widowControl/>
              <w:suppressLineNumbers w:val="0"/>
              <w:jc w:val="left"/>
              <w:textAlignment w:val="center"/>
              <w:rPr>
                <w:rFonts w:hint="default" w:ascii="Times New Roman" w:hAnsi="Times New Roman" w:eastAsia="宋体" w:cs="Times New Roman"/>
                <w:i w:val="0"/>
                <w:iCs w:val="0"/>
                <w:color w:val="000000"/>
                <w:sz w:val="18"/>
                <w:szCs w:val="18"/>
                <w:u w:val="none"/>
              </w:rPr>
            </w:pPr>
            <w:r>
              <w:rPr>
                <w:rStyle w:val="8"/>
                <w:lang w:val="en-US" w:eastAsia="zh-CN"/>
              </w:rPr>
              <w:t>绩效目标申报表；年度任务数或计划数；预算批复等。</w:t>
            </w:r>
          </w:p>
        </w:tc>
        <w:tc>
          <w:tcPr>
            <w:tcW w:w="586" w:type="dxa"/>
            <w:tcBorders>
              <w:tl2br w:val="nil"/>
              <w:tr2bl w:val="nil"/>
            </w:tcBorders>
            <w:vAlign w:val="center"/>
          </w:tcPr>
          <w:p>
            <w:pPr>
              <w:jc w:val="left"/>
              <w:rPr>
                <w:rFonts w:hint="eastAsia" w:ascii="Times New Roman" w:hAnsi="Times New Roman" w:eastAsia="宋体" w:cs="Times New Roman"/>
                <w:i w:val="0"/>
                <w:iCs w:val="0"/>
                <w:color w:val="000000"/>
                <w:sz w:val="18"/>
                <w:szCs w:val="18"/>
                <w:u w:val="none"/>
                <w:lang w:val="en-US" w:eastAsia="zh-CN"/>
              </w:rPr>
            </w:pPr>
            <w:r>
              <w:rPr>
                <w:rFonts w:hint="eastAsia" w:ascii="Times New Roman" w:hAnsi="Times New Roman" w:cs="Times New Roman"/>
                <w:i w:val="0"/>
                <w:iCs w:val="0"/>
                <w:color w:val="000000"/>
                <w:sz w:val="18"/>
                <w:szCs w:val="18"/>
                <w:u w:val="none"/>
                <w:lang w:val="en-US" w:eastAsia="zh-CN"/>
              </w:rPr>
              <w:t>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680" w:hRule="atLeast"/>
          <w:jc w:val="center"/>
        </w:trPr>
        <w:tc>
          <w:tcPr>
            <w:tcW w:w="873" w:type="dxa"/>
            <w:vMerge w:val="continue"/>
            <w:tcBorders>
              <w:tl2br w:val="nil"/>
              <w:tr2bl w:val="nil"/>
            </w:tcBorders>
            <w:vAlign w:val="center"/>
          </w:tcPr>
          <w:p>
            <w:pPr>
              <w:jc w:val="center"/>
              <w:rPr>
                <w:rFonts w:hint="eastAsia" w:ascii="宋体" w:hAnsi="宋体" w:eastAsia="宋体" w:cs="宋体"/>
                <w:i w:val="0"/>
                <w:iCs w:val="0"/>
                <w:color w:val="000000"/>
                <w:sz w:val="18"/>
                <w:szCs w:val="18"/>
                <w:u w:val="none"/>
              </w:rPr>
            </w:pPr>
          </w:p>
        </w:tc>
        <w:tc>
          <w:tcPr>
            <w:tcW w:w="870" w:type="dxa"/>
            <w:vMerge w:val="restart"/>
            <w:tcBorders>
              <w:tl2br w:val="nil"/>
              <w:tr2bl w:val="nil"/>
            </w:tcBorders>
            <w:vAlign w:val="center"/>
          </w:tcPr>
          <w:p>
            <w:pPr>
              <w:keepNext w:val="0"/>
              <w:keepLines w:val="0"/>
              <w:widowControl/>
              <w:suppressLineNumbers w:val="0"/>
              <w:jc w:val="center"/>
              <w:textAlignment w:val="center"/>
              <w:rPr>
                <w:rStyle w:val="8"/>
                <w:lang w:val="en-US" w:eastAsia="zh-CN"/>
              </w:rPr>
            </w:pPr>
            <w:r>
              <w:rPr>
                <w:rStyle w:val="8"/>
                <w:lang w:val="en-US" w:eastAsia="zh-CN"/>
              </w:rPr>
              <w:t>预算</w:t>
            </w:r>
          </w:p>
          <w:p>
            <w:pPr>
              <w:keepNext w:val="0"/>
              <w:keepLines w:val="0"/>
              <w:widowControl/>
              <w:suppressLineNumbers w:val="0"/>
              <w:jc w:val="center"/>
              <w:textAlignment w:val="center"/>
              <w:rPr>
                <w:rStyle w:val="8"/>
                <w:lang w:val="en-US" w:eastAsia="zh-CN"/>
              </w:rPr>
            </w:pPr>
            <w:r>
              <w:rPr>
                <w:rStyle w:val="8"/>
                <w:lang w:val="en-US" w:eastAsia="zh-CN"/>
              </w:rPr>
              <w:t>配置</w:t>
            </w:r>
          </w:p>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Style w:val="8"/>
                <w:lang w:val="en-US" w:eastAsia="zh-CN"/>
              </w:rPr>
              <w:t>（</w:t>
            </w:r>
            <w:r>
              <w:rPr>
                <w:rStyle w:val="9"/>
                <w:rFonts w:eastAsia="宋体"/>
                <w:lang w:val="en-US" w:eastAsia="zh-CN"/>
              </w:rPr>
              <w:t>7</w:t>
            </w:r>
            <w:r>
              <w:rPr>
                <w:rStyle w:val="8"/>
                <w:lang w:val="en-US" w:eastAsia="zh-CN"/>
              </w:rPr>
              <w:t>分）</w:t>
            </w:r>
          </w:p>
        </w:tc>
        <w:tc>
          <w:tcPr>
            <w:tcW w:w="1050" w:type="dxa"/>
            <w:tcBorders>
              <w:tl2br w:val="nil"/>
              <w:tr2bl w:val="nil"/>
            </w:tcBorders>
            <w:vAlign w:val="center"/>
          </w:tcPr>
          <w:p>
            <w:pPr>
              <w:keepNext w:val="0"/>
              <w:keepLines w:val="0"/>
              <w:widowControl/>
              <w:suppressLineNumbers w:val="0"/>
              <w:jc w:val="center"/>
              <w:textAlignment w:val="center"/>
              <w:rPr>
                <w:rStyle w:val="8"/>
                <w:lang w:val="en-US" w:eastAsia="zh-CN"/>
              </w:rPr>
            </w:pPr>
            <w:r>
              <w:rPr>
                <w:rStyle w:val="8"/>
                <w:lang w:val="en-US" w:eastAsia="zh-CN"/>
              </w:rPr>
              <w:t>人员</w:t>
            </w:r>
          </w:p>
          <w:p>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Style w:val="8"/>
                <w:lang w:val="en-US" w:eastAsia="zh-CN"/>
              </w:rPr>
              <w:t>控制率</w:t>
            </w:r>
          </w:p>
        </w:tc>
        <w:tc>
          <w:tcPr>
            <w:tcW w:w="495" w:type="dxa"/>
            <w:tcBorders>
              <w:tl2br w:val="nil"/>
              <w:tr2bl w:val="nil"/>
            </w:tcBorders>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rPr>
              <w:t>2</w:t>
            </w:r>
          </w:p>
        </w:tc>
        <w:tc>
          <w:tcPr>
            <w:tcW w:w="2570" w:type="dxa"/>
            <w:tcBorders>
              <w:tl2br w:val="nil"/>
              <w:tr2bl w:val="nil"/>
            </w:tcBorders>
            <w:vAlign w:val="center"/>
          </w:tcPr>
          <w:p>
            <w:pPr>
              <w:keepNext w:val="0"/>
              <w:keepLines w:val="0"/>
              <w:widowControl/>
              <w:suppressLineNumbers w:val="0"/>
              <w:jc w:val="left"/>
              <w:textAlignment w:val="center"/>
              <w:rPr>
                <w:rFonts w:hint="default" w:ascii="Times New Roman" w:hAnsi="Times New Roman" w:eastAsia="宋体" w:cs="Times New Roman"/>
                <w:i w:val="0"/>
                <w:iCs w:val="0"/>
                <w:color w:val="000000"/>
                <w:sz w:val="18"/>
                <w:szCs w:val="18"/>
                <w:u w:val="none"/>
              </w:rPr>
            </w:pPr>
            <w:r>
              <w:rPr>
                <w:rStyle w:val="8"/>
                <w:lang w:val="en-US" w:eastAsia="zh-CN"/>
              </w:rPr>
              <w:t>部门（单位）本年度实际在职人员数与编制数的比率，用以反映和考核部门（单位）对人员成本的控制程度。</w:t>
            </w:r>
          </w:p>
        </w:tc>
        <w:tc>
          <w:tcPr>
            <w:tcW w:w="5112" w:type="dxa"/>
            <w:tcBorders>
              <w:tl2br w:val="nil"/>
              <w:tr2bl w:val="nil"/>
            </w:tcBorders>
            <w:vAlign w:val="center"/>
          </w:tcPr>
          <w:p>
            <w:pPr>
              <w:keepNext w:val="0"/>
              <w:keepLines w:val="0"/>
              <w:widowControl/>
              <w:suppressLineNumbers w:val="0"/>
              <w:jc w:val="left"/>
              <w:textAlignment w:val="center"/>
              <w:rPr>
                <w:rStyle w:val="8"/>
                <w:lang w:val="en-US" w:eastAsia="zh-CN"/>
              </w:rPr>
            </w:pPr>
          </w:p>
          <w:p>
            <w:pPr>
              <w:keepNext w:val="0"/>
              <w:keepLines w:val="0"/>
              <w:widowControl/>
              <w:suppressLineNumbers w:val="0"/>
              <w:jc w:val="left"/>
              <w:textAlignment w:val="center"/>
              <w:rPr>
                <w:rStyle w:val="8"/>
                <w:lang w:val="en-US" w:eastAsia="zh-CN"/>
              </w:rPr>
            </w:pPr>
            <w:r>
              <w:rPr>
                <w:rStyle w:val="8"/>
                <w:lang w:val="en-US" w:eastAsia="zh-CN"/>
              </w:rPr>
              <w:t>在职人员控制率</w:t>
            </w:r>
            <w:r>
              <w:rPr>
                <w:rStyle w:val="9"/>
                <w:rFonts w:eastAsia="宋体"/>
                <w:lang w:val="en-US" w:eastAsia="zh-CN"/>
              </w:rPr>
              <w:t>=</w:t>
            </w:r>
            <w:r>
              <w:rPr>
                <w:rStyle w:val="8"/>
                <w:lang w:val="en-US" w:eastAsia="zh-CN"/>
              </w:rPr>
              <w:t>（在职人员数</w:t>
            </w:r>
            <w:r>
              <w:rPr>
                <w:rStyle w:val="9"/>
                <w:rFonts w:eastAsia="宋体"/>
                <w:lang w:val="en-US" w:eastAsia="zh-CN"/>
              </w:rPr>
              <w:t>/</w:t>
            </w:r>
            <w:r>
              <w:rPr>
                <w:rStyle w:val="8"/>
                <w:lang w:val="en-US" w:eastAsia="zh-CN"/>
              </w:rPr>
              <w:t>编制数）</w:t>
            </w:r>
            <w:r>
              <w:rPr>
                <w:rStyle w:val="9"/>
                <w:rFonts w:eastAsia="宋体"/>
                <w:lang w:val="en-US" w:eastAsia="zh-CN"/>
              </w:rPr>
              <w:t>×100%</w:t>
            </w:r>
            <w:r>
              <w:rPr>
                <w:rStyle w:val="8"/>
                <w:lang w:val="en-US" w:eastAsia="zh-CN"/>
              </w:rPr>
              <w:t>。</w:t>
            </w:r>
          </w:p>
          <w:p>
            <w:pPr>
              <w:keepNext w:val="0"/>
              <w:keepLines w:val="0"/>
              <w:widowControl/>
              <w:suppressLineNumbers w:val="0"/>
              <w:jc w:val="left"/>
              <w:textAlignment w:val="center"/>
              <w:rPr>
                <w:rStyle w:val="8"/>
                <w:lang w:val="en-US" w:eastAsia="zh-CN"/>
              </w:rPr>
            </w:pPr>
            <w:r>
              <w:rPr>
                <w:rStyle w:val="8"/>
                <w:lang w:val="en-US" w:eastAsia="zh-CN"/>
              </w:rPr>
              <w:t>在职人员数：部门（单位）实际在职人数</w:t>
            </w:r>
            <w:r>
              <w:rPr>
                <w:rStyle w:val="9"/>
                <w:rFonts w:eastAsia="宋体"/>
                <w:lang w:val="en-US" w:eastAsia="zh-CN"/>
              </w:rPr>
              <w:t>,</w:t>
            </w:r>
            <w:r>
              <w:rPr>
                <w:rStyle w:val="8"/>
                <w:lang w:val="en-US" w:eastAsia="zh-CN"/>
              </w:rPr>
              <w:t>以财政部门确定的部门决算编制口径为准。</w:t>
            </w:r>
          </w:p>
          <w:p>
            <w:pPr>
              <w:keepNext w:val="0"/>
              <w:keepLines w:val="0"/>
              <w:widowControl/>
              <w:suppressLineNumbers w:val="0"/>
              <w:jc w:val="left"/>
              <w:textAlignment w:val="center"/>
              <w:rPr>
                <w:rStyle w:val="9"/>
                <w:rFonts w:eastAsia="宋体"/>
                <w:lang w:val="en-US" w:eastAsia="zh-CN"/>
              </w:rPr>
            </w:pPr>
            <w:r>
              <w:rPr>
                <w:rStyle w:val="8"/>
                <w:lang w:val="en-US" w:eastAsia="zh-CN"/>
              </w:rPr>
              <w:t>编制数：机构编制部门核定批复的部门（单位）人员编制数。</w:t>
            </w:r>
            <w:r>
              <w:rPr>
                <w:rStyle w:val="9"/>
                <w:rFonts w:eastAsia="宋体"/>
                <w:lang w:val="en-US" w:eastAsia="zh-CN"/>
              </w:rPr>
              <w:t xml:space="preserve">   </w:t>
            </w:r>
          </w:p>
          <w:p>
            <w:pPr>
              <w:keepNext w:val="0"/>
              <w:keepLines w:val="0"/>
              <w:widowControl/>
              <w:suppressLineNumbers w:val="0"/>
              <w:jc w:val="left"/>
              <w:textAlignment w:val="center"/>
              <w:rPr>
                <w:rFonts w:hint="default" w:ascii="Times New Roman" w:hAnsi="Times New Roman" w:eastAsia="宋体" w:cs="Times New Roman"/>
                <w:i w:val="0"/>
                <w:iCs w:val="0"/>
                <w:color w:val="000000"/>
                <w:sz w:val="18"/>
                <w:szCs w:val="18"/>
                <w:u w:val="none"/>
              </w:rPr>
            </w:pPr>
            <w:r>
              <w:rPr>
                <w:rStyle w:val="8"/>
                <w:lang w:val="en-US" w:eastAsia="zh-CN"/>
              </w:rPr>
              <w:t>在职人员控制率≦</w:t>
            </w:r>
            <w:r>
              <w:rPr>
                <w:rStyle w:val="9"/>
                <w:rFonts w:eastAsia="宋体"/>
                <w:lang w:val="en-US" w:eastAsia="zh-CN"/>
              </w:rPr>
              <w:t>100%</w:t>
            </w:r>
            <w:r>
              <w:rPr>
                <w:rStyle w:val="8"/>
                <w:lang w:val="en-US" w:eastAsia="zh-CN"/>
              </w:rPr>
              <w:t>计</w:t>
            </w:r>
            <w:r>
              <w:rPr>
                <w:rStyle w:val="9"/>
                <w:rFonts w:eastAsia="宋体"/>
                <w:lang w:val="en-US" w:eastAsia="zh-CN"/>
              </w:rPr>
              <w:t>2</w:t>
            </w:r>
            <w:r>
              <w:rPr>
                <w:rStyle w:val="8"/>
                <w:lang w:val="en-US" w:eastAsia="zh-CN"/>
              </w:rPr>
              <w:t>分，每超出</w:t>
            </w:r>
            <w:r>
              <w:rPr>
                <w:rStyle w:val="9"/>
                <w:rFonts w:eastAsia="宋体"/>
                <w:lang w:val="en-US" w:eastAsia="zh-CN"/>
              </w:rPr>
              <w:t>1%</w:t>
            </w:r>
            <w:r>
              <w:rPr>
                <w:rStyle w:val="8"/>
                <w:lang w:val="en-US" w:eastAsia="zh-CN"/>
              </w:rPr>
              <w:t>扣</w:t>
            </w:r>
            <w:r>
              <w:rPr>
                <w:rStyle w:val="9"/>
                <w:rFonts w:eastAsia="宋体"/>
                <w:lang w:val="en-US" w:eastAsia="zh-CN"/>
              </w:rPr>
              <w:t>0.2</w:t>
            </w:r>
            <w:r>
              <w:rPr>
                <w:rStyle w:val="8"/>
                <w:lang w:val="en-US" w:eastAsia="zh-CN"/>
              </w:rPr>
              <w:t>分，扣完为止。</w:t>
            </w:r>
          </w:p>
        </w:tc>
        <w:tc>
          <w:tcPr>
            <w:tcW w:w="2115" w:type="dxa"/>
            <w:tcBorders>
              <w:tl2br w:val="nil"/>
              <w:tr2bl w:val="nil"/>
            </w:tcBorders>
            <w:vAlign w:val="center"/>
          </w:tcPr>
          <w:p>
            <w:pPr>
              <w:keepNext w:val="0"/>
              <w:keepLines w:val="0"/>
              <w:widowControl/>
              <w:suppressLineNumbers w:val="0"/>
              <w:jc w:val="left"/>
              <w:textAlignment w:val="center"/>
              <w:rPr>
                <w:rFonts w:hint="default" w:ascii="Times New Roman" w:hAnsi="Times New Roman" w:eastAsia="宋体" w:cs="Times New Roman"/>
                <w:i w:val="0"/>
                <w:iCs w:val="0"/>
                <w:color w:val="000000"/>
                <w:sz w:val="18"/>
                <w:szCs w:val="18"/>
                <w:u w:val="none"/>
              </w:rPr>
            </w:pPr>
            <w:r>
              <w:rPr>
                <w:rStyle w:val="8"/>
                <w:lang w:val="en-US" w:eastAsia="zh-CN"/>
              </w:rPr>
              <w:t>部门（单位）决算报表；机构编制部门核定批复的部门（单位）的人员编制数。</w:t>
            </w:r>
          </w:p>
        </w:tc>
        <w:tc>
          <w:tcPr>
            <w:tcW w:w="586" w:type="dxa"/>
            <w:tcBorders>
              <w:tl2br w:val="nil"/>
              <w:tr2bl w:val="nil"/>
            </w:tcBorders>
            <w:vAlign w:val="center"/>
          </w:tcPr>
          <w:p>
            <w:pPr>
              <w:jc w:val="left"/>
              <w:rPr>
                <w:rFonts w:hint="eastAsia" w:ascii="Times New Roman" w:hAnsi="Times New Roman" w:eastAsia="宋体" w:cs="Times New Roman"/>
                <w:i w:val="0"/>
                <w:iCs w:val="0"/>
                <w:color w:val="000000"/>
                <w:sz w:val="18"/>
                <w:szCs w:val="18"/>
                <w:u w:val="none"/>
                <w:lang w:val="en-US" w:eastAsia="zh-CN"/>
              </w:rPr>
            </w:pPr>
            <w:r>
              <w:rPr>
                <w:rFonts w:hint="eastAsia" w:ascii="Times New Roman" w:hAnsi="Times New Roman" w:cs="Times New Roman"/>
                <w:i w:val="0"/>
                <w:iCs w:val="0"/>
                <w:color w:val="000000"/>
                <w:sz w:val="18"/>
                <w:szCs w:val="18"/>
                <w:u w:val="none"/>
                <w:lang w:val="en-US" w:eastAsia="zh-CN"/>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905" w:hRule="atLeast"/>
          <w:jc w:val="center"/>
        </w:trPr>
        <w:tc>
          <w:tcPr>
            <w:tcW w:w="873" w:type="dxa"/>
            <w:vMerge w:val="continue"/>
            <w:tcBorders>
              <w:tl2br w:val="nil"/>
              <w:tr2bl w:val="nil"/>
            </w:tcBorders>
            <w:vAlign w:val="center"/>
          </w:tcPr>
          <w:p>
            <w:pPr>
              <w:jc w:val="center"/>
              <w:rPr>
                <w:rFonts w:hint="eastAsia" w:ascii="宋体" w:hAnsi="宋体" w:eastAsia="宋体" w:cs="宋体"/>
                <w:i w:val="0"/>
                <w:iCs w:val="0"/>
                <w:color w:val="000000"/>
                <w:sz w:val="18"/>
                <w:szCs w:val="18"/>
                <w:u w:val="none"/>
              </w:rPr>
            </w:pPr>
          </w:p>
        </w:tc>
        <w:tc>
          <w:tcPr>
            <w:tcW w:w="870" w:type="dxa"/>
            <w:vMerge w:val="continue"/>
            <w:tcBorders>
              <w:tl2br w:val="nil"/>
              <w:tr2bl w:val="nil"/>
            </w:tcBorders>
            <w:vAlign w:val="center"/>
          </w:tcPr>
          <w:p>
            <w:pPr>
              <w:jc w:val="center"/>
              <w:rPr>
                <w:rFonts w:hint="eastAsia" w:ascii="宋体" w:hAnsi="宋体" w:eastAsia="宋体" w:cs="宋体"/>
                <w:i w:val="0"/>
                <w:iCs w:val="0"/>
                <w:color w:val="000000"/>
                <w:sz w:val="18"/>
                <w:szCs w:val="18"/>
                <w:u w:val="none"/>
              </w:rPr>
            </w:pPr>
          </w:p>
        </w:tc>
        <w:tc>
          <w:tcPr>
            <w:tcW w:w="1050" w:type="dxa"/>
            <w:tcBorders>
              <w:tl2br w:val="nil"/>
              <w:tr2bl w:val="nil"/>
            </w:tcBorders>
            <w:vAlign w:val="center"/>
          </w:tcPr>
          <w:p>
            <w:pPr>
              <w:keepNext w:val="0"/>
              <w:keepLines w:val="0"/>
              <w:widowControl/>
              <w:suppressLineNumbers w:val="0"/>
              <w:jc w:val="center"/>
              <w:textAlignment w:val="center"/>
              <w:rPr>
                <w:rStyle w:val="9"/>
                <w:rFonts w:eastAsia="宋体"/>
                <w:lang w:val="en-US" w:eastAsia="zh-CN"/>
              </w:rPr>
            </w:pPr>
            <w:r>
              <w:rPr>
                <w:rStyle w:val="9"/>
                <w:rFonts w:eastAsia="宋体"/>
                <w:lang w:val="en-US" w:eastAsia="zh-CN"/>
              </w:rPr>
              <w:t>“</w:t>
            </w:r>
            <w:r>
              <w:rPr>
                <w:rStyle w:val="8"/>
                <w:lang w:val="en-US" w:eastAsia="zh-CN"/>
              </w:rPr>
              <w:t>三公经费</w:t>
            </w:r>
            <w:r>
              <w:rPr>
                <w:rStyle w:val="9"/>
                <w:rFonts w:eastAsia="宋体"/>
                <w:lang w:val="en-US" w:eastAsia="zh-CN"/>
              </w:rPr>
              <w:t>”</w:t>
            </w:r>
          </w:p>
          <w:p>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Style w:val="8"/>
                <w:lang w:val="en-US" w:eastAsia="zh-CN"/>
              </w:rPr>
              <w:t>变动率</w:t>
            </w:r>
          </w:p>
        </w:tc>
        <w:tc>
          <w:tcPr>
            <w:tcW w:w="495" w:type="dxa"/>
            <w:tcBorders>
              <w:tl2br w:val="nil"/>
              <w:tr2bl w:val="nil"/>
            </w:tcBorders>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rPr>
              <w:t>2</w:t>
            </w:r>
          </w:p>
        </w:tc>
        <w:tc>
          <w:tcPr>
            <w:tcW w:w="2570" w:type="dxa"/>
            <w:tcBorders>
              <w:tl2br w:val="nil"/>
              <w:tr2bl w:val="nil"/>
            </w:tcBorders>
            <w:vAlign w:val="center"/>
          </w:tcPr>
          <w:p>
            <w:pPr>
              <w:keepNext w:val="0"/>
              <w:keepLines w:val="0"/>
              <w:widowControl/>
              <w:suppressLineNumbers w:val="0"/>
              <w:jc w:val="left"/>
              <w:textAlignment w:val="center"/>
              <w:rPr>
                <w:rFonts w:hint="default" w:ascii="Times New Roman" w:hAnsi="Times New Roman" w:eastAsia="宋体" w:cs="Times New Roman"/>
                <w:i w:val="0"/>
                <w:iCs w:val="0"/>
                <w:color w:val="000000"/>
                <w:sz w:val="18"/>
                <w:szCs w:val="18"/>
                <w:u w:val="none"/>
              </w:rPr>
            </w:pPr>
            <w:r>
              <w:rPr>
                <w:rStyle w:val="8"/>
                <w:lang w:val="en-US" w:eastAsia="zh-CN"/>
              </w:rPr>
              <w:t>部门本年度</w:t>
            </w:r>
            <w:r>
              <w:rPr>
                <w:rStyle w:val="9"/>
                <w:rFonts w:eastAsia="宋体"/>
                <w:lang w:val="en-US" w:eastAsia="zh-CN"/>
              </w:rPr>
              <w:t>“</w:t>
            </w:r>
            <w:r>
              <w:rPr>
                <w:rStyle w:val="8"/>
                <w:lang w:val="en-US" w:eastAsia="zh-CN"/>
              </w:rPr>
              <w:t>三公经费</w:t>
            </w:r>
            <w:r>
              <w:rPr>
                <w:rStyle w:val="9"/>
                <w:rFonts w:eastAsia="宋体"/>
                <w:lang w:val="en-US" w:eastAsia="zh-CN"/>
              </w:rPr>
              <w:t>”</w:t>
            </w:r>
            <w:r>
              <w:rPr>
                <w:rStyle w:val="8"/>
                <w:lang w:val="en-US" w:eastAsia="zh-CN"/>
              </w:rPr>
              <w:t>预算数与上年度</w:t>
            </w:r>
            <w:r>
              <w:rPr>
                <w:rStyle w:val="9"/>
                <w:rFonts w:eastAsia="宋体"/>
                <w:lang w:val="en-US" w:eastAsia="zh-CN"/>
              </w:rPr>
              <w:t>“</w:t>
            </w:r>
            <w:r>
              <w:rPr>
                <w:rStyle w:val="8"/>
                <w:lang w:val="en-US" w:eastAsia="zh-CN"/>
              </w:rPr>
              <w:t>三公经费</w:t>
            </w:r>
            <w:r>
              <w:rPr>
                <w:rStyle w:val="9"/>
                <w:rFonts w:eastAsia="宋体"/>
                <w:lang w:val="en-US" w:eastAsia="zh-CN"/>
              </w:rPr>
              <w:t>”</w:t>
            </w:r>
            <w:r>
              <w:rPr>
                <w:rStyle w:val="8"/>
                <w:lang w:val="en-US" w:eastAsia="zh-CN"/>
              </w:rPr>
              <w:t>预算数的变动比率，用以反映和考核部门对控制重点行政成本的努力程度。</w:t>
            </w:r>
          </w:p>
        </w:tc>
        <w:tc>
          <w:tcPr>
            <w:tcW w:w="5112" w:type="dxa"/>
            <w:tcBorders>
              <w:tl2br w:val="nil"/>
              <w:tr2bl w:val="nil"/>
            </w:tcBorders>
            <w:vAlign w:val="center"/>
          </w:tcPr>
          <w:p>
            <w:pPr>
              <w:keepNext w:val="0"/>
              <w:keepLines w:val="0"/>
              <w:widowControl/>
              <w:suppressLineNumbers w:val="0"/>
              <w:jc w:val="left"/>
              <w:textAlignment w:val="center"/>
              <w:rPr>
                <w:rStyle w:val="9"/>
                <w:rFonts w:eastAsia="宋体"/>
                <w:lang w:val="en-US" w:eastAsia="zh-CN"/>
              </w:rPr>
            </w:pPr>
          </w:p>
          <w:p>
            <w:pPr>
              <w:keepNext w:val="0"/>
              <w:keepLines w:val="0"/>
              <w:widowControl/>
              <w:suppressLineNumbers w:val="0"/>
              <w:jc w:val="left"/>
              <w:textAlignment w:val="center"/>
              <w:rPr>
                <w:rStyle w:val="8"/>
                <w:lang w:val="en-US" w:eastAsia="zh-CN"/>
              </w:rPr>
            </w:pPr>
            <w:r>
              <w:rPr>
                <w:rStyle w:val="9"/>
                <w:rFonts w:eastAsia="宋体"/>
                <w:lang w:val="en-US" w:eastAsia="zh-CN"/>
              </w:rPr>
              <w:t>“</w:t>
            </w:r>
            <w:r>
              <w:rPr>
                <w:rStyle w:val="8"/>
                <w:lang w:val="en-US" w:eastAsia="zh-CN"/>
              </w:rPr>
              <w:t>三公经费</w:t>
            </w:r>
            <w:r>
              <w:rPr>
                <w:rStyle w:val="9"/>
                <w:rFonts w:eastAsia="宋体"/>
                <w:lang w:val="en-US" w:eastAsia="zh-CN"/>
              </w:rPr>
              <w:t>”</w:t>
            </w:r>
            <w:r>
              <w:rPr>
                <w:rStyle w:val="8"/>
                <w:lang w:val="en-US" w:eastAsia="zh-CN"/>
              </w:rPr>
              <w:t>变动率</w:t>
            </w:r>
            <w:r>
              <w:rPr>
                <w:rStyle w:val="9"/>
                <w:rFonts w:eastAsia="宋体"/>
                <w:lang w:val="en-US" w:eastAsia="zh-CN"/>
              </w:rPr>
              <w:t>=[</w:t>
            </w:r>
            <w:r>
              <w:rPr>
                <w:rStyle w:val="8"/>
                <w:lang w:val="en-US" w:eastAsia="zh-CN"/>
              </w:rPr>
              <w:t>（本年度</w:t>
            </w:r>
            <w:r>
              <w:rPr>
                <w:rStyle w:val="9"/>
                <w:rFonts w:eastAsia="宋体"/>
                <w:lang w:val="en-US" w:eastAsia="zh-CN"/>
              </w:rPr>
              <w:t>“</w:t>
            </w:r>
            <w:r>
              <w:rPr>
                <w:rStyle w:val="8"/>
                <w:lang w:val="en-US" w:eastAsia="zh-CN"/>
              </w:rPr>
              <w:t>三公经费</w:t>
            </w:r>
            <w:r>
              <w:rPr>
                <w:rStyle w:val="9"/>
                <w:rFonts w:eastAsia="宋体"/>
                <w:lang w:val="en-US" w:eastAsia="zh-CN"/>
              </w:rPr>
              <w:t>”</w:t>
            </w:r>
            <w:r>
              <w:rPr>
                <w:rStyle w:val="8"/>
                <w:lang w:val="en-US" w:eastAsia="zh-CN"/>
              </w:rPr>
              <w:t>总额</w:t>
            </w:r>
            <w:r>
              <w:rPr>
                <w:rStyle w:val="9"/>
                <w:rFonts w:eastAsia="宋体"/>
                <w:lang w:val="en-US" w:eastAsia="zh-CN"/>
              </w:rPr>
              <w:t>-</w:t>
            </w:r>
            <w:r>
              <w:rPr>
                <w:rStyle w:val="8"/>
                <w:lang w:val="en-US" w:eastAsia="zh-CN"/>
              </w:rPr>
              <w:t>上年度</w:t>
            </w:r>
            <w:r>
              <w:rPr>
                <w:rStyle w:val="9"/>
                <w:rFonts w:eastAsia="宋体"/>
                <w:lang w:val="en-US" w:eastAsia="zh-CN"/>
              </w:rPr>
              <w:t>“</w:t>
            </w:r>
            <w:r>
              <w:rPr>
                <w:rStyle w:val="8"/>
                <w:lang w:val="en-US" w:eastAsia="zh-CN"/>
              </w:rPr>
              <w:t>三公经费</w:t>
            </w:r>
            <w:r>
              <w:rPr>
                <w:rStyle w:val="9"/>
                <w:rFonts w:eastAsia="宋体"/>
                <w:lang w:val="en-US" w:eastAsia="zh-CN"/>
              </w:rPr>
              <w:t>”</w:t>
            </w:r>
            <w:r>
              <w:rPr>
                <w:rStyle w:val="8"/>
                <w:lang w:val="en-US" w:eastAsia="zh-CN"/>
              </w:rPr>
              <w:t>总额）</w:t>
            </w:r>
            <w:r>
              <w:rPr>
                <w:rStyle w:val="9"/>
                <w:rFonts w:eastAsia="宋体"/>
                <w:lang w:val="en-US" w:eastAsia="zh-CN"/>
              </w:rPr>
              <w:t>/</w:t>
            </w:r>
            <w:r>
              <w:rPr>
                <w:rStyle w:val="8"/>
                <w:lang w:val="en-US" w:eastAsia="zh-CN"/>
              </w:rPr>
              <w:t>上年度</w:t>
            </w:r>
            <w:r>
              <w:rPr>
                <w:rStyle w:val="9"/>
                <w:rFonts w:eastAsia="宋体"/>
                <w:lang w:val="en-US" w:eastAsia="zh-CN"/>
              </w:rPr>
              <w:t>“</w:t>
            </w:r>
            <w:r>
              <w:rPr>
                <w:rStyle w:val="8"/>
                <w:lang w:val="en-US" w:eastAsia="zh-CN"/>
              </w:rPr>
              <w:t>三公经费</w:t>
            </w:r>
            <w:r>
              <w:rPr>
                <w:rStyle w:val="9"/>
                <w:rFonts w:eastAsia="宋体"/>
                <w:lang w:val="en-US" w:eastAsia="zh-CN"/>
              </w:rPr>
              <w:t>”</w:t>
            </w:r>
            <w:r>
              <w:rPr>
                <w:rStyle w:val="8"/>
                <w:lang w:val="en-US" w:eastAsia="zh-CN"/>
              </w:rPr>
              <w:t>总额</w:t>
            </w:r>
            <w:r>
              <w:rPr>
                <w:rStyle w:val="9"/>
                <w:rFonts w:eastAsia="宋体"/>
                <w:lang w:val="en-US" w:eastAsia="zh-CN"/>
              </w:rPr>
              <w:t>]×100%</w:t>
            </w:r>
            <w:r>
              <w:rPr>
                <w:rStyle w:val="8"/>
                <w:lang w:val="en-US" w:eastAsia="zh-CN"/>
              </w:rPr>
              <w:t>。</w:t>
            </w:r>
            <w:r>
              <w:rPr>
                <w:rStyle w:val="9"/>
                <w:rFonts w:eastAsia="宋体"/>
                <w:lang w:val="en-US" w:eastAsia="zh-CN"/>
              </w:rPr>
              <w:t>“</w:t>
            </w:r>
            <w:r>
              <w:rPr>
                <w:rStyle w:val="8"/>
                <w:lang w:val="en-US" w:eastAsia="zh-CN"/>
              </w:rPr>
              <w:t>三公经费</w:t>
            </w:r>
            <w:r>
              <w:rPr>
                <w:rStyle w:val="9"/>
                <w:rFonts w:eastAsia="宋体"/>
                <w:lang w:val="en-US" w:eastAsia="zh-CN"/>
              </w:rPr>
              <w:t>”</w:t>
            </w:r>
            <w:r>
              <w:rPr>
                <w:rStyle w:val="8"/>
                <w:lang w:val="en-US" w:eastAsia="zh-CN"/>
              </w:rPr>
              <w:t>：年度预算安排的因公出国（境）费、公务车辆购置及运行费和公务招待费。</w:t>
            </w:r>
          </w:p>
          <w:p>
            <w:pPr>
              <w:keepNext w:val="0"/>
              <w:keepLines w:val="0"/>
              <w:widowControl/>
              <w:suppressLineNumbers w:val="0"/>
              <w:jc w:val="left"/>
              <w:textAlignment w:val="center"/>
              <w:rPr>
                <w:rFonts w:hint="default" w:ascii="Times New Roman" w:hAnsi="Times New Roman" w:eastAsia="宋体" w:cs="Times New Roman"/>
                <w:i w:val="0"/>
                <w:iCs w:val="0"/>
                <w:color w:val="000000"/>
                <w:sz w:val="18"/>
                <w:szCs w:val="18"/>
                <w:u w:val="none"/>
              </w:rPr>
            </w:pPr>
            <w:r>
              <w:rPr>
                <w:rStyle w:val="8"/>
                <w:lang w:val="en-US" w:eastAsia="zh-CN"/>
              </w:rPr>
              <w:t>该项得分，变动率为负数，计</w:t>
            </w:r>
            <w:r>
              <w:rPr>
                <w:rStyle w:val="9"/>
                <w:rFonts w:eastAsia="宋体"/>
                <w:lang w:val="en-US" w:eastAsia="zh-CN"/>
              </w:rPr>
              <w:t>2</w:t>
            </w:r>
            <w:r>
              <w:rPr>
                <w:rStyle w:val="8"/>
                <w:lang w:val="en-US" w:eastAsia="zh-CN"/>
              </w:rPr>
              <w:t>分，变动率为正数，计</w:t>
            </w:r>
            <w:r>
              <w:rPr>
                <w:rStyle w:val="9"/>
                <w:rFonts w:eastAsia="宋体"/>
                <w:lang w:val="en-US" w:eastAsia="zh-CN"/>
              </w:rPr>
              <w:t>0</w:t>
            </w:r>
            <w:r>
              <w:rPr>
                <w:rStyle w:val="8"/>
                <w:lang w:val="en-US" w:eastAsia="zh-CN"/>
              </w:rPr>
              <w:t>分。年度内</w:t>
            </w:r>
            <w:r>
              <w:rPr>
                <w:rStyle w:val="9"/>
                <w:rFonts w:eastAsia="宋体"/>
                <w:lang w:val="en-US" w:eastAsia="zh-CN"/>
              </w:rPr>
              <w:t>“</w:t>
            </w:r>
            <w:r>
              <w:rPr>
                <w:rStyle w:val="8"/>
                <w:lang w:val="en-US" w:eastAsia="zh-CN"/>
              </w:rPr>
              <w:t>三公经费</w:t>
            </w:r>
            <w:r>
              <w:rPr>
                <w:rStyle w:val="9"/>
                <w:rFonts w:eastAsia="宋体"/>
                <w:lang w:val="en-US" w:eastAsia="zh-CN"/>
              </w:rPr>
              <w:t>”</w:t>
            </w:r>
            <w:r>
              <w:rPr>
                <w:rStyle w:val="8"/>
                <w:lang w:val="en-US" w:eastAsia="zh-CN"/>
              </w:rPr>
              <w:t>完成数超过预算数，则该项计</w:t>
            </w:r>
            <w:r>
              <w:rPr>
                <w:rStyle w:val="9"/>
                <w:rFonts w:eastAsia="宋体"/>
                <w:lang w:val="en-US" w:eastAsia="zh-CN"/>
              </w:rPr>
              <w:t>0</w:t>
            </w:r>
            <w:r>
              <w:rPr>
                <w:rStyle w:val="8"/>
                <w:lang w:val="en-US" w:eastAsia="zh-CN"/>
              </w:rPr>
              <w:t>分。</w:t>
            </w:r>
          </w:p>
        </w:tc>
        <w:tc>
          <w:tcPr>
            <w:tcW w:w="2115" w:type="dxa"/>
            <w:tcBorders>
              <w:tl2br w:val="nil"/>
              <w:tr2bl w:val="nil"/>
            </w:tcBorders>
            <w:vAlign w:val="center"/>
          </w:tcPr>
          <w:p>
            <w:pPr>
              <w:keepNext w:val="0"/>
              <w:keepLines w:val="0"/>
              <w:widowControl/>
              <w:suppressLineNumbers w:val="0"/>
              <w:jc w:val="left"/>
              <w:textAlignment w:val="center"/>
              <w:rPr>
                <w:rFonts w:hint="default" w:ascii="Times New Roman" w:hAnsi="Times New Roman" w:eastAsia="宋体" w:cs="Times New Roman"/>
                <w:i w:val="0"/>
                <w:iCs w:val="0"/>
                <w:color w:val="000000"/>
                <w:sz w:val="18"/>
                <w:szCs w:val="18"/>
                <w:u w:val="none"/>
              </w:rPr>
            </w:pPr>
            <w:r>
              <w:rPr>
                <w:rStyle w:val="8"/>
                <w:lang w:val="en-US" w:eastAsia="zh-CN"/>
              </w:rPr>
              <w:t>本年度和上年度部门（单位）预算</w:t>
            </w:r>
            <w:r>
              <w:rPr>
                <w:rStyle w:val="9"/>
                <w:rFonts w:eastAsia="宋体"/>
                <w:lang w:val="en-US" w:eastAsia="zh-CN"/>
              </w:rPr>
              <w:t>“</w:t>
            </w:r>
            <w:r>
              <w:rPr>
                <w:rStyle w:val="8"/>
                <w:lang w:val="en-US" w:eastAsia="zh-CN"/>
              </w:rPr>
              <w:t>三公经费</w:t>
            </w:r>
            <w:r>
              <w:rPr>
                <w:rStyle w:val="9"/>
                <w:rFonts w:eastAsia="宋体"/>
                <w:lang w:val="en-US" w:eastAsia="zh-CN"/>
              </w:rPr>
              <w:t>”</w:t>
            </w:r>
            <w:r>
              <w:rPr>
                <w:rStyle w:val="8"/>
                <w:lang w:val="en-US" w:eastAsia="zh-CN"/>
              </w:rPr>
              <w:t>报表；</w:t>
            </w:r>
          </w:p>
        </w:tc>
        <w:tc>
          <w:tcPr>
            <w:tcW w:w="586" w:type="dxa"/>
            <w:tcBorders>
              <w:tl2br w:val="nil"/>
              <w:tr2bl w:val="nil"/>
            </w:tcBorders>
            <w:vAlign w:val="center"/>
          </w:tcPr>
          <w:p>
            <w:pPr>
              <w:jc w:val="left"/>
              <w:rPr>
                <w:rFonts w:hint="eastAsia" w:ascii="Times New Roman" w:hAnsi="Times New Roman" w:eastAsia="宋体" w:cs="Times New Roman"/>
                <w:i w:val="0"/>
                <w:iCs w:val="0"/>
                <w:color w:val="000000"/>
                <w:sz w:val="18"/>
                <w:szCs w:val="18"/>
                <w:u w:val="none"/>
                <w:lang w:val="en-US" w:eastAsia="zh-CN"/>
              </w:rPr>
            </w:pPr>
            <w:r>
              <w:rPr>
                <w:rFonts w:hint="eastAsia" w:ascii="Times New Roman" w:hAnsi="Times New Roman" w:cs="Times New Roman"/>
                <w:i w:val="0"/>
                <w:iCs w:val="0"/>
                <w:color w:val="000000"/>
                <w:sz w:val="18"/>
                <w:szCs w:val="18"/>
                <w:u w:val="none"/>
                <w:lang w:val="en-US" w:eastAsia="zh-CN"/>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845" w:hRule="atLeast"/>
          <w:jc w:val="center"/>
        </w:trPr>
        <w:tc>
          <w:tcPr>
            <w:tcW w:w="873" w:type="dxa"/>
            <w:vMerge w:val="continue"/>
            <w:tcBorders>
              <w:tl2br w:val="nil"/>
              <w:tr2bl w:val="nil"/>
            </w:tcBorders>
            <w:vAlign w:val="center"/>
          </w:tcPr>
          <w:p>
            <w:pPr>
              <w:jc w:val="center"/>
              <w:rPr>
                <w:rFonts w:hint="eastAsia" w:ascii="宋体" w:hAnsi="宋体" w:eastAsia="宋体" w:cs="宋体"/>
                <w:i w:val="0"/>
                <w:iCs w:val="0"/>
                <w:color w:val="000000"/>
                <w:sz w:val="18"/>
                <w:szCs w:val="18"/>
                <w:u w:val="none"/>
              </w:rPr>
            </w:pPr>
          </w:p>
        </w:tc>
        <w:tc>
          <w:tcPr>
            <w:tcW w:w="870" w:type="dxa"/>
            <w:vMerge w:val="continue"/>
            <w:tcBorders>
              <w:tl2br w:val="nil"/>
              <w:tr2bl w:val="nil"/>
            </w:tcBorders>
            <w:vAlign w:val="center"/>
          </w:tcPr>
          <w:p>
            <w:pPr>
              <w:jc w:val="center"/>
              <w:rPr>
                <w:rFonts w:hint="eastAsia" w:ascii="宋体" w:hAnsi="宋体" w:eastAsia="宋体" w:cs="宋体"/>
                <w:i w:val="0"/>
                <w:iCs w:val="0"/>
                <w:color w:val="000000"/>
                <w:sz w:val="18"/>
                <w:szCs w:val="18"/>
                <w:u w:val="none"/>
              </w:rPr>
            </w:pPr>
          </w:p>
        </w:tc>
        <w:tc>
          <w:tcPr>
            <w:tcW w:w="1050" w:type="dxa"/>
            <w:tcBorders>
              <w:tl2br w:val="nil"/>
              <w:tr2bl w:val="nil"/>
            </w:tcBorders>
            <w:vAlign w:val="center"/>
          </w:tcPr>
          <w:p>
            <w:pPr>
              <w:keepNext w:val="0"/>
              <w:keepLines w:val="0"/>
              <w:widowControl/>
              <w:suppressLineNumbers w:val="0"/>
              <w:jc w:val="center"/>
              <w:textAlignment w:val="center"/>
              <w:rPr>
                <w:rStyle w:val="8"/>
                <w:lang w:val="en-US" w:eastAsia="zh-CN"/>
              </w:rPr>
            </w:pPr>
            <w:r>
              <w:rPr>
                <w:rStyle w:val="8"/>
                <w:lang w:val="en-US" w:eastAsia="zh-CN"/>
              </w:rPr>
              <w:t>重点</w:t>
            </w:r>
          </w:p>
          <w:p>
            <w:pPr>
              <w:keepNext w:val="0"/>
              <w:keepLines w:val="0"/>
              <w:widowControl/>
              <w:suppressLineNumbers w:val="0"/>
              <w:jc w:val="center"/>
              <w:textAlignment w:val="center"/>
              <w:rPr>
                <w:rStyle w:val="8"/>
                <w:lang w:val="en-US" w:eastAsia="zh-CN"/>
              </w:rPr>
            </w:pPr>
            <w:r>
              <w:rPr>
                <w:rStyle w:val="8"/>
                <w:lang w:val="en-US" w:eastAsia="zh-CN"/>
              </w:rPr>
              <w:t>支出</w:t>
            </w:r>
          </w:p>
          <w:p>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Style w:val="8"/>
                <w:lang w:val="en-US" w:eastAsia="zh-CN"/>
              </w:rPr>
              <w:t>安排率</w:t>
            </w:r>
          </w:p>
        </w:tc>
        <w:tc>
          <w:tcPr>
            <w:tcW w:w="495" w:type="dxa"/>
            <w:tcBorders>
              <w:tl2br w:val="nil"/>
              <w:tr2bl w:val="nil"/>
            </w:tcBorders>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rPr>
              <w:t>2</w:t>
            </w:r>
          </w:p>
        </w:tc>
        <w:tc>
          <w:tcPr>
            <w:tcW w:w="2570" w:type="dxa"/>
            <w:tcBorders>
              <w:tl2br w:val="nil"/>
              <w:tr2bl w:val="nil"/>
            </w:tcBorders>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部门本年度重点实际支出与预算安排的重点预算支出的比率，用以反映和考核部门对履行主要职责或完成重点任务的保障程度。</w:t>
            </w:r>
          </w:p>
        </w:tc>
        <w:tc>
          <w:tcPr>
            <w:tcW w:w="5112" w:type="dxa"/>
            <w:tcBorders>
              <w:tl2br w:val="nil"/>
              <w:tr2bl w:val="nil"/>
            </w:tcBorders>
            <w:vAlign w:val="center"/>
          </w:tcPr>
          <w:p>
            <w:pPr>
              <w:keepNext w:val="0"/>
              <w:keepLines w:val="0"/>
              <w:widowControl/>
              <w:suppressLineNumbers w:val="0"/>
              <w:jc w:val="left"/>
              <w:textAlignment w:val="center"/>
              <w:rPr>
                <w:rStyle w:val="8"/>
                <w:lang w:val="en-US" w:eastAsia="zh-CN"/>
              </w:rPr>
            </w:pPr>
          </w:p>
          <w:p>
            <w:pPr>
              <w:keepNext w:val="0"/>
              <w:keepLines w:val="0"/>
              <w:widowControl/>
              <w:suppressLineNumbers w:val="0"/>
              <w:jc w:val="left"/>
              <w:textAlignment w:val="center"/>
              <w:rPr>
                <w:rStyle w:val="8"/>
                <w:lang w:val="en-US" w:eastAsia="zh-CN"/>
              </w:rPr>
            </w:pPr>
            <w:r>
              <w:rPr>
                <w:rStyle w:val="8"/>
                <w:lang w:val="en-US" w:eastAsia="zh-CN"/>
              </w:rPr>
              <w:t>重点支出安排率</w:t>
            </w:r>
            <w:r>
              <w:rPr>
                <w:rStyle w:val="9"/>
                <w:rFonts w:eastAsia="宋体"/>
                <w:lang w:val="en-US" w:eastAsia="zh-CN"/>
              </w:rPr>
              <w:t>=</w:t>
            </w:r>
            <w:r>
              <w:rPr>
                <w:rStyle w:val="8"/>
                <w:lang w:val="en-US" w:eastAsia="zh-CN"/>
              </w:rPr>
              <w:t>（重点实际支出</w:t>
            </w:r>
            <w:r>
              <w:rPr>
                <w:rStyle w:val="9"/>
                <w:rFonts w:eastAsia="宋体"/>
                <w:lang w:val="en-US" w:eastAsia="zh-CN"/>
              </w:rPr>
              <w:t>/</w:t>
            </w:r>
            <w:r>
              <w:rPr>
                <w:rStyle w:val="8"/>
                <w:lang w:val="en-US" w:eastAsia="zh-CN"/>
              </w:rPr>
              <w:t>重点预算支出）</w:t>
            </w:r>
            <w:r>
              <w:rPr>
                <w:rStyle w:val="9"/>
                <w:rFonts w:eastAsia="宋体"/>
                <w:lang w:val="en-US" w:eastAsia="zh-CN"/>
              </w:rPr>
              <w:t>×100%</w:t>
            </w:r>
            <w:r>
              <w:rPr>
                <w:rStyle w:val="8"/>
                <w:lang w:val="en-US" w:eastAsia="zh-CN"/>
              </w:rPr>
              <w:t>。重点预算支出：部门年度预算安排的，与本部门履职和发展密切相关、具有明显社会和经济影响、党委政府关心或社会比较关注的预算支出支出总额。该指标参考部门年度项目支出及其预算。</w:t>
            </w:r>
          </w:p>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Style w:val="8"/>
                <w:lang w:val="en-US" w:eastAsia="zh-CN"/>
              </w:rPr>
              <w:t>该项得分</w:t>
            </w:r>
            <w:r>
              <w:rPr>
                <w:rStyle w:val="9"/>
                <w:rFonts w:eastAsia="宋体"/>
                <w:lang w:val="en-US" w:eastAsia="zh-CN"/>
              </w:rPr>
              <w:t>=</w:t>
            </w:r>
            <w:r>
              <w:rPr>
                <w:rStyle w:val="8"/>
                <w:lang w:val="en-US" w:eastAsia="zh-CN"/>
              </w:rPr>
              <w:t>安排率</w:t>
            </w:r>
            <w:r>
              <w:rPr>
                <w:rStyle w:val="9"/>
                <w:rFonts w:eastAsia="宋体"/>
                <w:lang w:val="en-US" w:eastAsia="zh-CN"/>
              </w:rPr>
              <w:t>×2</w:t>
            </w:r>
            <w:r>
              <w:rPr>
                <w:rStyle w:val="8"/>
                <w:lang w:val="en-US" w:eastAsia="zh-CN"/>
              </w:rPr>
              <w:t>分。每超出</w:t>
            </w:r>
            <w:r>
              <w:rPr>
                <w:rStyle w:val="9"/>
                <w:rFonts w:eastAsia="宋体"/>
                <w:lang w:val="en-US" w:eastAsia="zh-CN"/>
              </w:rPr>
              <w:t>5</w:t>
            </w:r>
            <w:r>
              <w:rPr>
                <w:rStyle w:val="8"/>
                <w:lang w:val="en-US" w:eastAsia="zh-CN"/>
              </w:rPr>
              <w:t>%扣</w:t>
            </w:r>
            <w:r>
              <w:rPr>
                <w:rStyle w:val="9"/>
                <w:rFonts w:eastAsia="宋体"/>
                <w:lang w:val="en-US" w:eastAsia="zh-CN"/>
              </w:rPr>
              <w:t>0.5</w:t>
            </w:r>
            <w:r>
              <w:rPr>
                <w:rStyle w:val="8"/>
                <w:lang w:val="en-US" w:eastAsia="zh-CN"/>
              </w:rPr>
              <w:t>分，扣完为止。</w:t>
            </w:r>
          </w:p>
        </w:tc>
        <w:tc>
          <w:tcPr>
            <w:tcW w:w="2115" w:type="dxa"/>
            <w:tcBorders>
              <w:tl2br w:val="nil"/>
              <w:tr2bl w:val="nil"/>
            </w:tcBorders>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财政部门批复的本年度部门（单位）预算；本年度部门（单位）决算报表。</w:t>
            </w:r>
          </w:p>
        </w:tc>
        <w:tc>
          <w:tcPr>
            <w:tcW w:w="586" w:type="dxa"/>
            <w:tcBorders>
              <w:tl2br w:val="nil"/>
              <w:tr2bl w:val="nil"/>
            </w:tcBorders>
            <w:vAlign w:val="center"/>
          </w:tcPr>
          <w:p>
            <w:pPr>
              <w:jc w:val="left"/>
              <w:rPr>
                <w:rFonts w:hint="eastAsia" w:ascii="Times New Roman" w:hAnsi="Times New Roman" w:eastAsia="宋体" w:cs="Times New Roman"/>
                <w:i w:val="0"/>
                <w:iCs w:val="0"/>
                <w:color w:val="000000"/>
                <w:sz w:val="18"/>
                <w:szCs w:val="18"/>
                <w:u w:val="none"/>
                <w:lang w:val="en-US" w:eastAsia="zh-CN"/>
              </w:rPr>
            </w:pPr>
            <w:r>
              <w:rPr>
                <w:rFonts w:hint="eastAsia" w:ascii="Times New Roman" w:hAnsi="Times New Roman" w:cs="Times New Roman"/>
                <w:i w:val="0"/>
                <w:iCs w:val="0"/>
                <w:color w:val="000000"/>
                <w:sz w:val="18"/>
                <w:szCs w:val="18"/>
                <w:u w:val="none"/>
                <w:lang w:val="en-US" w:eastAsia="zh-CN"/>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200" w:hRule="atLeast"/>
          <w:jc w:val="center"/>
        </w:trPr>
        <w:tc>
          <w:tcPr>
            <w:tcW w:w="873" w:type="dxa"/>
            <w:vMerge w:val="continue"/>
            <w:tcBorders>
              <w:tl2br w:val="nil"/>
              <w:tr2bl w:val="nil"/>
            </w:tcBorders>
            <w:vAlign w:val="center"/>
          </w:tcPr>
          <w:p>
            <w:pPr>
              <w:jc w:val="center"/>
              <w:rPr>
                <w:rFonts w:hint="eastAsia" w:ascii="宋体" w:hAnsi="宋体" w:eastAsia="宋体" w:cs="宋体"/>
                <w:i w:val="0"/>
                <w:iCs w:val="0"/>
                <w:color w:val="000000"/>
                <w:sz w:val="18"/>
                <w:szCs w:val="18"/>
                <w:u w:val="none"/>
              </w:rPr>
            </w:pPr>
          </w:p>
        </w:tc>
        <w:tc>
          <w:tcPr>
            <w:tcW w:w="870" w:type="dxa"/>
            <w:vMerge w:val="continue"/>
            <w:tcBorders>
              <w:tl2br w:val="nil"/>
              <w:tr2bl w:val="nil"/>
            </w:tcBorders>
            <w:vAlign w:val="center"/>
          </w:tcPr>
          <w:p>
            <w:pPr>
              <w:jc w:val="center"/>
              <w:rPr>
                <w:rFonts w:hint="eastAsia" w:ascii="宋体" w:hAnsi="宋体" w:eastAsia="宋体" w:cs="宋体"/>
                <w:i w:val="0"/>
                <w:iCs w:val="0"/>
                <w:color w:val="000000"/>
                <w:sz w:val="18"/>
                <w:szCs w:val="18"/>
                <w:u w:val="none"/>
              </w:rPr>
            </w:pPr>
          </w:p>
        </w:tc>
        <w:tc>
          <w:tcPr>
            <w:tcW w:w="1050" w:type="dxa"/>
            <w:tcBorders>
              <w:tl2br w:val="nil"/>
              <w:tr2bl w:val="nil"/>
            </w:tcBorders>
            <w:vAlign w:val="center"/>
          </w:tcPr>
          <w:p>
            <w:pPr>
              <w:keepNext w:val="0"/>
              <w:keepLines w:val="0"/>
              <w:widowControl/>
              <w:suppressLineNumbers w:val="0"/>
              <w:jc w:val="center"/>
              <w:textAlignment w:val="center"/>
              <w:rPr>
                <w:rStyle w:val="8"/>
                <w:lang w:val="en-US" w:eastAsia="zh-CN"/>
              </w:rPr>
            </w:pPr>
            <w:r>
              <w:rPr>
                <w:rStyle w:val="8"/>
                <w:lang w:val="en-US" w:eastAsia="zh-CN"/>
              </w:rPr>
              <w:t>非税</w:t>
            </w:r>
          </w:p>
          <w:p>
            <w:pPr>
              <w:keepNext w:val="0"/>
              <w:keepLines w:val="0"/>
              <w:widowControl/>
              <w:suppressLineNumbers w:val="0"/>
              <w:jc w:val="center"/>
              <w:textAlignment w:val="center"/>
              <w:rPr>
                <w:rStyle w:val="8"/>
                <w:lang w:val="en-US" w:eastAsia="zh-CN"/>
              </w:rPr>
            </w:pPr>
            <w:r>
              <w:rPr>
                <w:rStyle w:val="8"/>
                <w:lang w:val="en-US" w:eastAsia="zh-CN"/>
              </w:rPr>
              <w:t>收入</w:t>
            </w:r>
          </w:p>
          <w:p>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Style w:val="8"/>
                <w:lang w:val="en-US" w:eastAsia="zh-CN"/>
              </w:rPr>
              <w:t>安排率</w:t>
            </w:r>
          </w:p>
        </w:tc>
        <w:tc>
          <w:tcPr>
            <w:tcW w:w="495" w:type="dxa"/>
            <w:tcBorders>
              <w:tl2br w:val="nil"/>
              <w:tr2bl w:val="nil"/>
            </w:tcBorders>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rPr>
              <w:t>1</w:t>
            </w:r>
          </w:p>
        </w:tc>
        <w:tc>
          <w:tcPr>
            <w:tcW w:w="2570" w:type="dxa"/>
            <w:tcBorders>
              <w:tl2br w:val="nil"/>
              <w:tr2bl w:val="nil"/>
            </w:tcBorders>
            <w:vAlign w:val="center"/>
          </w:tcPr>
          <w:p>
            <w:pPr>
              <w:keepNext w:val="0"/>
              <w:keepLines w:val="0"/>
              <w:widowControl/>
              <w:suppressLineNumbers w:val="0"/>
              <w:jc w:val="left"/>
              <w:textAlignment w:val="center"/>
              <w:rPr>
                <w:rFonts w:hint="default" w:ascii="Times New Roman" w:hAnsi="Times New Roman" w:eastAsia="宋体" w:cs="Times New Roman"/>
                <w:i w:val="0"/>
                <w:iCs w:val="0"/>
                <w:color w:val="000000"/>
                <w:sz w:val="18"/>
                <w:szCs w:val="18"/>
                <w:u w:val="none"/>
              </w:rPr>
            </w:pPr>
            <w:r>
              <w:rPr>
                <w:rStyle w:val="8"/>
                <w:lang w:val="en-US" w:eastAsia="zh-CN"/>
              </w:rPr>
              <w:t>反映部门本年度非税收入完成情况。</w:t>
            </w:r>
          </w:p>
        </w:tc>
        <w:tc>
          <w:tcPr>
            <w:tcW w:w="5112" w:type="dxa"/>
            <w:tcBorders>
              <w:tl2br w:val="nil"/>
              <w:tr2bl w:val="nil"/>
            </w:tcBorders>
            <w:vAlign w:val="center"/>
          </w:tcPr>
          <w:p>
            <w:pPr>
              <w:keepNext w:val="0"/>
              <w:keepLines w:val="0"/>
              <w:widowControl/>
              <w:suppressLineNumbers w:val="0"/>
              <w:jc w:val="left"/>
              <w:textAlignment w:val="center"/>
              <w:rPr>
                <w:rStyle w:val="8"/>
                <w:lang w:val="en-US" w:eastAsia="zh-CN"/>
              </w:rPr>
            </w:pPr>
          </w:p>
          <w:p>
            <w:pPr>
              <w:keepNext w:val="0"/>
              <w:keepLines w:val="0"/>
              <w:widowControl/>
              <w:suppressLineNumbers w:val="0"/>
              <w:jc w:val="left"/>
              <w:textAlignment w:val="center"/>
              <w:rPr>
                <w:rStyle w:val="8"/>
                <w:lang w:val="en-US" w:eastAsia="zh-CN"/>
              </w:rPr>
            </w:pPr>
            <w:r>
              <w:rPr>
                <w:rStyle w:val="8"/>
                <w:lang w:val="en-US" w:eastAsia="zh-CN"/>
              </w:rPr>
              <w:t>非税收入完成率</w:t>
            </w:r>
            <w:r>
              <w:rPr>
                <w:rStyle w:val="9"/>
                <w:rFonts w:eastAsia="宋体"/>
                <w:lang w:val="en-US" w:eastAsia="zh-CN"/>
              </w:rPr>
              <w:t>=</w:t>
            </w:r>
            <w:r>
              <w:rPr>
                <w:rStyle w:val="8"/>
                <w:lang w:val="en-US" w:eastAsia="zh-CN"/>
              </w:rPr>
              <w:t>（非税实际收入完成数</w:t>
            </w:r>
            <w:r>
              <w:rPr>
                <w:rStyle w:val="9"/>
                <w:rFonts w:eastAsia="宋体"/>
                <w:lang w:val="en-US" w:eastAsia="zh-CN"/>
              </w:rPr>
              <w:t>/</w:t>
            </w:r>
            <w:r>
              <w:rPr>
                <w:rStyle w:val="8"/>
                <w:lang w:val="en-US" w:eastAsia="zh-CN"/>
              </w:rPr>
              <w:t>非税收入预算数）</w:t>
            </w:r>
            <w:r>
              <w:rPr>
                <w:rStyle w:val="9"/>
                <w:rFonts w:eastAsia="宋体"/>
                <w:lang w:val="en-US" w:eastAsia="zh-CN"/>
              </w:rPr>
              <w:t>×100%</w:t>
            </w:r>
            <w:r>
              <w:rPr>
                <w:rStyle w:val="8"/>
                <w:lang w:val="en-US" w:eastAsia="zh-CN"/>
              </w:rPr>
              <w:t>，有减免因素的，以财政事务中心确定的为准。</w:t>
            </w:r>
          </w:p>
          <w:p>
            <w:pPr>
              <w:keepNext w:val="0"/>
              <w:keepLines w:val="0"/>
              <w:widowControl/>
              <w:suppressLineNumbers w:val="0"/>
              <w:jc w:val="left"/>
              <w:textAlignment w:val="center"/>
              <w:rPr>
                <w:rFonts w:hint="default" w:ascii="Times New Roman" w:hAnsi="Times New Roman" w:eastAsia="宋体" w:cs="Times New Roman"/>
                <w:i w:val="0"/>
                <w:iCs w:val="0"/>
                <w:color w:val="000000"/>
                <w:sz w:val="18"/>
                <w:szCs w:val="18"/>
                <w:u w:val="none"/>
              </w:rPr>
            </w:pPr>
            <w:r>
              <w:rPr>
                <w:rStyle w:val="8"/>
                <w:lang w:val="en-US" w:eastAsia="zh-CN"/>
              </w:rPr>
              <w:t>该项得分</w:t>
            </w:r>
            <w:r>
              <w:rPr>
                <w:rStyle w:val="9"/>
                <w:rFonts w:eastAsia="宋体"/>
                <w:lang w:val="en-US" w:eastAsia="zh-CN"/>
              </w:rPr>
              <w:t>=</w:t>
            </w:r>
            <w:r>
              <w:rPr>
                <w:rStyle w:val="8"/>
                <w:lang w:val="en-US" w:eastAsia="zh-CN"/>
              </w:rPr>
              <w:t>完成率</w:t>
            </w:r>
            <w:r>
              <w:rPr>
                <w:rStyle w:val="9"/>
                <w:rFonts w:eastAsia="宋体"/>
                <w:lang w:val="en-US" w:eastAsia="zh-CN"/>
              </w:rPr>
              <w:t>×1</w:t>
            </w:r>
            <w:r>
              <w:rPr>
                <w:rStyle w:val="8"/>
                <w:lang w:val="en-US" w:eastAsia="zh-CN"/>
              </w:rPr>
              <w:t>分。</w:t>
            </w:r>
          </w:p>
        </w:tc>
        <w:tc>
          <w:tcPr>
            <w:tcW w:w="2115" w:type="dxa"/>
            <w:tcBorders>
              <w:tl2br w:val="nil"/>
              <w:tr2bl w:val="nil"/>
            </w:tcBorders>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财政部门批复的本年度部门（单位）预算；本年度部门（单位）决算报表。</w:t>
            </w:r>
          </w:p>
        </w:tc>
        <w:tc>
          <w:tcPr>
            <w:tcW w:w="586" w:type="dxa"/>
            <w:tcBorders>
              <w:tl2br w:val="nil"/>
              <w:tr2bl w:val="nil"/>
            </w:tcBorders>
            <w:vAlign w:val="center"/>
          </w:tcPr>
          <w:p>
            <w:pPr>
              <w:jc w:val="left"/>
              <w:rPr>
                <w:rFonts w:hint="eastAsia" w:ascii="Times New Roman" w:hAnsi="Times New Roman" w:eastAsia="宋体" w:cs="Times New Roman"/>
                <w:i w:val="0"/>
                <w:iCs w:val="0"/>
                <w:color w:val="000000"/>
                <w:sz w:val="18"/>
                <w:szCs w:val="18"/>
                <w:u w:val="none"/>
                <w:lang w:val="en-US" w:eastAsia="zh-CN"/>
              </w:rPr>
            </w:pPr>
            <w:r>
              <w:rPr>
                <w:rFonts w:hint="eastAsia" w:ascii="Times New Roman" w:hAnsi="Times New Roman" w:cs="Times New Roman"/>
                <w:i w:val="0"/>
                <w:iCs w:val="0"/>
                <w:color w:val="000000"/>
                <w:sz w:val="18"/>
                <w:szCs w:val="18"/>
                <w:u w:val="none"/>
                <w:lang w:val="en-US" w:eastAsia="zh-CN"/>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85" w:hRule="atLeast"/>
          <w:jc w:val="center"/>
        </w:trPr>
        <w:tc>
          <w:tcPr>
            <w:tcW w:w="873" w:type="dxa"/>
            <w:vMerge w:val="restart"/>
            <w:tcBorders>
              <w:tl2br w:val="nil"/>
              <w:tr2bl w:val="nil"/>
            </w:tcBorders>
            <w:vAlign w:val="center"/>
          </w:tcPr>
          <w:p>
            <w:pPr>
              <w:keepNext w:val="0"/>
              <w:keepLines w:val="0"/>
              <w:widowControl/>
              <w:suppressLineNumbers w:val="0"/>
              <w:jc w:val="center"/>
              <w:textAlignment w:val="center"/>
              <w:rPr>
                <w:rStyle w:val="8"/>
                <w:lang w:val="en-US" w:eastAsia="zh-CN"/>
              </w:rPr>
            </w:pPr>
            <w:r>
              <w:rPr>
                <w:rStyle w:val="8"/>
                <w:lang w:val="en-US" w:eastAsia="zh-CN"/>
              </w:rPr>
              <w:t>过程</w:t>
            </w:r>
          </w:p>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Style w:val="8"/>
                <w:lang w:val="en-US" w:eastAsia="zh-CN"/>
              </w:rPr>
              <w:t>（</w:t>
            </w:r>
            <w:r>
              <w:rPr>
                <w:rStyle w:val="9"/>
                <w:rFonts w:eastAsia="宋体"/>
                <w:lang w:val="en-US" w:eastAsia="zh-CN"/>
              </w:rPr>
              <w:t>47</w:t>
            </w:r>
            <w:r>
              <w:rPr>
                <w:rStyle w:val="8"/>
                <w:lang w:val="en-US" w:eastAsia="zh-CN"/>
              </w:rPr>
              <w:t>分）</w:t>
            </w:r>
          </w:p>
        </w:tc>
        <w:tc>
          <w:tcPr>
            <w:tcW w:w="870" w:type="dxa"/>
            <w:vMerge w:val="restart"/>
            <w:tcBorders>
              <w:tl2br w:val="nil"/>
              <w:tr2bl w:val="nil"/>
            </w:tcBorders>
            <w:vAlign w:val="center"/>
          </w:tcPr>
          <w:p>
            <w:pPr>
              <w:keepNext w:val="0"/>
              <w:keepLines w:val="0"/>
              <w:widowControl/>
              <w:suppressLineNumbers w:val="0"/>
              <w:jc w:val="center"/>
              <w:textAlignment w:val="center"/>
              <w:rPr>
                <w:rStyle w:val="8"/>
                <w:lang w:val="en-US" w:eastAsia="zh-CN"/>
              </w:rPr>
            </w:pPr>
            <w:r>
              <w:rPr>
                <w:rStyle w:val="8"/>
                <w:lang w:val="en-US" w:eastAsia="zh-CN"/>
              </w:rPr>
              <w:t>预算</w:t>
            </w:r>
          </w:p>
          <w:p>
            <w:pPr>
              <w:keepNext w:val="0"/>
              <w:keepLines w:val="0"/>
              <w:widowControl/>
              <w:suppressLineNumbers w:val="0"/>
              <w:jc w:val="center"/>
              <w:textAlignment w:val="center"/>
              <w:rPr>
                <w:rStyle w:val="8"/>
                <w:lang w:val="en-US" w:eastAsia="zh-CN"/>
              </w:rPr>
            </w:pPr>
            <w:r>
              <w:rPr>
                <w:rStyle w:val="8"/>
                <w:lang w:val="en-US" w:eastAsia="zh-CN"/>
              </w:rPr>
              <w:t>执行</w:t>
            </w:r>
          </w:p>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Style w:val="9"/>
                <w:rFonts w:eastAsia="宋体"/>
                <w:lang w:val="en-US" w:eastAsia="zh-CN"/>
              </w:rPr>
              <w:t>(13</w:t>
            </w:r>
            <w:r>
              <w:rPr>
                <w:rStyle w:val="8"/>
                <w:lang w:val="en-US" w:eastAsia="zh-CN"/>
              </w:rPr>
              <w:t>分）</w:t>
            </w:r>
          </w:p>
        </w:tc>
        <w:tc>
          <w:tcPr>
            <w:tcW w:w="1050" w:type="dxa"/>
            <w:tcBorders>
              <w:tl2br w:val="nil"/>
              <w:tr2bl w:val="nil"/>
            </w:tcBorders>
            <w:vAlign w:val="center"/>
          </w:tcPr>
          <w:p>
            <w:pPr>
              <w:keepNext w:val="0"/>
              <w:keepLines w:val="0"/>
              <w:widowControl/>
              <w:suppressLineNumbers w:val="0"/>
              <w:jc w:val="center"/>
              <w:textAlignment w:val="center"/>
              <w:rPr>
                <w:rStyle w:val="8"/>
                <w:lang w:val="en-US" w:eastAsia="zh-CN"/>
              </w:rPr>
            </w:pPr>
            <w:r>
              <w:rPr>
                <w:rStyle w:val="8"/>
                <w:lang w:val="en-US" w:eastAsia="zh-CN"/>
              </w:rPr>
              <w:t>预算</w:t>
            </w:r>
          </w:p>
          <w:p>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Style w:val="8"/>
                <w:lang w:val="en-US" w:eastAsia="zh-CN"/>
              </w:rPr>
              <w:t>执行率</w:t>
            </w:r>
          </w:p>
        </w:tc>
        <w:tc>
          <w:tcPr>
            <w:tcW w:w="495" w:type="dxa"/>
            <w:tcBorders>
              <w:tl2br w:val="nil"/>
              <w:tr2bl w:val="nil"/>
            </w:tcBorders>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rPr>
              <w:t>4</w:t>
            </w:r>
          </w:p>
        </w:tc>
        <w:tc>
          <w:tcPr>
            <w:tcW w:w="2570" w:type="dxa"/>
            <w:tcBorders>
              <w:tl2br w:val="nil"/>
              <w:tr2bl w:val="nil"/>
            </w:tcBorders>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部门（单位）本年度预算完成数与预算数的比率，用以反映和考核部门（单位）预算完成程度；部门（单位）本年度对项目支出绩效监控情况。</w:t>
            </w:r>
          </w:p>
        </w:tc>
        <w:tc>
          <w:tcPr>
            <w:tcW w:w="5112" w:type="dxa"/>
            <w:tcBorders>
              <w:tl2br w:val="nil"/>
              <w:tr2bl w:val="nil"/>
            </w:tcBorders>
            <w:vAlign w:val="center"/>
          </w:tcPr>
          <w:p>
            <w:pPr>
              <w:keepNext w:val="0"/>
              <w:keepLines w:val="0"/>
              <w:widowControl/>
              <w:suppressLineNumbers w:val="0"/>
              <w:jc w:val="left"/>
              <w:textAlignment w:val="center"/>
              <w:rPr>
                <w:rStyle w:val="8"/>
                <w:lang w:val="en-US" w:eastAsia="zh-CN"/>
              </w:rPr>
            </w:pPr>
          </w:p>
          <w:p>
            <w:pPr>
              <w:keepNext w:val="0"/>
              <w:keepLines w:val="0"/>
              <w:widowControl/>
              <w:suppressLineNumbers w:val="0"/>
              <w:jc w:val="left"/>
              <w:textAlignment w:val="center"/>
              <w:rPr>
                <w:rStyle w:val="8"/>
                <w:lang w:val="en-US" w:eastAsia="zh-CN"/>
              </w:rPr>
            </w:pPr>
            <w:r>
              <w:rPr>
                <w:rStyle w:val="8"/>
                <w:lang w:val="en-US" w:eastAsia="zh-CN"/>
              </w:rPr>
              <w:t>①预算执行率</w:t>
            </w:r>
            <w:r>
              <w:rPr>
                <w:rStyle w:val="9"/>
                <w:rFonts w:eastAsia="宋体"/>
                <w:lang w:val="en-US" w:eastAsia="zh-CN"/>
              </w:rPr>
              <w:t>=</w:t>
            </w:r>
            <w:r>
              <w:rPr>
                <w:rStyle w:val="8"/>
                <w:lang w:val="en-US" w:eastAsia="zh-CN"/>
              </w:rPr>
              <w:t>（预算完成数</w:t>
            </w:r>
            <w:r>
              <w:rPr>
                <w:rStyle w:val="9"/>
                <w:rFonts w:eastAsia="宋体"/>
                <w:lang w:val="en-US" w:eastAsia="zh-CN"/>
              </w:rPr>
              <w:t>/</w:t>
            </w:r>
            <w:r>
              <w:rPr>
                <w:rStyle w:val="8"/>
                <w:lang w:val="en-US" w:eastAsia="zh-CN"/>
              </w:rPr>
              <w:t>预算数）</w:t>
            </w:r>
            <w:r>
              <w:rPr>
                <w:rStyle w:val="9"/>
                <w:rFonts w:eastAsia="宋体"/>
                <w:lang w:val="en-US" w:eastAsia="zh-CN"/>
              </w:rPr>
              <w:t>×100%</w:t>
            </w:r>
            <w:r>
              <w:rPr>
                <w:rStyle w:val="8"/>
                <w:lang w:val="en-US" w:eastAsia="zh-CN"/>
              </w:rPr>
              <w:t>。</w:t>
            </w:r>
          </w:p>
          <w:p>
            <w:pPr>
              <w:keepNext w:val="0"/>
              <w:keepLines w:val="0"/>
              <w:widowControl/>
              <w:suppressLineNumbers w:val="0"/>
              <w:jc w:val="left"/>
              <w:textAlignment w:val="center"/>
              <w:rPr>
                <w:rStyle w:val="8"/>
                <w:lang w:val="en-US" w:eastAsia="zh-CN"/>
              </w:rPr>
            </w:pPr>
            <w:r>
              <w:rPr>
                <w:rStyle w:val="8"/>
                <w:lang w:val="en-US" w:eastAsia="zh-CN"/>
              </w:rPr>
              <w:t>预算执行数：部门（单位）本年度实际完成的预算数。</w:t>
            </w:r>
          </w:p>
          <w:p>
            <w:pPr>
              <w:keepNext w:val="0"/>
              <w:keepLines w:val="0"/>
              <w:widowControl/>
              <w:suppressLineNumbers w:val="0"/>
              <w:jc w:val="left"/>
              <w:textAlignment w:val="center"/>
              <w:rPr>
                <w:rStyle w:val="8"/>
                <w:lang w:val="en-US" w:eastAsia="zh-CN"/>
              </w:rPr>
            </w:pPr>
            <w:r>
              <w:rPr>
                <w:rStyle w:val="8"/>
                <w:lang w:val="en-US" w:eastAsia="zh-CN"/>
              </w:rPr>
              <w:t>预算数：财政部门批复的本年度部门（单位）预算数及追加的预算数。</w:t>
            </w:r>
          </w:p>
          <w:p>
            <w:pPr>
              <w:keepNext w:val="0"/>
              <w:keepLines w:val="0"/>
              <w:widowControl/>
              <w:suppressLineNumbers w:val="0"/>
              <w:jc w:val="left"/>
              <w:textAlignment w:val="center"/>
              <w:rPr>
                <w:rStyle w:val="8"/>
                <w:lang w:val="en-US" w:eastAsia="zh-CN"/>
              </w:rPr>
            </w:pPr>
            <w:r>
              <w:rPr>
                <w:rStyle w:val="8"/>
                <w:lang w:val="en-US" w:eastAsia="zh-CN"/>
              </w:rPr>
              <w:t>该项得分，全年预算执行率</w:t>
            </w:r>
            <w:r>
              <w:rPr>
                <w:rStyle w:val="9"/>
                <w:rFonts w:eastAsia="宋体"/>
                <w:lang w:val="en-US" w:eastAsia="zh-CN"/>
              </w:rPr>
              <w:t>95%</w:t>
            </w:r>
            <w:r>
              <w:rPr>
                <w:rStyle w:val="8"/>
                <w:lang w:val="en-US" w:eastAsia="zh-CN"/>
              </w:rPr>
              <w:t>以上计</w:t>
            </w:r>
            <w:r>
              <w:rPr>
                <w:rStyle w:val="9"/>
                <w:rFonts w:eastAsia="宋体"/>
                <w:lang w:val="en-US" w:eastAsia="zh-CN"/>
              </w:rPr>
              <w:t>2</w:t>
            </w:r>
            <w:r>
              <w:rPr>
                <w:rStyle w:val="8"/>
                <w:lang w:val="en-US" w:eastAsia="zh-CN"/>
              </w:rPr>
              <w:t>分，</w:t>
            </w:r>
            <w:r>
              <w:rPr>
                <w:rStyle w:val="9"/>
                <w:rFonts w:eastAsia="宋体"/>
                <w:lang w:val="en-US" w:eastAsia="zh-CN"/>
              </w:rPr>
              <w:t>95-90%</w:t>
            </w:r>
            <w:r>
              <w:rPr>
                <w:rStyle w:val="8"/>
                <w:lang w:val="en-US" w:eastAsia="zh-CN"/>
              </w:rPr>
              <w:t>（含），计</w:t>
            </w:r>
            <w:r>
              <w:rPr>
                <w:rStyle w:val="9"/>
                <w:rFonts w:eastAsia="宋体"/>
                <w:lang w:val="en-US" w:eastAsia="zh-CN"/>
              </w:rPr>
              <w:t>1</w:t>
            </w:r>
            <w:r>
              <w:rPr>
                <w:rStyle w:val="8"/>
                <w:lang w:val="en-US" w:eastAsia="zh-CN"/>
              </w:rPr>
              <w:t>分，</w:t>
            </w:r>
            <w:r>
              <w:rPr>
                <w:rStyle w:val="9"/>
                <w:rFonts w:eastAsia="宋体"/>
                <w:lang w:val="en-US" w:eastAsia="zh-CN"/>
              </w:rPr>
              <w:t>90-80%</w:t>
            </w:r>
            <w:r>
              <w:rPr>
                <w:rStyle w:val="8"/>
                <w:lang w:val="en-US" w:eastAsia="zh-CN"/>
              </w:rPr>
              <w:t>（含），计</w:t>
            </w:r>
            <w:r>
              <w:rPr>
                <w:rStyle w:val="9"/>
                <w:rFonts w:eastAsia="宋体"/>
                <w:lang w:val="en-US" w:eastAsia="zh-CN"/>
              </w:rPr>
              <w:t>0.5</w:t>
            </w:r>
            <w:r>
              <w:rPr>
                <w:rStyle w:val="8"/>
                <w:lang w:val="en-US" w:eastAsia="zh-CN"/>
              </w:rPr>
              <w:t>分，小于</w:t>
            </w:r>
            <w:r>
              <w:rPr>
                <w:rStyle w:val="9"/>
                <w:rFonts w:eastAsia="宋体"/>
                <w:lang w:val="en-US" w:eastAsia="zh-CN"/>
              </w:rPr>
              <w:t>80%</w:t>
            </w:r>
            <w:r>
              <w:rPr>
                <w:rStyle w:val="8"/>
                <w:lang w:val="en-US" w:eastAsia="zh-CN"/>
              </w:rPr>
              <w:t>不得分；</w:t>
            </w:r>
          </w:p>
          <w:p>
            <w:pPr>
              <w:keepNext w:val="0"/>
              <w:keepLines w:val="0"/>
              <w:widowControl/>
              <w:suppressLineNumbers w:val="0"/>
              <w:jc w:val="left"/>
              <w:textAlignment w:val="center"/>
              <w:rPr>
                <w:rStyle w:val="8"/>
                <w:lang w:val="en-US" w:eastAsia="zh-CN"/>
              </w:rPr>
            </w:pPr>
            <w:r>
              <w:rPr>
                <w:rStyle w:val="8"/>
                <w:lang w:val="en-US" w:eastAsia="zh-CN"/>
              </w:rPr>
              <w:t>②绩效目标执行监控是否按要求完成。</w:t>
            </w:r>
          </w:p>
          <w:p>
            <w:pPr>
              <w:keepNext w:val="0"/>
              <w:keepLines w:val="0"/>
              <w:widowControl/>
              <w:suppressLineNumbers w:val="0"/>
              <w:jc w:val="left"/>
              <w:textAlignment w:val="center"/>
              <w:rPr>
                <w:rFonts w:hint="default" w:ascii="Times New Roman" w:hAnsi="Times New Roman" w:eastAsia="宋体" w:cs="Times New Roman"/>
                <w:i w:val="0"/>
                <w:iCs w:val="0"/>
                <w:color w:val="000000"/>
                <w:sz w:val="18"/>
                <w:szCs w:val="18"/>
                <w:u w:val="none"/>
              </w:rPr>
            </w:pPr>
            <w:r>
              <w:rPr>
                <w:rStyle w:val="8"/>
                <w:lang w:val="en-US" w:eastAsia="zh-CN"/>
              </w:rPr>
              <w:t>该项得分，实施项目资金运行监控的得</w:t>
            </w:r>
            <w:r>
              <w:rPr>
                <w:rStyle w:val="9"/>
                <w:rFonts w:eastAsia="宋体"/>
                <w:lang w:val="en-US" w:eastAsia="zh-CN"/>
              </w:rPr>
              <w:t>2</w:t>
            </w:r>
            <w:r>
              <w:rPr>
                <w:rStyle w:val="8"/>
                <w:lang w:val="en-US" w:eastAsia="zh-CN"/>
              </w:rPr>
              <w:t>分，未实施的不得分。</w:t>
            </w:r>
          </w:p>
        </w:tc>
        <w:tc>
          <w:tcPr>
            <w:tcW w:w="2115" w:type="dxa"/>
            <w:tcBorders>
              <w:tl2br w:val="nil"/>
              <w:tr2bl w:val="nil"/>
            </w:tcBorders>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财政部门批复的本年度部门（单位）预算；本年度部门（单位）决算报表；部门年度预算执行查询表；项目支出绩效运行监控表；项目支出绩效运行监控报告。</w:t>
            </w:r>
          </w:p>
        </w:tc>
        <w:tc>
          <w:tcPr>
            <w:tcW w:w="586" w:type="dxa"/>
            <w:tcBorders>
              <w:tl2br w:val="nil"/>
              <w:tr2bl w:val="nil"/>
            </w:tcBorders>
            <w:vAlign w:val="center"/>
          </w:tcPr>
          <w:p>
            <w:pPr>
              <w:jc w:val="left"/>
              <w:rPr>
                <w:rFonts w:hint="eastAsia" w:ascii="Times New Roman" w:hAnsi="Times New Roman" w:eastAsia="宋体" w:cs="Times New Roman"/>
                <w:i w:val="0"/>
                <w:iCs w:val="0"/>
                <w:color w:val="000000"/>
                <w:sz w:val="18"/>
                <w:szCs w:val="18"/>
                <w:u w:val="none"/>
                <w:lang w:val="en-US" w:eastAsia="zh-CN"/>
              </w:rPr>
            </w:pPr>
            <w:r>
              <w:rPr>
                <w:rFonts w:hint="eastAsia" w:ascii="Times New Roman" w:hAnsi="Times New Roman" w:cs="Times New Roman"/>
                <w:i w:val="0"/>
                <w:iCs w:val="0"/>
                <w:color w:val="000000"/>
                <w:sz w:val="18"/>
                <w:szCs w:val="18"/>
                <w:u w:val="none"/>
                <w:lang w:val="en-US" w:eastAsia="zh-CN"/>
              </w:rPr>
              <w:t>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115" w:hRule="atLeast"/>
          <w:jc w:val="center"/>
        </w:trPr>
        <w:tc>
          <w:tcPr>
            <w:tcW w:w="873" w:type="dxa"/>
            <w:vMerge w:val="continue"/>
            <w:tcBorders>
              <w:tl2br w:val="nil"/>
              <w:tr2bl w:val="nil"/>
            </w:tcBorders>
            <w:vAlign w:val="center"/>
          </w:tcPr>
          <w:p>
            <w:pPr>
              <w:jc w:val="center"/>
              <w:rPr>
                <w:rFonts w:hint="eastAsia" w:ascii="宋体" w:hAnsi="宋体" w:eastAsia="宋体" w:cs="宋体"/>
                <w:i w:val="0"/>
                <w:iCs w:val="0"/>
                <w:color w:val="000000"/>
                <w:sz w:val="18"/>
                <w:szCs w:val="18"/>
                <w:u w:val="none"/>
              </w:rPr>
            </w:pPr>
          </w:p>
        </w:tc>
        <w:tc>
          <w:tcPr>
            <w:tcW w:w="870" w:type="dxa"/>
            <w:vMerge w:val="continue"/>
            <w:tcBorders>
              <w:tl2br w:val="nil"/>
              <w:tr2bl w:val="nil"/>
            </w:tcBorders>
            <w:vAlign w:val="center"/>
          </w:tcPr>
          <w:p>
            <w:pPr>
              <w:jc w:val="center"/>
              <w:rPr>
                <w:rFonts w:hint="eastAsia" w:ascii="宋体" w:hAnsi="宋体" w:eastAsia="宋体" w:cs="宋体"/>
                <w:i w:val="0"/>
                <w:iCs w:val="0"/>
                <w:color w:val="000000"/>
                <w:sz w:val="18"/>
                <w:szCs w:val="18"/>
                <w:u w:val="none"/>
              </w:rPr>
            </w:pPr>
          </w:p>
        </w:tc>
        <w:tc>
          <w:tcPr>
            <w:tcW w:w="1050" w:type="dxa"/>
            <w:tcBorders>
              <w:tl2br w:val="nil"/>
              <w:tr2bl w:val="nil"/>
            </w:tcBorders>
            <w:vAlign w:val="center"/>
          </w:tcPr>
          <w:p>
            <w:pPr>
              <w:keepNext w:val="0"/>
              <w:keepLines w:val="0"/>
              <w:widowControl/>
              <w:suppressLineNumbers w:val="0"/>
              <w:jc w:val="center"/>
              <w:textAlignment w:val="center"/>
              <w:rPr>
                <w:rStyle w:val="8"/>
                <w:lang w:val="en-US" w:eastAsia="zh-CN"/>
              </w:rPr>
            </w:pPr>
            <w:r>
              <w:rPr>
                <w:rStyle w:val="8"/>
                <w:lang w:val="en-US" w:eastAsia="zh-CN"/>
              </w:rPr>
              <w:t>预算</w:t>
            </w:r>
          </w:p>
          <w:p>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Style w:val="8"/>
                <w:lang w:val="en-US" w:eastAsia="zh-CN"/>
              </w:rPr>
              <w:t>调整率</w:t>
            </w:r>
          </w:p>
        </w:tc>
        <w:tc>
          <w:tcPr>
            <w:tcW w:w="495" w:type="dxa"/>
            <w:tcBorders>
              <w:tl2br w:val="nil"/>
              <w:tr2bl w:val="nil"/>
            </w:tcBorders>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rPr>
              <w:t>2</w:t>
            </w:r>
          </w:p>
        </w:tc>
        <w:tc>
          <w:tcPr>
            <w:tcW w:w="2570" w:type="dxa"/>
            <w:tcBorders>
              <w:tl2br w:val="nil"/>
              <w:tr2bl w:val="nil"/>
            </w:tcBorders>
            <w:vAlign w:val="center"/>
          </w:tcPr>
          <w:p>
            <w:pPr>
              <w:keepNext w:val="0"/>
              <w:keepLines w:val="0"/>
              <w:widowControl/>
              <w:suppressLineNumbers w:val="0"/>
              <w:jc w:val="left"/>
              <w:textAlignment w:val="center"/>
              <w:rPr>
                <w:rFonts w:hint="default" w:ascii="Times New Roman" w:hAnsi="Times New Roman" w:eastAsia="宋体" w:cs="Times New Roman"/>
                <w:i w:val="0"/>
                <w:iCs w:val="0"/>
                <w:color w:val="000000"/>
                <w:sz w:val="18"/>
                <w:szCs w:val="18"/>
                <w:u w:val="none"/>
              </w:rPr>
            </w:pPr>
            <w:r>
              <w:rPr>
                <w:rStyle w:val="8"/>
                <w:lang w:val="en-US" w:eastAsia="zh-CN"/>
              </w:rPr>
              <w:t>部门（单位）本年度预算调整数与预算数的比率，用以反映和考核部门（单位）预算的调整程度。</w:t>
            </w:r>
          </w:p>
        </w:tc>
        <w:tc>
          <w:tcPr>
            <w:tcW w:w="5112" w:type="dxa"/>
            <w:tcBorders>
              <w:tl2br w:val="nil"/>
              <w:tr2bl w:val="nil"/>
            </w:tcBorders>
            <w:vAlign w:val="center"/>
          </w:tcPr>
          <w:p>
            <w:pPr>
              <w:keepNext w:val="0"/>
              <w:keepLines w:val="0"/>
              <w:widowControl/>
              <w:suppressLineNumbers w:val="0"/>
              <w:jc w:val="left"/>
              <w:textAlignment w:val="center"/>
              <w:rPr>
                <w:rStyle w:val="8"/>
                <w:lang w:val="en-US" w:eastAsia="zh-CN"/>
              </w:rPr>
            </w:pPr>
          </w:p>
          <w:p>
            <w:pPr>
              <w:keepNext w:val="0"/>
              <w:keepLines w:val="0"/>
              <w:widowControl/>
              <w:suppressLineNumbers w:val="0"/>
              <w:jc w:val="left"/>
              <w:textAlignment w:val="center"/>
              <w:rPr>
                <w:rStyle w:val="8"/>
                <w:lang w:val="en-US" w:eastAsia="zh-CN"/>
              </w:rPr>
            </w:pPr>
            <w:r>
              <w:rPr>
                <w:rStyle w:val="8"/>
                <w:lang w:val="en-US" w:eastAsia="zh-CN"/>
              </w:rPr>
              <w:t>预算调整率</w:t>
            </w:r>
            <w:r>
              <w:rPr>
                <w:rStyle w:val="9"/>
                <w:rFonts w:eastAsia="宋体"/>
                <w:lang w:val="en-US" w:eastAsia="zh-CN"/>
              </w:rPr>
              <w:t>=</w:t>
            </w:r>
            <w:r>
              <w:rPr>
                <w:rStyle w:val="8"/>
                <w:lang w:val="en-US" w:eastAsia="zh-CN"/>
              </w:rPr>
              <w:t>（预算调整数</w:t>
            </w:r>
            <w:r>
              <w:rPr>
                <w:rStyle w:val="9"/>
                <w:rFonts w:eastAsia="宋体"/>
                <w:lang w:val="en-US" w:eastAsia="zh-CN"/>
              </w:rPr>
              <w:t>/</w:t>
            </w:r>
            <w:r>
              <w:rPr>
                <w:rStyle w:val="8"/>
                <w:lang w:val="en-US" w:eastAsia="zh-CN"/>
              </w:rPr>
              <w:t>预算数）</w:t>
            </w:r>
            <w:r>
              <w:rPr>
                <w:rStyle w:val="9"/>
                <w:rFonts w:eastAsia="宋体"/>
                <w:lang w:val="en-US" w:eastAsia="zh-CN"/>
              </w:rPr>
              <w:t>×100%</w:t>
            </w:r>
            <w:r>
              <w:rPr>
                <w:rStyle w:val="8"/>
                <w:lang w:val="en-US" w:eastAsia="zh-CN"/>
              </w:rPr>
              <w:t>。</w:t>
            </w:r>
          </w:p>
          <w:p>
            <w:pPr>
              <w:keepNext w:val="0"/>
              <w:keepLines w:val="0"/>
              <w:widowControl/>
              <w:suppressLineNumbers w:val="0"/>
              <w:jc w:val="left"/>
              <w:textAlignment w:val="center"/>
              <w:rPr>
                <w:rStyle w:val="8"/>
                <w:lang w:val="en-US" w:eastAsia="zh-CN"/>
              </w:rPr>
            </w:pPr>
            <w:r>
              <w:rPr>
                <w:rStyle w:val="8"/>
                <w:lang w:val="en-US" w:eastAsia="zh-CN"/>
              </w:rPr>
              <w:t>预算调整数：部门（单位）在本年度内涉及预算的追加、追减或结构调整的资金总和（因落实国家政策、发生不可抗力，市委、市政府临时交办而产生的调整及经济科目非跨类调整除外）。</w:t>
            </w:r>
          </w:p>
          <w:p>
            <w:pPr>
              <w:keepNext w:val="0"/>
              <w:keepLines w:val="0"/>
              <w:widowControl/>
              <w:suppressLineNumbers w:val="0"/>
              <w:jc w:val="left"/>
              <w:textAlignment w:val="center"/>
              <w:rPr>
                <w:rFonts w:hint="default" w:ascii="Times New Roman" w:hAnsi="Times New Roman" w:eastAsia="宋体" w:cs="Times New Roman"/>
                <w:i w:val="0"/>
                <w:iCs w:val="0"/>
                <w:color w:val="000000"/>
                <w:sz w:val="18"/>
                <w:szCs w:val="18"/>
                <w:u w:val="none"/>
              </w:rPr>
            </w:pPr>
            <w:r>
              <w:rPr>
                <w:rStyle w:val="8"/>
                <w:lang w:val="en-US" w:eastAsia="zh-CN"/>
              </w:rPr>
              <w:t>该项得分，预算调整率</w:t>
            </w:r>
            <w:r>
              <w:rPr>
                <w:rStyle w:val="9"/>
                <w:rFonts w:eastAsia="宋体"/>
                <w:lang w:val="en-US" w:eastAsia="zh-CN"/>
              </w:rPr>
              <w:t>&lt;5%</w:t>
            </w:r>
            <w:r>
              <w:rPr>
                <w:rStyle w:val="8"/>
                <w:lang w:val="en-US" w:eastAsia="zh-CN"/>
              </w:rPr>
              <w:t>，计</w:t>
            </w:r>
            <w:r>
              <w:rPr>
                <w:rStyle w:val="9"/>
                <w:rFonts w:eastAsia="宋体"/>
                <w:lang w:val="en-US" w:eastAsia="zh-CN"/>
              </w:rPr>
              <w:t>2</w:t>
            </w:r>
            <w:r>
              <w:rPr>
                <w:rStyle w:val="8"/>
                <w:lang w:val="en-US" w:eastAsia="zh-CN"/>
              </w:rPr>
              <w:t>分；</w:t>
            </w:r>
            <w:r>
              <w:rPr>
                <w:rStyle w:val="9"/>
                <w:rFonts w:eastAsia="宋体"/>
                <w:lang w:val="en-US" w:eastAsia="zh-CN"/>
              </w:rPr>
              <w:t>5-10%</w:t>
            </w:r>
            <w:r>
              <w:rPr>
                <w:rStyle w:val="8"/>
                <w:lang w:val="en-US" w:eastAsia="zh-CN"/>
              </w:rPr>
              <w:t>（含），计</w:t>
            </w:r>
            <w:r>
              <w:rPr>
                <w:rStyle w:val="9"/>
                <w:rFonts w:eastAsia="宋体"/>
                <w:lang w:val="en-US" w:eastAsia="zh-CN"/>
              </w:rPr>
              <w:t>1</w:t>
            </w:r>
            <w:r>
              <w:rPr>
                <w:rStyle w:val="8"/>
                <w:lang w:val="en-US" w:eastAsia="zh-CN"/>
              </w:rPr>
              <w:t>分；大于</w:t>
            </w:r>
            <w:r>
              <w:rPr>
                <w:rStyle w:val="9"/>
                <w:rFonts w:eastAsia="宋体"/>
                <w:lang w:val="en-US" w:eastAsia="zh-CN"/>
              </w:rPr>
              <w:t>10%</w:t>
            </w:r>
            <w:r>
              <w:rPr>
                <w:rStyle w:val="8"/>
                <w:lang w:val="en-US" w:eastAsia="zh-CN"/>
              </w:rPr>
              <w:t>不得分。</w:t>
            </w:r>
          </w:p>
        </w:tc>
        <w:tc>
          <w:tcPr>
            <w:tcW w:w="2115" w:type="dxa"/>
            <w:tcBorders>
              <w:tl2br w:val="nil"/>
              <w:tr2bl w:val="nil"/>
            </w:tcBorders>
            <w:vAlign w:val="center"/>
          </w:tcPr>
          <w:p>
            <w:pPr>
              <w:keepNext w:val="0"/>
              <w:keepLines w:val="0"/>
              <w:widowControl/>
              <w:suppressLineNumbers w:val="0"/>
              <w:jc w:val="left"/>
              <w:textAlignment w:val="center"/>
              <w:rPr>
                <w:rFonts w:hint="default" w:ascii="Times New Roman" w:hAnsi="Times New Roman" w:eastAsia="宋体" w:cs="Times New Roman"/>
                <w:i w:val="0"/>
                <w:iCs w:val="0"/>
                <w:color w:val="000000"/>
                <w:sz w:val="18"/>
                <w:szCs w:val="18"/>
                <w:u w:val="none"/>
              </w:rPr>
            </w:pPr>
            <w:r>
              <w:rPr>
                <w:rStyle w:val="8"/>
                <w:lang w:val="en-US" w:eastAsia="zh-CN"/>
              </w:rPr>
              <w:t>财政部门批复的本年度部门（单位）预算；本年度部门（单位）决算报表；本年度部门（单位）预算的追加、追减或结构调整资料。</w:t>
            </w:r>
          </w:p>
        </w:tc>
        <w:tc>
          <w:tcPr>
            <w:tcW w:w="586" w:type="dxa"/>
            <w:tcBorders>
              <w:tl2br w:val="nil"/>
              <w:tr2bl w:val="nil"/>
            </w:tcBorders>
            <w:vAlign w:val="center"/>
          </w:tcPr>
          <w:p>
            <w:pPr>
              <w:jc w:val="left"/>
              <w:rPr>
                <w:rFonts w:hint="eastAsia" w:ascii="Times New Roman" w:hAnsi="Times New Roman" w:eastAsia="宋体" w:cs="Times New Roman"/>
                <w:i w:val="0"/>
                <w:iCs w:val="0"/>
                <w:color w:val="000000"/>
                <w:sz w:val="18"/>
                <w:szCs w:val="18"/>
                <w:u w:val="none"/>
                <w:lang w:val="en-US" w:eastAsia="zh-CN"/>
              </w:rPr>
            </w:pPr>
            <w:r>
              <w:rPr>
                <w:rFonts w:hint="eastAsia" w:ascii="Times New Roman" w:hAnsi="Times New Roman" w:cs="Times New Roman"/>
                <w:i w:val="0"/>
                <w:iCs w:val="0"/>
                <w:color w:val="000000"/>
                <w:sz w:val="18"/>
                <w:szCs w:val="18"/>
                <w:u w:val="none"/>
                <w:lang w:val="en-US" w:eastAsia="zh-CN"/>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680" w:hRule="atLeast"/>
          <w:jc w:val="center"/>
        </w:trPr>
        <w:tc>
          <w:tcPr>
            <w:tcW w:w="873" w:type="dxa"/>
            <w:vMerge w:val="continue"/>
            <w:tcBorders>
              <w:tl2br w:val="nil"/>
              <w:tr2bl w:val="nil"/>
            </w:tcBorders>
            <w:vAlign w:val="center"/>
          </w:tcPr>
          <w:p>
            <w:pPr>
              <w:jc w:val="center"/>
              <w:rPr>
                <w:rFonts w:hint="eastAsia" w:ascii="宋体" w:hAnsi="宋体" w:eastAsia="宋体" w:cs="宋体"/>
                <w:i w:val="0"/>
                <w:iCs w:val="0"/>
                <w:color w:val="000000"/>
                <w:sz w:val="18"/>
                <w:szCs w:val="18"/>
                <w:u w:val="none"/>
              </w:rPr>
            </w:pPr>
          </w:p>
        </w:tc>
        <w:tc>
          <w:tcPr>
            <w:tcW w:w="870" w:type="dxa"/>
            <w:vMerge w:val="continue"/>
            <w:tcBorders>
              <w:tl2br w:val="nil"/>
              <w:tr2bl w:val="nil"/>
            </w:tcBorders>
            <w:vAlign w:val="center"/>
          </w:tcPr>
          <w:p>
            <w:pPr>
              <w:jc w:val="center"/>
              <w:rPr>
                <w:rFonts w:hint="eastAsia" w:ascii="宋体" w:hAnsi="宋体" w:eastAsia="宋体" w:cs="宋体"/>
                <w:i w:val="0"/>
                <w:iCs w:val="0"/>
                <w:color w:val="000000"/>
                <w:sz w:val="18"/>
                <w:szCs w:val="18"/>
                <w:u w:val="none"/>
              </w:rPr>
            </w:pPr>
          </w:p>
        </w:tc>
        <w:tc>
          <w:tcPr>
            <w:tcW w:w="1050" w:type="dxa"/>
            <w:tcBorders>
              <w:tl2br w:val="nil"/>
              <w:tr2bl w:val="nil"/>
            </w:tcBorders>
            <w:vAlign w:val="center"/>
          </w:tcPr>
          <w:p>
            <w:pPr>
              <w:keepNext w:val="0"/>
              <w:keepLines w:val="0"/>
              <w:widowControl/>
              <w:suppressLineNumbers w:val="0"/>
              <w:jc w:val="center"/>
              <w:textAlignment w:val="center"/>
              <w:rPr>
                <w:rStyle w:val="8"/>
                <w:lang w:val="en-US" w:eastAsia="zh-CN"/>
              </w:rPr>
            </w:pPr>
            <w:r>
              <w:rPr>
                <w:rStyle w:val="8"/>
                <w:lang w:val="en-US" w:eastAsia="zh-CN"/>
              </w:rPr>
              <w:t>结转</w:t>
            </w:r>
          </w:p>
          <w:p>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Style w:val="8"/>
                <w:lang w:val="en-US" w:eastAsia="zh-CN"/>
              </w:rPr>
              <w:t>结余</w:t>
            </w:r>
          </w:p>
        </w:tc>
        <w:tc>
          <w:tcPr>
            <w:tcW w:w="495" w:type="dxa"/>
            <w:tcBorders>
              <w:tl2br w:val="nil"/>
              <w:tr2bl w:val="nil"/>
            </w:tcBorders>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rPr>
              <w:t>1</w:t>
            </w:r>
          </w:p>
        </w:tc>
        <w:tc>
          <w:tcPr>
            <w:tcW w:w="2570" w:type="dxa"/>
            <w:tcBorders>
              <w:tl2br w:val="nil"/>
              <w:tr2bl w:val="nil"/>
            </w:tcBorders>
            <w:vAlign w:val="center"/>
          </w:tcPr>
          <w:p>
            <w:pPr>
              <w:keepNext w:val="0"/>
              <w:keepLines w:val="0"/>
              <w:widowControl/>
              <w:suppressLineNumbers w:val="0"/>
              <w:jc w:val="left"/>
              <w:textAlignment w:val="center"/>
              <w:rPr>
                <w:rFonts w:hint="default" w:ascii="Times New Roman" w:hAnsi="Times New Roman" w:eastAsia="宋体" w:cs="Times New Roman"/>
                <w:i w:val="0"/>
                <w:iCs w:val="0"/>
                <w:color w:val="000000"/>
                <w:sz w:val="18"/>
                <w:szCs w:val="18"/>
                <w:u w:val="none"/>
              </w:rPr>
            </w:pPr>
            <w:r>
              <w:rPr>
                <w:rStyle w:val="8"/>
                <w:lang w:val="en-US" w:eastAsia="zh-CN"/>
              </w:rPr>
              <w:t>部门（单位）本年度结转结余情况，用以反映和考核部门（单位）对本年度结转结余资金使用情况。</w:t>
            </w:r>
          </w:p>
        </w:tc>
        <w:tc>
          <w:tcPr>
            <w:tcW w:w="5112" w:type="dxa"/>
            <w:tcBorders>
              <w:tl2br w:val="nil"/>
              <w:tr2bl w:val="nil"/>
            </w:tcBorders>
            <w:vAlign w:val="center"/>
          </w:tcPr>
          <w:p>
            <w:pPr>
              <w:keepNext w:val="0"/>
              <w:keepLines w:val="0"/>
              <w:widowControl/>
              <w:suppressLineNumbers w:val="0"/>
              <w:spacing w:after="180" w:afterAutospacing="0"/>
              <w:jc w:val="left"/>
              <w:textAlignment w:val="center"/>
              <w:rPr>
                <w:rStyle w:val="8"/>
                <w:lang w:val="en-US" w:eastAsia="zh-CN"/>
              </w:rPr>
            </w:pPr>
          </w:p>
          <w:p>
            <w:pPr>
              <w:keepNext w:val="0"/>
              <w:keepLines w:val="0"/>
              <w:widowControl/>
              <w:suppressLineNumbers w:val="0"/>
              <w:spacing w:after="180" w:afterAutospacing="0"/>
              <w:jc w:val="left"/>
              <w:textAlignment w:val="center"/>
              <w:rPr>
                <w:rStyle w:val="8"/>
                <w:lang w:val="en-US" w:eastAsia="zh-CN"/>
              </w:rPr>
            </w:pPr>
            <w:r>
              <w:rPr>
                <w:rStyle w:val="8"/>
                <w:lang w:val="en-US" w:eastAsia="zh-CN"/>
              </w:rPr>
              <w:t>结转结余率</w:t>
            </w:r>
            <w:r>
              <w:rPr>
                <w:rStyle w:val="9"/>
                <w:rFonts w:eastAsia="宋体"/>
                <w:lang w:val="en-US" w:eastAsia="zh-CN"/>
              </w:rPr>
              <w:t>=</w:t>
            </w:r>
            <w:r>
              <w:rPr>
                <w:rStyle w:val="8"/>
                <w:lang w:val="en-US" w:eastAsia="zh-CN"/>
              </w:rPr>
              <w:t>结转结余总额</w:t>
            </w:r>
            <w:r>
              <w:rPr>
                <w:rStyle w:val="9"/>
                <w:rFonts w:eastAsia="宋体"/>
                <w:lang w:val="en-US" w:eastAsia="zh-CN"/>
              </w:rPr>
              <w:t>/</w:t>
            </w:r>
            <w:r>
              <w:rPr>
                <w:rStyle w:val="8"/>
                <w:lang w:val="en-US" w:eastAsia="zh-CN"/>
              </w:rPr>
              <w:t>支出预算数</w:t>
            </w:r>
            <w:r>
              <w:rPr>
                <w:rStyle w:val="9"/>
                <w:rFonts w:eastAsia="宋体"/>
                <w:lang w:val="en-US" w:eastAsia="zh-CN"/>
              </w:rPr>
              <w:t>×100%</w:t>
            </w:r>
            <w:r>
              <w:rPr>
                <w:rStyle w:val="8"/>
                <w:lang w:val="en-US" w:eastAsia="zh-CN"/>
              </w:rPr>
              <w:t>。结转结余总额：部门本年度的结转资金与结余资金之和（以决算数为准）。</w:t>
            </w:r>
          </w:p>
          <w:p>
            <w:pPr>
              <w:keepNext w:val="0"/>
              <w:keepLines w:val="0"/>
              <w:widowControl/>
              <w:suppressLineNumbers w:val="0"/>
              <w:spacing w:after="180" w:afterAutospacing="0"/>
              <w:jc w:val="left"/>
              <w:textAlignment w:val="center"/>
              <w:rPr>
                <w:rFonts w:hint="default" w:ascii="Times New Roman" w:hAnsi="Times New Roman" w:eastAsia="宋体" w:cs="Times New Roman"/>
                <w:i w:val="0"/>
                <w:iCs w:val="0"/>
                <w:color w:val="000000"/>
                <w:sz w:val="18"/>
                <w:szCs w:val="18"/>
                <w:u w:val="none"/>
              </w:rPr>
            </w:pPr>
            <w:r>
              <w:rPr>
                <w:rStyle w:val="8"/>
                <w:lang w:val="en-US" w:eastAsia="zh-CN"/>
              </w:rPr>
              <w:t>该项得分，结余率</w:t>
            </w:r>
            <w:r>
              <w:rPr>
                <w:rStyle w:val="9"/>
                <w:rFonts w:eastAsia="宋体"/>
                <w:lang w:val="en-US" w:eastAsia="zh-CN"/>
              </w:rPr>
              <w:t>≤10%</w:t>
            </w:r>
            <w:r>
              <w:rPr>
                <w:rStyle w:val="8"/>
                <w:lang w:val="en-US" w:eastAsia="zh-CN"/>
              </w:rPr>
              <w:t>的，计</w:t>
            </w:r>
            <w:r>
              <w:rPr>
                <w:rStyle w:val="9"/>
                <w:rFonts w:eastAsia="宋体"/>
                <w:lang w:val="en-US" w:eastAsia="zh-CN"/>
              </w:rPr>
              <w:t>1</w:t>
            </w:r>
            <w:r>
              <w:rPr>
                <w:rStyle w:val="8"/>
                <w:lang w:val="en-US" w:eastAsia="zh-CN"/>
              </w:rPr>
              <w:t>分；结余率</w:t>
            </w:r>
            <w:r>
              <w:rPr>
                <w:rStyle w:val="9"/>
                <w:rFonts w:eastAsia="宋体"/>
                <w:lang w:val="en-US" w:eastAsia="zh-CN"/>
              </w:rPr>
              <w:t>&gt;10%</w:t>
            </w:r>
            <w:r>
              <w:rPr>
                <w:rStyle w:val="8"/>
                <w:lang w:val="en-US" w:eastAsia="zh-CN"/>
              </w:rPr>
              <w:t>（不含），</w:t>
            </w:r>
            <w:r>
              <w:rPr>
                <w:rStyle w:val="9"/>
                <w:rFonts w:eastAsia="宋体"/>
                <w:lang w:val="en-US" w:eastAsia="zh-CN"/>
              </w:rPr>
              <w:t>0.5</w:t>
            </w:r>
            <w:r>
              <w:rPr>
                <w:rStyle w:val="8"/>
                <w:lang w:val="en-US" w:eastAsia="zh-CN"/>
              </w:rPr>
              <w:t>分；本年超支的，计</w:t>
            </w:r>
            <w:r>
              <w:rPr>
                <w:rStyle w:val="9"/>
                <w:rFonts w:eastAsia="宋体"/>
                <w:lang w:val="en-US" w:eastAsia="zh-CN"/>
              </w:rPr>
              <w:t>0</w:t>
            </w:r>
            <w:r>
              <w:rPr>
                <w:rStyle w:val="8"/>
                <w:lang w:val="en-US" w:eastAsia="zh-CN"/>
              </w:rPr>
              <w:t>分。</w:t>
            </w:r>
          </w:p>
        </w:tc>
        <w:tc>
          <w:tcPr>
            <w:tcW w:w="2115" w:type="dxa"/>
            <w:tcBorders>
              <w:tl2br w:val="nil"/>
              <w:tr2bl w:val="nil"/>
            </w:tcBorders>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财政部门批复的本年度部门（单位）预算；本年度部门（单位）决算报表。</w:t>
            </w:r>
          </w:p>
        </w:tc>
        <w:tc>
          <w:tcPr>
            <w:tcW w:w="586" w:type="dxa"/>
            <w:tcBorders>
              <w:tl2br w:val="nil"/>
              <w:tr2bl w:val="nil"/>
            </w:tcBorders>
            <w:vAlign w:val="center"/>
          </w:tcPr>
          <w:p>
            <w:pPr>
              <w:jc w:val="left"/>
              <w:rPr>
                <w:rFonts w:hint="eastAsia" w:ascii="Times New Roman" w:hAnsi="Times New Roman" w:eastAsia="宋体" w:cs="Times New Roman"/>
                <w:i w:val="0"/>
                <w:iCs w:val="0"/>
                <w:color w:val="000000"/>
                <w:sz w:val="18"/>
                <w:szCs w:val="18"/>
                <w:u w:val="none"/>
                <w:lang w:val="en-US" w:eastAsia="zh-CN"/>
              </w:rPr>
            </w:pPr>
            <w:r>
              <w:rPr>
                <w:rFonts w:hint="eastAsia" w:ascii="Times New Roman" w:hAnsi="Times New Roman" w:cs="Times New Roman"/>
                <w:i w:val="0"/>
                <w:iCs w:val="0"/>
                <w:color w:val="000000"/>
                <w:sz w:val="18"/>
                <w:szCs w:val="18"/>
                <w:u w:val="none"/>
                <w:lang w:val="en-US" w:eastAsia="zh-CN"/>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240" w:hRule="atLeast"/>
          <w:jc w:val="center"/>
        </w:trPr>
        <w:tc>
          <w:tcPr>
            <w:tcW w:w="873" w:type="dxa"/>
            <w:vMerge w:val="continue"/>
            <w:tcBorders>
              <w:tl2br w:val="nil"/>
              <w:tr2bl w:val="nil"/>
            </w:tcBorders>
            <w:vAlign w:val="center"/>
          </w:tcPr>
          <w:p>
            <w:pPr>
              <w:jc w:val="center"/>
              <w:rPr>
                <w:rFonts w:hint="eastAsia" w:ascii="宋体" w:hAnsi="宋体" w:eastAsia="宋体" w:cs="宋体"/>
                <w:i w:val="0"/>
                <w:iCs w:val="0"/>
                <w:color w:val="000000"/>
                <w:sz w:val="18"/>
                <w:szCs w:val="18"/>
                <w:u w:val="none"/>
              </w:rPr>
            </w:pPr>
          </w:p>
        </w:tc>
        <w:tc>
          <w:tcPr>
            <w:tcW w:w="870" w:type="dxa"/>
            <w:vMerge w:val="continue"/>
            <w:tcBorders>
              <w:tl2br w:val="nil"/>
              <w:tr2bl w:val="nil"/>
            </w:tcBorders>
            <w:vAlign w:val="center"/>
          </w:tcPr>
          <w:p>
            <w:pPr>
              <w:jc w:val="center"/>
              <w:rPr>
                <w:rFonts w:hint="eastAsia" w:ascii="宋体" w:hAnsi="宋体" w:eastAsia="宋体" w:cs="宋体"/>
                <w:i w:val="0"/>
                <w:iCs w:val="0"/>
                <w:color w:val="000000"/>
                <w:sz w:val="18"/>
                <w:szCs w:val="18"/>
                <w:u w:val="none"/>
              </w:rPr>
            </w:pPr>
          </w:p>
        </w:tc>
        <w:tc>
          <w:tcPr>
            <w:tcW w:w="1050" w:type="dxa"/>
            <w:tcBorders>
              <w:tl2br w:val="nil"/>
              <w:tr2bl w:val="nil"/>
            </w:tcBorders>
            <w:vAlign w:val="center"/>
          </w:tcPr>
          <w:p>
            <w:pPr>
              <w:keepNext w:val="0"/>
              <w:keepLines w:val="0"/>
              <w:widowControl/>
              <w:suppressLineNumbers w:val="0"/>
              <w:jc w:val="center"/>
              <w:textAlignment w:val="center"/>
              <w:rPr>
                <w:rStyle w:val="8"/>
                <w:lang w:val="en-US" w:eastAsia="zh-CN"/>
              </w:rPr>
            </w:pPr>
            <w:r>
              <w:rPr>
                <w:rStyle w:val="8"/>
                <w:lang w:val="en-US" w:eastAsia="zh-CN"/>
              </w:rPr>
              <w:t>公用经费</w:t>
            </w:r>
          </w:p>
          <w:p>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Style w:val="8"/>
                <w:lang w:val="en-US" w:eastAsia="zh-CN"/>
              </w:rPr>
              <w:t>控制率</w:t>
            </w:r>
          </w:p>
        </w:tc>
        <w:tc>
          <w:tcPr>
            <w:tcW w:w="495" w:type="dxa"/>
            <w:tcBorders>
              <w:tl2br w:val="nil"/>
              <w:tr2bl w:val="nil"/>
            </w:tcBorders>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rPr>
              <w:t>2</w:t>
            </w:r>
          </w:p>
        </w:tc>
        <w:tc>
          <w:tcPr>
            <w:tcW w:w="2570" w:type="dxa"/>
            <w:tcBorders>
              <w:tl2br w:val="nil"/>
              <w:tr2bl w:val="nil"/>
            </w:tcBorders>
            <w:vAlign w:val="center"/>
          </w:tcPr>
          <w:p>
            <w:pPr>
              <w:keepNext w:val="0"/>
              <w:keepLines w:val="0"/>
              <w:widowControl/>
              <w:suppressLineNumbers w:val="0"/>
              <w:jc w:val="left"/>
              <w:textAlignment w:val="center"/>
              <w:rPr>
                <w:rFonts w:hint="default" w:ascii="Times New Roman" w:hAnsi="Times New Roman" w:eastAsia="宋体" w:cs="Times New Roman"/>
                <w:i w:val="0"/>
                <w:iCs w:val="0"/>
                <w:color w:val="000000"/>
                <w:sz w:val="18"/>
                <w:szCs w:val="18"/>
                <w:u w:val="none"/>
              </w:rPr>
            </w:pPr>
            <w:r>
              <w:rPr>
                <w:rStyle w:val="8"/>
                <w:lang w:val="en-US" w:eastAsia="zh-CN"/>
              </w:rPr>
              <w:t>部门本年度实际支出的公用经费总额与预算安排的公用经费总额的比率，用以反映和考核部门对机构运转成本的实际控制程度。</w:t>
            </w:r>
          </w:p>
        </w:tc>
        <w:tc>
          <w:tcPr>
            <w:tcW w:w="5112" w:type="dxa"/>
            <w:tcBorders>
              <w:tl2br w:val="nil"/>
              <w:tr2bl w:val="nil"/>
            </w:tcBorders>
            <w:vAlign w:val="center"/>
          </w:tcPr>
          <w:p>
            <w:pPr>
              <w:keepNext w:val="0"/>
              <w:keepLines w:val="0"/>
              <w:widowControl/>
              <w:suppressLineNumbers w:val="0"/>
              <w:jc w:val="left"/>
              <w:textAlignment w:val="center"/>
              <w:rPr>
                <w:rStyle w:val="8"/>
                <w:lang w:val="en-US" w:eastAsia="zh-CN"/>
              </w:rPr>
            </w:pPr>
            <w:r>
              <w:rPr>
                <w:rStyle w:val="8"/>
                <w:lang w:val="en-US" w:eastAsia="zh-CN"/>
              </w:rPr>
              <w:t>公用经费控制率</w:t>
            </w:r>
            <w:r>
              <w:rPr>
                <w:rStyle w:val="9"/>
                <w:rFonts w:eastAsia="宋体"/>
                <w:lang w:val="en-US" w:eastAsia="zh-CN"/>
              </w:rPr>
              <w:t>=</w:t>
            </w:r>
            <w:r>
              <w:rPr>
                <w:rStyle w:val="8"/>
                <w:lang w:val="en-US" w:eastAsia="zh-CN"/>
              </w:rPr>
              <w:t>（实际支出公用经费总额</w:t>
            </w:r>
            <w:r>
              <w:rPr>
                <w:rStyle w:val="9"/>
                <w:rFonts w:eastAsia="宋体"/>
                <w:lang w:val="en-US" w:eastAsia="zh-CN"/>
              </w:rPr>
              <w:t>/</w:t>
            </w:r>
            <w:r>
              <w:rPr>
                <w:rStyle w:val="8"/>
                <w:lang w:val="en-US" w:eastAsia="zh-CN"/>
              </w:rPr>
              <w:t>预算安排公用经费总额）</w:t>
            </w:r>
            <w:r>
              <w:rPr>
                <w:rStyle w:val="9"/>
                <w:rFonts w:eastAsia="宋体"/>
                <w:lang w:val="en-US" w:eastAsia="zh-CN"/>
              </w:rPr>
              <w:t>×100%</w:t>
            </w:r>
            <w:r>
              <w:rPr>
                <w:rStyle w:val="8"/>
                <w:lang w:val="en-US" w:eastAsia="zh-CN"/>
              </w:rPr>
              <w:t>。</w:t>
            </w:r>
          </w:p>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Style w:val="8"/>
                <w:lang w:val="en-US" w:eastAsia="zh-CN"/>
              </w:rPr>
              <w:t>该项得分，控制率</w:t>
            </w:r>
            <w:r>
              <w:rPr>
                <w:rStyle w:val="9"/>
                <w:rFonts w:eastAsia="宋体"/>
                <w:lang w:val="en-US" w:eastAsia="zh-CN"/>
              </w:rPr>
              <w:t>≤100%</w:t>
            </w:r>
            <w:r>
              <w:rPr>
                <w:rStyle w:val="8"/>
                <w:lang w:val="en-US" w:eastAsia="zh-CN"/>
              </w:rPr>
              <w:t>，计</w:t>
            </w:r>
            <w:r>
              <w:rPr>
                <w:rStyle w:val="9"/>
                <w:rFonts w:eastAsia="宋体"/>
                <w:lang w:val="en-US" w:eastAsia="zh-CN"/>
              </w:rPr>
              <w:t>2</w:t>
            </w:r>
            <w:r>
              <w:rPr>
                <w:rStyle w:val="8"/>
                <w:lang w:val="en-US" w:eastAsia="zh-CN"/>
              </w:rPr>
              <w:t>分，控制率</w:t>
            </w:r>
            <w:r>
              <w:rPr>
                <w:rStyle w:val="9"/>
                <w:rFonts w:eastAsia="宋体"/>
                <w:lang w:val="en-US" w:eastAsia="zh-CN"/>
              </w:rPr>
              <w:t>&gt;100%</w:t>
            </w:r>
            <w:r>
              <w:rPr>
                <w:rStyle w:val="8"/>
                <w:lang w:val="en-US" w:eastAsia="zh-CN"/>
              </w:rPr>
              <w:t>，计</w:t>
            </w:r>
            <w:r>
              <w:rPr>
                <w:rStyle w:val="9"/>
                <w:rFonts w:eastAsia="宋体"/>
                <w:lang w:val="en-US" w:eastAsia="zh-CN"/>
              </w:rPr>
              <w:t>0</w:t>
            </w:r>
            <w:r>
              <w:rPr>
                <w:rStyle w:val="8"/>
                <w:lang w:val="en-US" w:eastAsia="zh-CN"/>
              </w:rPr>
              <w:t>分。</w:t>
            </w:r>
          </w:p>
        </w:tc>
        <w:tc>
          <w:tcPr>
            <w:tcW w:w="2115" w:type="dxa"/>
            <w:tcBorders>
              <w:tl2br w:val="nil"/>
              <w:tr2bl w:val="nil"/>
            </w:tcBorders>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财政部门批复的本年度部门（单位）预算；本年度部门（单位）决算报表。</w:t>
            </w:r>
          </w:p>
        </w:tc>
        <w:tc>
          <w:tcPr>
            <w:tcW w:w="586" w:type="dxa"/>
            <w:tcBorders>
              <w:tl2br w:val="nil"/>
              <w:tr2bl w:val="nil"/>
            </w:tcBorders>
            <w:vAlign w:val="center"/>
          </w:tcPr>
          <w:p>
            <w:pPr>
              <w:jc w:val="left"/>
              <w:rPr>
                <w:rFonts w:hint="default" w:ascii="Times New Roman" w:hAnsi="Times New Roman" w:eastAsia="宋体" w:cs="Times New Roman"/>
                <w:i w:val="0"/>
                <w:iCs w:val="0"/>
                <w:color w:val="000000"/>
                <w:sz w:val="18"/>
                <w:szCs w:val="18"/>
                <w:u w:val="none"/>
                <w:lang w:val="en-US" w:eastAsia="zh-CN"/>
              </w:rPr>
            </w:pPr>
            <w:r>
              <w:rPr>
                <w:rFonts w:hint="eastAsia" w:ascii="Times New Roman" w:hAnsi="Times New Roman" w:cs="Times New Roman"/>
                <w:i w:val="0"/>
                <w:iCs w:val="0"/>
                <w:color w:val="000000"/>
                <w:sz w:val="18"/>
                <w:szCs w:val="18"/>
                <w:u w:val="none"/>
                <w:lang w:val="en-US" w:eastAsia="zh-CN"/>
              </w:rPr>
              <w:t>1.6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340" w:hRule="atLeast"/>
          <w:jc w:val="center"/>
        </w:trPr>
        <w:tc>
          <w:tcPr>
            <w:tcW w:w="873" w:type="dxa"/>
            <w:vMerge w:val="continue"/>
            <w:tcBorders>
              <w:tl2br w:val="nil"/>
              <w:tr2bl w:val="nil"/>
            </w:tcBorders>
            <w:vAlign w:val="center"/>
          </w:tcPr>
          <w:p>
            <w:pPr>
              <w:jc w:val="center"/>
              <w:rPr>
                <w:rFonts w:hint="eastAsia" w:ascii="宋体" w:hAnsi="宋体" w:eastAsia="宋体" w:cs="宋体"/>
                <w:i w:val="0"/>
                <w:iCs w:val="0"/>
                <w:color w:val="000000"/>
                <w:sz w:val="18"/>
                <w:szCs w:val="18"/>
                <w:u w:val="none"/>
              </w:rPr>
            </w:pPr>
          </w:p>
        </w:tc>
        <w:tc>
          <w:tcPr>
            <w:tcW w:w="870" w:type="dxa"/>
            <w:vMerge w:val="continue"/>
            <w:tcBorders>
              <w:tl2br w:val="nil"/>
              <w:tr2bl w:val="nil"/>
            </w:tcBorders>
            <w:vAlign w:val="center"/>
          </w:tcPr>
          <w:p>
            <w:pPr>
              <w:jc w:val="center"/>
              <w:rPr>
                <w:rFonts w:hint="eastAsia" w:ascii="宋体" w:hAnsi="宋体" w:eastAsia="宋体" w:cs="宋体"/>
                <w:i w:val="0"/>
                <w:iCs w:val="0"/>
                <w:color w:val="000000"/>
                <w:sz w:val="18"/>
                <w:szCs w:val="18"/>
                <w:u w:val="none"/>
              </w:rPr>
            </w:pPr>
          </w:p>
        </w:tc>
        <w:tc>
          <w:tcPr>
            <w:tcW w:w="1050" w:type="dxa"/>
            <w:tcBorders>
              <w:tl2br w:val="nil"/>
              <w:tr2bl w:val="nil"/>
            </w:tcBorders>
            <w:vAlign w:val="center"/>
          </w:tcPr>
          <w:p>
            <w:pPr>
              <w:keepNext w:val="0"/>
              <w:keepLines w:val="0"/>
              <w:widowControl/>
              <w:suppressLineNumbers w:val="0"/>
              <w:jc w:val="center"/>
              <w:textAlignment w:val="center"/>
              <w:rPr>
                <w:rStyle w:val="9"/>
                <w:rFonts w:eastAsia="宋体"/>
                <w:lang w:val="en-US" w:eastAsia="zh-CN"/>
              </w:rPr>
            </w:pPr>
            <w:r>
              <w:rPr>
                <w:rStyle w:val="9"/>
                <w:rFonts w:eastAsia="宋体"/>
                <w:lang w:val="en-US" w:eastAsia="zh-CN"/>
              </w:rPr>
              <w:t>“</w:t>
            </w:r>
            <w:r>
              <w:rPr>
                <w:rStyle w:val="8"/>
                <w:lang w:val="en-US" w:eastAsia="zh-CN"/>
              </w:rPr>
              <w:t>三公经费</w:t>
            </w:r>
            <w:r>
              <w:rPr>
                <w:rStyle w:val="9"/>
                <w:rFonts w:eastAsia="宋体"/>
                <w:lang w:val="en-US" w:eastAsia="zh-CN"/>
              </w:rPr>
              <w:t>”</w:t>
            </w:r>
          </w:p>
          <w:p>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Style w:val="8"/>
                <w:lang w:val="en-US" w:eastAsia="zh-CN"/>
              </w:rPr>
              <w:t>控制率</w:t>
            </w:r>
          </w:p>
        </w:tc>
        <w:tc>
          <w:tcPr>
            <w:tcW w:w="495" w:type="dxa"/>
            <w:tcBorders>
              <w:tl2br w:val="nil"/>
              <w:tr2bl w:val="nil"/>
            </w:tcBorders>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rPr>
              <w:t>2</w:t>
            </w:r>
          </w:p>
        </w:tc>
        <w:tc>
          <w:tcPr>
            <w:tcW w:w="2570" w:type="dxa"/>
            <w:tcBorders>
              <w:tl2br w:val="nil"/>
              <w:tr2bl w:val="nil"/>
            </w:tcBorders>
            <w:vAlign w:val="center"/>
          </w:tcPr>
          <w:p>
            <w:pPr>
              <w:keepNext w:val="0"/>
              <w:keepLines w:val="0"/>
              <w:widowControl/>
              <w:suppressLineNumbers w:val="0"/>
              <w:jc w:val="left"/>
              <w:textAlignment w:val="center"/>
              <w:rPr>
                <w:rFonts w:hint="default" w:ascii="Times New Roman" w:hAnsi="Times New Roman" w:eastAsia="宋体" w:cs="Times New Roman"/>
                <w:i w:val="0"/>
                <w:iCs w:val="0"/>
                <w:color w:val="000000"/>
                <w:sz w:val="18"/>
                <w:szCs w:val="18"/>
                <w:u w:val="none"/>
              </w:rPr>
            </w:pPr>
            <w:r>
              <w:rPr>
                <w:rStyle w:val="8"/>
                <w:lang w:val="en-US" w:eastAsia="zh-CN"/>
              </w:rPr>
              <w:t>部门（单位）本年度</w:t>
            </w:r>
            <w:r>
              <w:rPr>
                <w:rStyle w:val="9"/>
                <w:rFonts w:eastAsia="宋体"/>
                <w:lang w:val="en-US" w:eastAsia="zh-CN"/>
              </w:rPr>
              <w:t>“</w:t>
            </w:r>
            <w:r>
              <w:rPr>
                <w:rStyle w:val="8"/>
                <w:lang w:val="en-US" w:eastAsia="zh-CN"/>
              </w:rPr>
              <w:t>三公经费</w:t>
            </w:r>
            <w:r>
              <w:rPr>
                <w:rStyle w:val="9"/>
                <w:rFonts w:eastAsia="宋体"/>
                <w:lang w:val="en-US" w:eastAsia="zh-CN"/>
              </w:rPr>
              <w:t>”</w:t>
            </w:r>
            <w:r>
              <w:rPr>
                <w:rStyle w:val="8"/>
                <w:lang w:val="en-US" w:eastAsia="zh-CN"/>
              </w:rPr>
              <w:t>实际支出数与预算安排数的比率，用以反映和考核部门（单位）对</w:t>
            </w:r>
            <w:r>
              <w:rPr>
                <w:rStyle w:val="9"/>
                <w:rFonts w:eastAsia="宋体"/>
                <w:lang w:val="en-US" w:eastAsia="zh-CN"/>
              </w:rPr>
              <w:t>“</w:t>
            </w:r>
            <w:r>
              <w:rPr>
                <w:rStyle w:val="8"/>
                <w:lang w:val="en-US" w:eastAsia="zh-CN"/>
              </w:rPr>
              <w:t>三公经费</w:t>
            </w:r>
            <w:r>
              <w:rPr>
                <w:rStyle w:val="9"/>
                <w:rFonts w:eastAsia="宋体"/>
                <w:lang w:val="en-US" w:eastAsia="zh-CN"/>
              </w:rPr>
              <w:t>”</w:t>
            </w:r>
            <w:r>
              <w:rPr>
                <w:rStyle w:val="8"/>
                <w:lang w:val="en-US" w:eastAsia="zh-CN"/>
              </w:rPr>
              <w:t>的实际控制程度。</w:t>
            </w:r>
          </w:p>
        </w:tc>
        <w:tc>
          <w:tcPr>
            <w:tcW w:w="5112" w:type="dxa"/>
            <w:tcBorders>
              <w:tl2br w:val="nil"/>
              <w:tr2bl w:val="nil"/>
            </w:tcBorders>
            <w:vAlign w:val="center"/>
          </w:tcPr>
          <w:p>
            <w:pPr>
              <w:keepNext w:val="0"/>
              <w:keepLines w:val="0"/>
              <w:widowControl/>
              <w:suppressLineNumbers w:val="0"/>
              <w:jc w:val="left"/>
              <w:textAlignment w:val="center"/>
              <w:rPr>
                <w:rStyle w:val="8"/>
                <w:lang w:val="en-US" w:eastAsia="zh-CN"/>
              </w:rPr>
            </w:pPr>
            <w:r>
              <w:rPr>
                <w:rStyle w:val="9"/>
                <w:rFonts w:eastAsia="宋体"/>
                <w:lang w:val="en-US" w:eastAsia="zh-CN"/>
              </w:rPr>
              <w:t>“</w:t>
            </w:r>
            <w:r>
              <w:rPr>
                <w:rStyle w:val="8"/>
                <w:lang w:val="en-US" w:eastAsia="zh-CN"/>
              </w:rPr>
              <w:t>三公经费</w:t>
            </w:r>
            <w:r>
              <w:rPr>
                <w:rStyle w:val="9"/>
                <w:rFonts w:eastAsia="宋体"/>
                <w:lang w:val="en-US" w:eastAsia="zh-CN"/>
              </w:rPr>
              <w:t>”</w:t>
            </w:r>
            <w:r>
              <w:rPr>
                <w:rStyle w:val="8"/>
                <w:lang w:val="en-US" w:eastAsia="zh-CN"/>
              </w:rPr>
              <w:t>控制率</w:t>
            </w:r>
            <w:r>
              <w:rPr>
                <w:rStyle w:val="9"/>
                <w:rFonts w:eastAsia="宋体"/>
                <w:lang w:val="en-US" w:eastAsia="zh-CN"/>
              </w:rPr>
              <w:t>=</w:t>
            </w:r>
            <w:r>
              <w:rPr>
                <w:rStyle w:val="8"/>
                <w:lang w:val="en-US" w:eastAsia="zh-CN"/>
              </w:rPr>
              <w:t>（</w:t>
            </w:r>
            <w:r>
              <w:rPr>
                <w:rStyle w:val="9"/>
                <w:rFonts w:eastAsia="宋体"/>
                <w:lang w:val="en-US" w:eastAsia="zh-CN"/>
              </w:rPr>
              <w:t>“</w:t>
            </w:r>
            <w:r>
              <w:rPr>
                <w:rStyle w:val="8"/>
                <w:lang w:val="en-US" w:eastAsia="zh-CN"/>
              </w:rPr>
              <w:t>三公经费</w:t>
            </w:r>
            <w:r>
              <w:rPr>
                <w:rStyle w:val="9"/>
                <w:rFonts w:eastAsia="宋体"/>
                <w:lang w:val="en-US" w:eastAsia="zh-CN"/>
              </w:rPr>
              <w:t>”</w:t>
            </w:r>
            <w:r>
              <w:rPr>
                <w:rStyle w:val="8"/>
                <w:lang w:val="en-US" w:eastAsia="zh-CN"/>
              </w:rPr>
              <w:t>实际支出数</w:t>
            </w:r>
            <w:r>
              <w:rPr>
                <w:rStyle w:val="9"/>
                <w:rFonts w:eastAsia="宋体"/>
                <w:lang w:val="en-US" w:eastAsia="zh-CN"/>
              </w:rPr>
              <w:t>/“</w:t>
            </w:r>
            <w:r>
              <w:rPr>
                <w:rStyle w:val="8"/>
                <w:lang w:val="en-US" w:eastAsia="zh-CN"/>
              </w:rPr>
              <w:t>三公经费</w:t>
            </w:r>
            <w:r>
              <w:rPr>
                <w:rStyle w:val="9"/>
                <w:rFonts w:eastAsia="宋体"/>
                <w:lang w:val="en-US" w:eastAsia="zh-CN"/>
              </w:rPr>
              <w:t>”</w:t>
            </w:r>
            <w:r>
              <w:rPr>
                <w:rStyle w:val="8"/>
                <w:lang w:val="en-US" w:eastAsia="zh-CN"/>
              </w:rPr>
              <w:t>预算安排数）</w:t>
            </w:r>
            <w:r>
              <w:rPr>
                <w:rStyle w:val="9"/>
                <w:rFonts w:eastAsia="宋体"/>
                <w:lang w:val="en-US" w:eastAsia="zh-CN"/>
              </w:rPr>
              <w:t>×100%</w:t>
            </w:r>
            <w:r>
              <w:rPr>
                <w:rStyle w:val="8"/>
                <w:lang w:val="en-US" w:eastAsia="zh-CN"/>
              </w:rPr>
              <w:t>。</w:t>
            </w:r>
          </w:p>
          <w:p>
            <w:pPr>
              <w:keepNext w:val="0"/>
              <w:keepLines w:val="0"/>
              <w:widowControl/>
              <w:suppressLineNumbers w:val="0"/>
              <w:jc w:val="left"/>
              <w:textAlignment w:val="center"/>
              <w:rPr>
                <w:rFonts w:hint="default" w:ascii="Times New Roman" w:hAnsi="Times New Roman" w:eastAsia="宋体" w:cs="Times New Roman"/>
                <w:i w:val="0"/>
                <w:iCs w:val="0"/>
                <w:color w:val="000000"/>
                <w:sz w:val="18"/>
                <w:szCs w:val="18"/>
                <w:u w:val="none"/>
              </w:rPr>
            </w:pPr>
            <w:r>
              <w:rPr>
                <w:rStyle w:val="8"/>
                <w:lang w:val="en-US" w:eastAsia="zh-CN"/>
              </w:rPr>
              <w:t>该项得分，控制率</w:t>
            </w:r>
            <w:r>
              <w:rPr>
                <w:rStyle w:val="9"/>
                <w:rFonts w:eastAsia="宋体"/>
                <w:lang w:val="en-US" w:eastAsia="zh-CN"/>
              </w:rPr>
              <w:t>≤100%</w:t>
            </w:r>
            <w:r>
              <w:rPr>
                <w:rStyle w:val="8"/>
                <w:lang w:val="en-US" w:eastAsia="zh-CN"/>
              </w:rPr>
              <w:t>，计</w:t>
            </w:r>
            <w:r>
              <w:rPr>
                <w:rStyle w:val="9"/>
                <w:rFonts w:eastAsia="宋体"/>
                <w:lang w:val="en-US" w:eastAsia="zh-CN"/>
              </w:rPr>
              <w:t>2</w:t>
            </w:r>
            <w:r>
              <w:rPr>
                <w:rStyle w:val="8"/>
                <w:lang w:val="en-US" w:eastAsia="zh-CN"/>
              </w:rPr>
              <w:t>分，控制率</w:t>
            </w:r>
            <w:r>
              <w:rPr>
                <w:rStyle w:val="9"/>
                <w:rFonts w:eastAsia="宋体"/>
                <w:lang w:val="en-US" w:eastAsia="zh-CN"/>
              </w:rPr>
              <w:t>&gt;100%</w:t>
            </w:r>
            <w:r>
              <w:rPr>
                <w:rStyle w:val="8"/>
                <w:lang w:val="en-US" w:eastAsia="zh-CN"/>
              </w:rPr>
              <w:t>，计</w:t>
            </w:r>
            <w:r>
              <w:rPr>
                <w:rStyle w:val="9"/>
                <w:rFonts w:eastAsia="宋体"/>
                <w:lang w:val="en-US" w:eastAsia="zh-CN"/>
              </w:rPr>
              <w:t>0</w:t>
            </w:r>
            <w:r>
              <w:rPr>
                <w:rStyle w:val="8"/>
                <w:lang w:val="en-US" w:eastAsia="zh-CN"/>
              </w:rPr>
              <w:t>分。</w:t>
            </w:r>
          </w:p>
        </w:tc>
        <w:tc>
          <w:tcPr>
            <w:tcW w:w="2115" w:type="dxa"/>
            <w:tcBorders>
              <w:tl2br w:val="nil"/>
              <w:tr2bl w:val="nil"/>
            </w:tcBorders>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财政部门批复的本年度部门（单位）预算；本年度部门（单位）决算报表。</w:t>
            </w:r>
          </w:p>
        </w:tc>
        <w:tc>
          <w:tcPr>
            <w:tcW w:w="586" w:type="dxa"/>
            <w:tcBorders>
              <w:tl2br w:val="nil"/>
              <w:tr2bl w:val="nil"/>
            </w:tcBorders>
            <w:vAlign w:val="center"/>
          </w:tcPr>
          <w:p>
            <w:pPr>
              <w:jc w:val="left"/>
              <w:rPr>
                <w:rFonts w:hint="eastAsia" w:ascii="Times New Roman" w:hAnsi="Times New Roman" w:eastAsia="宋体" w:cs="Times New Roman"/>
                <w:i w:val="0"/>
                <w:iCs w:val="0"/>
                <w:color w:val="000000"/>
                <w:sz w:val="18"/>
                <w:szCs w:val="18"/>
                <w:u w:val="none"/>
                <w:lang w:val="en-US" w:eastAsia="zh-CN"/>
              </w:rPr>
            </w:pPr>
            <w:r>
              <w:rPr>
                <w:rFonts w:hint="eastAsia" w:ascii="Times New Roman" w:hAnsi="Times New Roman" w:cs="Times New Roman"/>
                <w:i w:val="0"/>
                <w:iCs w:val="0"/>
                <w:color w:val="000000"/>
                <w:sz w:val="18"/>
                <w:szCs w:val="18"/>
                <w:u w:val="none"/>
                <w:lang w:val="en-US" w:eastAsia="zh-CN"/>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565" w:hRule="atLeast"/>
          <w:jc w:val="center"/>
        </w:trPr>
        <w:tc>
          <w:tcPr>
            <w:tcW w:w="873" w:type="dxa"/>
            <w:vMerge w:val="continue"/>
            <w:tcBorders>
              <w:tl2br w:val="nil"/>
              <w:tr2bl w:val="nil"/>
            </w:tcBorders>
            <w:vAlign w:val="center"/>
          </w:tcPr>
          <w:p>
            <w:pPr>
              <w:jc w:val="center"/>
              <w:rPr>
                <w:rFonts w:hint="eastAsia" w:ascii="宋体" w:hAnsi="宋体" w:eastAsia="宋体" w:cs="宋体"/>
                <w:i w:val="0"/>
                <w:iCs w:val="0"/>
                <w:color w:val="000000"/>
                <w:sz w:val="18"/>
                <w:szCs w:val="18"/>
                <w:u w:val="none"/>
              </w:rPr>
            </w:pPr>
          </w:p>
        </w:tc>
        <w:tc>
          <w:tcPr>
            <w:tcW w:w="870" w:type="dxa"/>
            <w:vMerge w:val="continue"/>
            <w:tcBorders>
              <w:tl2br w:val="nil"/>
              <w:tr2bl w:val="nil"/>
            </w:tcBorders>
            <w:vAlign w:val="center"/>
          </w:tcPr>
          <w:p>
            <w:pPr>
              <w:jc w:val="center"/>
              <w:rPr>
                <w:rFonts w:hint="eastAsia" w:ascii="宋体" w:hAnsi="宋体" w:eastAsia="宋体" w:cs="宋体"/>
                <w:i w:val="0"/>
                <w:iCs w:val="0"/>
                <w:color w:val="000000"/>
                <w:sz w:val="18"/>
                <w:szCs w:val="18"/>
                <w:u w:val="none"/>
              </w:rPr>
            </w:pPr>
          </w:p>
        </w:tc>
        <w:tc>
          <w:tcPr>
            <w:tcW w:w="1050" w:type="dxa"/>
            <w:tcBorders>
              <w:tl2br w:val="nil"/>
              <w:tr2bl w:val="nil"/>
            </w:tcBorders>
            <w:vAlign w:val="center"/>
          </w:tcPr>
          <w:p>
            <w:pPr>
              <w:keepNext w:val="0"/>
              <w:keepLines w:val="0"/>
              <w:widowControl/>
              <w:suppressLineNumbers w:val="0"/>
              <w:jc w:val="center"/>
              <w:textAlignment w:val="center"/>
              <w:rPr>
                <w:rStyle w:val="8"/>
                <w:lang w:val="en-US" w:eastAsia="zh-CN"/>
              </w:rPr>
            </w:pPr>
            <w:r>
              <w:rPr>
                <w:rStyle w:val="8"/>
                <w:lang w:val="en-US" w:eastAsia="zh-CN"/>
              </w:rPr>
              <w:t>政府采购</w:t>
            </w:r>
          </w:p>
          <w:p>
            <w:pPr>
              <w:keepNext w:val="0"/>
              <w:keepLines w:val="0"/>
              <w:widowControl/>
              <w:suppressLineNumbers w:val="0"/>
              <w:jc w:val="center"/>
              <w:textAlignment w:val="center"/>
              <w:rPr>
                <w:rStyle w:val="8"/>
                <w:lang w:val="en-US" w:eastAsia="zh-CN"/>
              </w:rPr>
            </w:pPr>
            <w:r>
              <w:rPr>
                <w:rStyle w:val="8"/>
                <w:lang w:val="en-US" w:eastAsia="zh-CN"/>
              </w:rPr>
              <w:t>执行率和</w:t>
            </w:r>
          </w:p>
          <w:p>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Style w:val="8"/>
                <w:lang w:val="en-US" w:eastAsia="zh-CN"/>
              </w:rPr>
              <w:t>规范性</w:t>
            </w:r>
          </w:p>
        </w:tc>
        <w:tc>
          <w:tcPr>
            <w:tcW w:w="495" w:type="dxa"/>
            <w:tcBorders>
              <w:tl2br w:val="nil"/>
              <w:tr2bl w:val="nil"/>
            </w:tcBorders>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rPr>
              <w:t>2</w:t>
            </w:r>
          </w:p>
        </w:tc>
        <w:tc>
          <w:tcPr>
            <w:tcW w:w="2570" w:type="dxa"/>
            <w:tcBorders>
              <w:tl2br w:val="nil"/>
              <w:tr2bl w:val="nil"/>
            </w:tcBorders>
            <w:vAlign w:val="center"/>
          </w:tcPr>
          <w:p>
            <w:pPr>
              <w:keepNext w:val="0"/>
              <w:keepLines w:val="0"/>
              <w:widowControl/>
              <w:suppressLineNumbers w:val="0"/>
              <w:jc w:val="left"/>
              <w:textAlignment w:val="center"/>
              <w:rPr>
                <w:rFonts w:hint="default" w:ascii="Times New Roman" w:hAnsi="Times New Roman" w:eastAsia="宋体" w:cs="Times New Roman"/>
                <w:i w:val="0"/>
                <w:iCs w:val="0"/>
                <w:color w:val="000000"/>
                <w:sz w:val="18"/>
                <w:szCs w:val="18"/>
                <w:u w:val="none"/>
              </w:rPr>
            </w:pPr>
            <w:r>
              <w:rPr>
                <w:rStyle w:val="8"/>
                <w:lang w:val="en-US" w:eastAsia="zh-CN"/>
              </w:rPr>
              <w:t>部门（单位）本年度实际政府采购金额与年初政府采购预算的比率，用以反映和考核部门（单位）政府采购预算执行情况。</w:t>
            </w:r>
          </w:p>
        </w:tc>
        <w:tc>
          <w:tcPr>
            <w:tcW w:w="5112" w:type="dxa"/>
            <w:tcBorders>
              <w:tl2br w:val="nil"/>
              <w:tr2bl w:val="nil"/>
            </w:tcBorders>
            <w:vAlign w:val="center"/>
          </w:tcPr>
          <w:p>
            <w:pPr>
              <w:keepNext w:val="0"/>
              <w:keepLines w:val="0"/>
              <w:widowControl/>
              <w:suppressLineNumbers w:val="0"/>
              <w:jc w:val="left"/>
              <w:textAlignment w:val="center"/>
              <w:rPr>
                <w:rStyle w:val="8"/>
                <w:lang w:val="en-US" w:eastAsia="zh-CN"/>
              </w:rPr>
            </w:pPr>
          </w:p>
          <w:p>
            <w:pPr>
              <w:keepNext w:val="0"/>
              <w:keepLines w:val="0"/>
              <w:widowControl/>
              <w:suppressLineNumbers w:val="0"/>
              <w:jc w:val="left"/>
              <w:textAlignment w:val="center"/>
              <w:rPr>
                <w:rStyle w:val="8"/>
                <w:lang w:val="en-US" w:eastAsia="zh-CN"/>
              </w:rPr>
            </w:pPr>
            <w:r>
              <w:rPr>
                <w:rStyle w:val="8"/>
                <w:lang w:val="en-US" w:eastAsia="zh-CN"/>
              </w:rPr>
              <w:t>①政府采购预算执行率</w:t>
            </w:r>
            <w:r>
              <w:rPr>
                <w:rStyle w:val="9"/>
                <w:rFonts w:eastAsia="宋体"/>
                <w:lang w:val="en-US" w:eastAsia="zh-CN"/>
              </w:rPr>
              <w:t>=</w:t>
            </w:r>
            <w:r>
              <w:rPr>
                <w:rStyle w:val="8"/>
                <w:lang w:val="en-US" w:eastAsia="zh-CN"/>
              </w:rPr>
              <w:t>（实际政府采购金额</w:t>
            </w:r>
            <w:r>
              <w:rPr>
                <w:rStyle w:val="9"/>
                <w:rFonts w:eastAsia="宋体"/>
                <w:lang w:val="en-US" w:eastAsia="zh-CN"/>
              </w:rPr>
              <w:t>/</w:t>
            </w:r>
            <w:r>
              <w:rPr>
                <w:rStyle w:val="8"/>
                <w:lang w:val="en-US" w:eastAsia="zh-CN"/>
              </w:rPr>
              <w:t>政府采购预算数）</w:t>
            </w:r>
            <w:r>
              <w:rPr>
                <w:rStyle w:val="9"/>
                <w:rFonts w:eastAsia="宋体"/>
                <w:lang w:val="en-US" w:eastAsia="zh-CN"/>
              </w:rPr>
              <w:t>×100%</w:t>
            </w:r>
            <w:r>
              <w:rPr>
                <w:rStyle w:val="8"/>
                <w:lang w:val="en-US" w:eastAsia="zh-CN"/>
              </w:rPr>
              <w:t>；</w:t>
            </w:r>
          </w:p>
          <w:p>
            <w:pPr>
              <w:keepNext w:val="0"/>
              <w:keepLines w:val="0"/>
              <w:widowControl/>
              <w:suppressLineNumbers w:val="0"/>
              <w:jc w:val="left"/>
              <w:textAlignment w:val="center"/>
              <w:rPr>
                <w:rStyle w:val="8"/>
                <w:lang w:val="en-US" w:eastAsia="zh-CN"/>
              </w:rPr>
            </w:pPr>
            <w:r>
              <w:rPr>
                <w:rStyle w:val="8"/>
                <w:lang w:val="en-US" w:eastAsia="zh-CN"/>
              </w:rPr>
              <w:t>政府采购预算：采购机关根据事业发展计划和行政任务编制的、并经过规定程序批准的年度政府采购计划。</w:t>
            </w:r>
          </w:p>
          <w:p>
            <w:pPr>
              <w:keepNext w:val="0"/>
              <w:keepLines w:val="0"/>
              <w:widowControl/>
              <w:suppressLineNumbers w:val="0"/>
              <w:jc w:val="left"/>
              <w:textAlignment w:val="center"/>
              <w:rPr>
                <w:rStyle w:val="8"/>
                <w:lang w:val="en-US" w:eastAsia="zh-CN"/>
              </w:rPr>
            </w:pPr>
            <w:r>
              <w:rPr>
                <w:rStyle w:val="8"/>
                <w:lang w:val="en-US" w:eastAsia="zh-CN"/>
              </w:rPr>
              <w:t>该项得分，完成本年度采购计划的，政府采购执行率≤</w:t>
            </w:r>
            <w:r>
              <w:rPr>
                <w:rStyle w:val="9"/>
                <w:rFonts w:eastAsia="宋体"/>
                <w:lang w:val="en-US" w:eastAsia="zh-CN"/>
              </w:rPr>
              <w:t>100%</w:t>
            </w:r>
            <w:r>
              <w:rPr>
                <w:rStyle w:val="8"/>
                <w:lang w:val="en-US" w:eastAsia="zh-CN"/>
              </w:rPr>
              <w:t>，计</w:t>
            </w:r>
            <w:r>
              <w:rPr>
                <w:rStyle w:val="9"/>
                <w:rFonts w:eastAsia="宋体"/>
                <w:lang w:val="en-US" w:eastAsia="zh-CN"/>
              </w:rPr>
              <w:t>1</w:t>
            </w:r>
            <w:r>
              <w:rPr>
                <w:rStyle w:val="8"/>
                <w:lang w:val="en-US" w:eastAsia="zh-CN"/>
              </w:rPr>
              <w:t>分，每超过</w:t>
            </w:r>
            <w:r>
              <w:rPr>
                <w:rStyle w:val="9"/>
                <w:rFonts w:eastAsia="宋体"/>
                <w:lang w:val="en-US" w:eastAsia="zh-CN"/>
              </w:rPr>
              <w:t>1%</w:t>
            </w:r>
            <w:r>
              <w:rPr>
                <w:rStyle w:val="8"/>
                <w:lang w:val="en-US" w:eastAsia="zh-CN"/>
              </w:rPr>
              <w:t>扣</w:t>
            </w:r>
            <w:r>
              <w:rPr>
                <w:rStyle w:val="9"/>
                <w:rFonts w:eastAsia="宋体"/>
                <w:lang w:val="en-US" w:eastAsia="zh-CN"/>
              </w:rPr>
              <w:t>0.1</w:t>
            </w:r>
            <w:r>
              <w:rPr>
                <w:rStyle w:val="8"/>
                <w:lang w:val="en-US" w:eastAsia="zh-CN"/>
              </w:rPr>
              <w:t>分，扣完为止；</w:t>
            </w:r>
          </w:p>
          <w:p>
            <w:pPr>
              <w:keepNext w:val="0"/>
              <w:keepLines w:val="0"/>
              <w:widowControl/>
              <w:suppressLineNumbers w:val="0"/>
              <w:jc w:val="left"/>
              <w:textAlignment w:val="center"/>
              <w:rPr>
                <w:rStyle w:val="8"/>
                <w:lang w:val="en-US" w:eastAsia="zh-CN"/>
              </w:rPr>
            </w:pPr>
            <w:r>
              <w:rPr>
                <w:rStyle w:val="8"/>
                <w:lang w:val="en-US" w:eastAsia="zh-CN"/>
              </w:rPr>
              <w:t>②所有项目依法采购，无规避政府采购或化整为零进行政府采购的行为，并履行验收手续，计0.5分，否则不得分；</w:t>
            </w:r>
          </w:p>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Style w:val="8"/>
                <w:lang w:val="en-US" w:eastAsia="zh-CN"/>
              </w:rPr>
              <w:t>③预算单位建立了政府采购内控制度，计0.5分，否则不得分。</w:t>
            </w:r>
          </w:p>
        </w:tc>
        <w:tc>
          <w:tcPr>
            <w:tcW w:w="2115" w:type="dxa"/>
            <w:tcBorders>
              <w:tl2br w:val="nil"/>
              <w:tr2bl w:val="nil"/>
            </w:tcBorders>
            <w:vAlign w:val="center"/>
          </w:tcPr>
          <w:p>
            <w:pPr>
              <w:keepNext w:val="0"/>
              <w:keepLines w:val="0"/>
              <w:widowControl/>
              <w:suppressLineNumbers w:val="0"/>
              <w:jc w:val="left"/>
              <w:textAlignment w:val="center"/>
              <w:rPr>
                <w:rFonts w:hint="default" w:ascii="Times New Roman" w:hAnsi="Times New Roman" w:eastAsia="宋体" w:cs="Times New Roman"/>
                <w:i w:val="0"/>
                <w:iCs w:val="0"/>
                <w:color w:val="000000"/>
                <w:sz w:val="18"/>
                <w:szCs w:val="18"/>
                <w:u w:val="none"/>
              </w:rPr>
            </w:pPr>
            <w:r>
              <w:rPr>
                <w:rStyle w:val="8"/>
                <w:lang w:val="en-US" w:eastAsia="zh-CN"/>
              </w:rPr>
              <w:t>财政部门批复的本年度部门（单位）预算；本年度部门（单位）决算报表；《政府采购法》。</w:t>
            </w:r>
          </w:p>
        </w:tc>
        <w:tc>
          <w:tcPr>
            <w:tcW w:w="586" w:type="dxa"/>
            <w:tcBorders>
              <w:tl2br w:val="nil"/>
              <w:tr2bl w:val="nil"/>
            </w:tcBorders>
            <w:vAlign w:val="center"/>
          </w:tcPr>
          <w:p>
            <w:pPr>
              <w:jc w:val="left"/>
              <w:rPr>
                <w:rFonts w:hint="eastAsia" w:ascii="Times New Roman" w:hAnsi="Times New Roman" w:eastAsia="宋体" w:cs="Times New Roman"/>
                <w:i w:val="0"/>
                <w:iCs w:val="0"/>
                <w:color w:val="000000"/>
                <w:sz w:val="18"/>
                <w:szCs w:val="18"/>
                <w:u w:val="none"/>
                <w:lang w:val="en-US" w:eastAsia="zh-CN"/>
              </w:rPr>
            </w:pPr>
            <w:r>
              <w:rPr>
                <w:rFonts w:hint="eastAsia" w:ascii="Times New Roman" w:hAnsi="Times New Roman" w:cs="Times New Roman"/>
                <w:i w:val="0"/>
                <w:iCs w:val="0"/>
                <w:color w:val="000000"/>
                <w:sz w:val="18"/>
                <w:szCs w:val="18"/>
                <w:u w:val="none"/>
                <w:lang w:val="en-US" w:eastAsia="zh-CN"/>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835" w:hRule="atLeast"/>
          <w:jc w:val="center"/>
        </w:trPr>
        <w:tc>
          <w:tcPr>
            <w:tcW w:w="873" w:type="dxa"/>
            <w:vMerge w:val="continue"/>
            <w:tcBorders>
              <w:tl2br w:val="nil"/>
              <w:tr2bl w:val="nil"/>
            </w:tcBorders>
            <w:vAlign w:val="center"/>
          </w:tcPr>
          <w:p>
            <w:pPr>
              <w:jc w:val="center"/>
              <w:rPr>
                <w:rFonts w:hint="eastAsia" w:ascii="宋体" w:hAnsi="宋体" w:eastAsia="宋体" w:cs="宋体"/>
                <w:i w:val="0"/>
                <w:iCs w:val="0"/>
                <w:color w:val="000000"/>
                <w:sz w:val="18"/>
                <w:szCs w:val="18"/>
                <w:u w:val="none"/>
              </w:rPr>
            </w:pPr>
          </w:p>
        </w:tc>
        <w:tc>
          <w:tcPr>
            <w:tcW w:w="870" w:type="dxa"/>
            <w:vMerge w:val="restart"/>
            <w:tcBorders>
              <w:tl2br w:val="nil"/>
              <w:tr2bl w:val="nil"/>
            </w:tcBorders>
            <w:vAlign w:val="center"/>
          </w:tcPr>
          <w:p>
            <w:pPr>
              <w:keepNext w:val="0"/>
              <w:keepLines w:val="0"/>
              <w:widowControl/>
              <w:suppressLineNumbers w:val="0"/>
              <w:jc w:val="center"/>
              <w:textAlignment w:val="center"/>
              <w:rPr>
                <w:rStyle w:val="8"/>
                <w:lang w:val="en-US" w:eastAsia="zh-CN"/>
              </w:rPr>
            </w:pPr>
            <w:r>
              <w:rPr>
                <w:rStyle w:val="8"/>
                <w:lang w:val="en-US" w:eastAsia="zh-CN"/>
              </w:rPr>
              <w:t>预算</w:t>
            </w:r>
          </w:p>
          <w:p>
            <w:pPr>
              <w:keepNext w:val="0"/>
              <w:keepLines w:val="0"/>
              <w:widowControl/>
              <w:suppressLineNumbers w:val="0"/>
              <w:jc w:val="center"/>
              <w:textAlignment w:val="center"/>
              <w:rPr>
                <w:rStyle w:val="8"/>
                <w:lang w:val="en-US" w:eastAsia="zh-CN"/>
              </w:rPr>
            </w:pPr>
            <w:r>
              <w:rPr>
                <w:rStyle w:val="8"/>
                <w:lang w:val="en-US" w:eastAsia="zh-CN"/>
              </w:rPr>
              <w:t>管理</w:t>
            </w:r>
          </w:p>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Style w:val="8"/>
                <w:lang w:val="en-US" w:eastAsia="zh-CN"/>
              </w:rPr>
              <w:t>（</w:t>
            </w:r>
            <w:r>
              <w:rPr>
                <w:rStyle w:val="9"/>
                <w:rFonts w:eastAsia="宋体"/>
                <w:lang w:val="en-US" w:eastAsia="zh-CN"/>
              </w:rPr>
              <w:t>29</w:t>
            </w:r>
            <w:r>
              <w:rPr>
                <w:rStyle w:val="8"/>
                <w:lang w:val="en-US" w:eastAsia="zh-CN"/>
              </w:rPr>
              <w:t>分）</w:t>
            </w:r>
          </w:p>
        </w:tc>
        <w:tc>
          <w:tcPr>
            <w:tcW w:w="1050" w:type="dxa"/>
            <w:tcBorders>
              <w:tl2br w:val="nil"/>
              <w:tr2bl w:val="nil"/>
            </w:tcBorders>
            <w:vAlign w:val="center"/>
          </w:tcPr>
          <w:p>
            <w:pPr>
              <w:keepNext w:val="0"/>
              <w:keepLines w:val="0"/>
              <w:widowControl/>
              <w:suppressLineNumbers w:val="0"/>
              <w:jc w:val="center"/>
              <w:textAlignment w:val="center"/>
              <w:rPr>
                <w:rStyle w:val="8"/>
                <w:lang w:val="en-US" w:eastAsia="zh-CN"/>
              </w:rPr>
            </w:pPr>
            <w:r>
              <w:rPr>
                <w:rStyle w:val="8"/>
                <w:lang w:val="en-US" w:eastAsia="zh-CN"/>
              </w:rPr>
              <w:t>管理制度</w:t>
            </w:r>
          </w:p>
          <w:p>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Style w:val="8"/>
                <w:lang w:val="en-US" w:eastAsia="zh-CN"/>
              </w:rPr>
              <w:t>健全性</w:t>
            </w:r>
          </w:p>
        </w:tc>
        <w:tc>
          <w:tcPr>
            <w:tcW w:w="495" w:type="dxa"/>
            <w:tcBorders>
              <w:tl2br w:val="nil"/>
              <w:tr2bl w:val="nil"/>
            </w:tcBorders>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rPr>
              <w:t>6</w:t>
            </w:r>
          </w:p>
        </w:tc>
        <w:tc>
          <w:tcPr>
            <w:tcW w:w="2570" w:type="dxa"/>
            <w:tcBorders>
              <w:tl2br w:val="nil"/>
              <w:tr2bl w:val="nil"/>
            </w:tcBorders>
            <w:vAlign w:val="center"/>
          </w:tcPr>
          <w:p>
            <w:pPr>
              <w:keepNext w:val="0"/>
              <w:keepLines w:val="0"/>
              <w:widowControl/>
              <w:suppressLineNumbers w:val="0"/>
              <w:jc w:val="left"/>
              <w:textAlignment w:val="center"/>
              <w:rPr>
                <w:rFonts w:hint="default" w:ascii="Times New Roman" w:hAnsi="Times New Roman" w:eastAsia="宋体" w:cs="Times New Roman"/>
                <w:i w:val="0"/>
                <w:iCs w:val="0"/>
                <w:color w:val="000000"/>
                <w:sz w:val="18"/>
                <w:szCs w:val="18"/>
                <w:u w:val="none"/>
              </w:rPr>
            </w:pPr>
            <w:r>
              <w:rPr>
                <w:rStyle w:val="8"/>
                <w:lang w:val="en-US" w:eastAsia="zh-CN"/>
              </w:rPr>
              <w:t>部门（单位）为加强预算管理、规范财务行为而制定的管理制度是否健全完整，用以反映和考核部门（单位）预算管理制度对完成主要职责或促进事业发展的保障情况。</w:t>
            </w:r>
          </w:p>
        </w:tc>
        <w:tc>
          <w:tcPr>
            <w:tcW w:w="5112" w:type="dxa"/>
            <w:tcBorders>
              <w:tl2br w:val="nil"/>
              <w:tr2bl w:val="nil"/>
            </w:tcBorders>
            <w:vAlign w:val="center"/>
          </w:tcPr>
          <w:p>
            <w:pPr>
              <w:keepNext w:val="0"/>
              <w:keepLines w:val="0"/>
              <w:widowControl/>
              <w:suppressLineNumbers w:val="0"/>
              <w:jc w:val="left"/>
              <w:textAlignment w:val="center"/>
              <w:rPr>
                <w:rStyle w:val="8"/>
                <w:lang w:val="en-US" w:eastAsia="zh-CN"/>
              </w:rPr>
            </w:pPr>
          </w:p>
          <w:p>
            <w:pPr>
              <w:keepNext w:val="0"/>
              <w:keepLines w:val="0"/>
              <w:widowControl/>
              <w:suppressLineNumbers w:val="0"/>
              <w:jc w:val="left"/>
              <w:textAlignment w:val="center"/>
              <w:rPr>
                <w:rStyle w:val="8"/>
                <w:lang w:val="en-US" w:eastAsia="zh-CN"/>
              </w:rPr>
            </w:pPr>
            <w:r>
              <w:rPr>
                <w:rStyle w:val="8"/>
                <w:lang w:val="en-US" w:eastAsia="zh-CN"/>
              </w:rPr>
              <w:t>①是否已制定或具有预算资金管理办法、内部财务管理制度、会计核算制度等管理制度；</w:t>
            </w:r>
          </w:p>
          <w:p>
            <w:pPr>
              <w:keepNext w:val="0"/>
              <w:keepLines w:val="0"/>
              <w:widowControl/>
              <w:suppressLineNumbers w:val="0"/>
              <w:jc w:val="left"/>
              <w:textAlignment w:val="center"/>
              <w:rPr>
                <w:rStyle w:val="8"/>
                <w:lang w:val="en-US" w:eastAsia="zh-CN"/>
              </w:rPr>
            </w:pPr>
            <w:r>
              <w:rPr>
                <w:rStyle w:val="8"/>
                <w:lang w:val="en-US" w:eastAsia="zh-CN"/>
              </w:rPr>
              <w:t>②相关管理制度是否合法、合规、完整；</w:t>
            </w:r>
          </w:p>
          <w:p>
            <w:pPr>
              <w:keepNext w:val="0"/>
              <w:keepLines w:val="0"/>
              <w:widowControl/>
              <w:suppressLineNumbers w:val="0"/>
              <w:jc w:val="left"/>
              <w:textAlignment w:val="center"/>
              <w:rPr>
                <w:rStyle w:val="8"/>
                <w:lang w:val="en-US" w:eastAsia="zh-CN"/>
              </w:rPr>
            </w:pPr>
            <w:r>
              <w:rPr>
                <w:rStyle w:val="8"/>
                <w:lang w:val="en-US" w:eastAsia="zh-CN"/>
              </w:rPr>
              <w:t>③相关管理制度是否得到有效执行。</w:t>
            </w:r>
          </w:p>
          <w:p>
            <w:pPr>
              <w:keepNext w:val="0"/>
              <w:keepLines w:val="0"/>
              <w:widowControl/>
              <w:suppressLineNumbers w:val="0"/>
              <w:jc w:val="left"/>
              <w:textAlignment w:val="center"/>
              <w:rPr>
                <w:rStyle w:val="8"/>
                <w:lang w:val="en-US" w:eastAsia="zh-CN"/>
              </w:rPr>
            </w:pPr>
            <w:r>
              <w:rPr>
                <w:rStyle w:val="8"/>
                <w:lang w:val="en-US" w:eastAsia="zh-CN"/>
              </w:rPr>
              <w:t>④会计人员、机构是否按规定设置；</w:t>
            </w:r>
          </w:p>
          <w:p>
            <w:pPr>
              <w:keepNext w:val="0"/>
              <w:keepLines w:val="0"/>
              <w:widowControl/>
              <w:suppressLineNumbers w:val="0"/>
              <w:jc w:val="left"/>
              <w:textAlignment w:val="center"/>
              <w:rPr>
                <w:rStyle w:val="8"/>
                <w:lang w:val="en-US" w:eastAsia="zh-CN"/>
              </w:rPr>
            </w:pPr>
            <w:r>
              <w:rPr>
                <w:rStyle w:val="8"/>
                <w:lang w:val="en-US" w:eastAsia="zh-CN"/>
              </w:rPr>
              <w:t>⑤会计基础工作是否健全；</w:t>
            </w:r>
          </w:p>
          <w:p>
            <w:pPr>
              <w:keepNext w:val="0"/>
              <w:keepLines w:val="0"/>
              <w:widowControl/>
              <w:suppressLineNumbers w:val="0"/>
              <w:jc w:val="left"/>
              <w:textAlignment w:val="center"/>
              <w:rPr>
                <w:rStyle w:val="8"/>
                <w:lang w:val="en-US" w:eastAsia="zh-CN"/>
              </w:rPr>
            </w:pPr>
            <w:r>
              <w:rPr>
                <w:rStyle w:val="8"/>
                <w:lang w:val="en-US" w:eastAsia="zh-CN"/>
              </w:rPr>
              <w:t>⑥会计档案是否符合规定要求；</w:t>
            </w:r>
          </w:p>
          <w:p>
            <w:pPr>
              <w:keepNext w:val="0"/>
              <w:keepLines w:val="0"/>
              <w:widowControl/>
              <w:suppressLineNumbers w:val="0"/>
              <w:jc w:val="left"/>
              <w:textAlignment w:val="center"/>
              <w:rPr>
                <w:rStyle w:val="8"/>
                <w:lang w:val="en-US" w:eastAsia="zh-CN"/>
              </w:rPr>
            </w:pPr>
            <w:r>
              <w:rPr>
                <w:rStyle w:val="8"/>
                <w:lang w:val="en-US" w:eastAsia="zh-CN"/>
              </w:rPr>
              <w:t>⑦项目管理是否规范（包括项目立项、申报、招投标、合同或协议要素、制度建立、按时完工等）。</w:t>
            </w:r>
          </w:p>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Style w:val="8"/>
                <w:lang w:val="en-US" w:eastAsia="zh-CN"/>
              </w:rPr>
              <w:t>以上情况每发现一例不符合要求的扣</w:t>
            </w:r>
            <w:r>
              <w:rPr>
                <w:rStyle w:val="9"/>
                <w:rFonts w:eastAsia="宋体"/>
                <w:lang w:val="en-US" w:eastAsia="zh-CN"/>
              </w:rPr>
              <w:t>1</w:t>
            </w:r>
            <w:r>
              <w:rPr>
                <w:rStyle w:val="8"/>
                <w:lang w:val="en-US" w:eastAsia="zh-CN"/>
              </w:rPr>
              <w:t>分，扣完为止。</w:t>
            </w:r>
          </w:p>
        </w:tc>
        <w:tc>
          <w:tcPr>
            <w:tcW w:w="2115" w:type="dxa"/>
            <w:tcBorders>
              <w:tl2br w:val="nil"/>
              <w:tr2bl w:val="nil"/>
            </w:tcBorders>
            <w:vAlign w:val="center"/>
          </w:tcPr>
          <w:p>
            <w:pPr>
              <w:keepNext w:val="0"/>
              <w:keepLines w:val="0"/>
              <w:widowControl/>
              <w:suppressLineNumbers w:val="0"/>
              <w:jc w:val="left"/>
              <w:textAlignment w:val="center"/>
              <w:rPr>
                <w:rFonts w:hint="default" w:ascii="Times New Roman" w:hAnsi="Times New Roman" w:eastAsia="宋体" w:cs="Times New Roman"/>
                <w:i w:val="0"/>
                <w:iCs w:val="0"/>
                <w:color w:val="000000"/>
                <w:sz w:val="18"/>
                <w:szCs w:val="18"/>
                <w:u w:val="none"/>
              </w:rPr>
            </w:pPr>
            <w:r>
              <w:rPr>
                <w:rStyle w:val="8"/>
                <w:lang w:val="en-US" w:eastAsia="zh-CN"/>
              </w:rPr>
              <w:t>部门（单位）管理制度。</w:t>
            </w:r>
          </w:p>
        </w:tc>
        <w:tc>
          <w:tcPr>
            <w:tcW w:w="586" w:type="dxa"/>
            <w:tcBorders>
              <w:tl2br w:val="nil"/>
              <w:tr2bl w:val="nil"/>
            </w:tcBorders>
            <w:vAlign w:val="center"/>
          </w:tcPr>
          <w:p>
            <w:pPr>
              <w:jc w:val="left"/>
              <w:rPr>
                <w:rFonts w:hint="eastAsia" w:ascii="Times New Roman" w:hAnsi="Times New Roman" w:eastAsia="宋体" w:cs="Times New Roman"/>
                <w:i w:val="0"/>
                <w:iCs w:val="0"/>
                <w:color w:val="000000"/>
                <w:sz w:val="18"/>
                <w:szCs w:val="18"/>
                <w:u w:val="none"/>
                <w:lang w:val="en-US" w:eastAsia="zh-CN"/>
              </w:rPr>
            </w:pPr>
            <w:r>
              <w:rPr>
                <w:rFonts w:hint="eastAsia" w:ascii="Times New Roman" w:hAnsi="Times New Roman" w:cs="Times New Roman"/>
                <w:i w:val="0"/>
                <w:iCs w:val="0"/>
                <w:color w:val="000000"/>
                <w:sz w:val="18"/>
                <w:szCs w:val="18"/>
                <w:u w:val="none"/>
                <w:lang w:val="en-US" w:eastAsia="zh-CN"/>
              </w:rPr>
              <w:t>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5" w:hRule="atLeast"/>
          <w:jc w:val="center"/>
        </w:trPr>
        <w:tc>
          <w:tcPr>
            <w:tcW w:w="873" w:type="dxa"/>
            <w:vMerge w:val="continue"/>
            <w:tcBorders>
              <w:tl2br w:val="nil"/>
              <w:tr2bl w:val="nil"/>
            </w:tcBorders>
            <w:vAlign w:val="center"/>
          </w:tcPr>
          <w:p>
            <w:pPr>
              <w:jc w:val="center"/>
              <w:rPr>
                <w:rFonts w:hint="eastAsia" w:ascii="宋体" w:hAnsi="宋体" w:eastAsia="宋体" w:cs="宋体"/>
                <w:i w:val="0"/>
                <w:iCs w:val="0"/>
                <w:color w:val="000000"/>
                <w:sz w:val="18"/>
                <w:szCs w:val="18"/>
                <w:u w:val="none"/>
              </w:rPr>
            </w:pPr>
          </w:p>
        </w:tc>
        <w:tc>
          <w:tcPr>
            <w:tcW w:w="870" w:type="dxa"/>
            <w:vMerge w:val="continue"/>
            <w:tcBorders>
              <w:tl2br w:val="nil"/>
              <w:tr2bl w:val="nil"/>
            </w:tcBorders>
            <w:vAlign w:val="center"/>
          </w:tcPr>
          <w:p>
            <w:pPr>
              <w:jc w:val="center"/>
              <w:rPr>
                <w:rFonts w:hint="eastAsia" w:ascii="宋体" w:hAnsi="宋体" w:eastAsia="宋体" w:cs="宋体"/>
                <w:i w:val="0"/>
                <w:iCs w:val="0"/>
                <w:color w:val="000000"/>
                <w:sz w:val="18"/>
                <w:szCs w:val="18"/>
                <w:u w:val="none"/>
              </w:rPr>
            </w:pPr>
          </w:p>
        </w:tc>
        <w:tc>
          <w:tcPr>
            <w:tcW w:w="1050" w:type="dxa"/>
            <w:tcBorders>
              <w:tl2br w:val="nil"/>
              <w:tr2bl w:val="nil"/>
            </w:tcBorders>
            <w:vAlign w:val="center"/>
          </w:tcPr>
          <w:p>
            <w:pPr>
              <w:keepNext w:val="0"/>
              <w:keepLines w:val="0"/>
              <w:widowControl/>
              <w:suppressLineNumbers w:val="0"/>
              <w:jc w:val="center"/>
              <w:textAlignment w:val="center"/>
              <w:rPr>
                <w:rStyle w:val="8"/>
                <w:lang w:val="en-US" w:eastAsia="zh-CN"/>
              </w:rPr>
            </w:pPr>
            <w:r>
              <w:rPr>
                <w:rStyle w:val="8"/>
                <w:lang w:val="en-US" w:eastAsia="zh-CN"/>
              </w:rPr>
              <w:t>资金使用</w:t>
            </w:r>
          </w:p>
          <w:p>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Style w:val="8"/>
                <w:lang w:val="en-US" w:eastAsia="zh-CN"/>
              </w:rPr>
              <w:t>合规性</w:t>
            </w:r>
          </w:p>
        </w:tc>
        <w:tc>
          <w:tcPr>
            <w:tcW w:w="495" w:type="dxa"/>
            <w:tcBorders>
              <w:tl2br w:val="nil"/>
              <w:tr2bl w:val="nil"/>
            </w:tcBorders>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rPr>
              <w:t>7</w:t>
            </w:r>
          </w:p>
        </w:tc>
        <w:tc>
          <w:tcPr>
            <w:tcW w:w="2570" w:type="dxa"/>
            <w:tcBorders>
              <w:tl2br w:val="nil"/>
              <w:tr2bl w:val="nil"/>
            </w:tcBorders>
            <w:vAlign w:val="center"/>
          </w:tcPr>
          <w:p>
            <w:pPr>
              <w:keepNext w:val="0"/>
              <w:keepLines w:val="0"/>
              <w:widowControl/>
              <w:suppressLineNumbers w:val="0"/>
              <w:jc w:val="left"/>
              <w:textAlignment w:val="center"/>
              <w:rPr>
                <w:rFonts w:hint="default" w:ascii="Times New Roman" w:hAnsi="Times New Roman" w:eastAsia="宋体" w:cs="Times New Roman"/>
                <w:i w:val="0"/>
                <w:iCs w:val="0"/>
                <w:color w:val="000000"/>
                <w:sz w:val="18"/>
                <w:szCs w:val="18"/>
                <w:u w:val="none"/>
              </w:rPr>
            </w:pPr>
            <w:r>
              <w:rPr>
                <w:rStyle w:val="8"/>
                <w:lang w:val="en-US" w:eastAsia="zh-CN"/>
              </w:rPr>
              <w:t>资金使用符合相关的财务管理制度规定，用以反映和考核项目资金的规范运行情况。</w:t>
            </w:r>
          </w:p>
        </w:tc>
        <w:tc>
          <w:tcPr>
            <w:tcW w:w="5112" w:type="dxa"/>
            <w:tcBorders>
              <w:tl2br w:val="nil"/>
              <w:tr2bl w:val="nil"/>
            </w:tcBorders>
            <w:vAlign w:val="center"/>
          </w:tcPr>
          <w:p>
            <w:pPr>
              <w:keepNext w:val="0"/>
              <w:keepLines w:val="0"/>
              <w:widowControl/>
              <w:suppressLineNumbers w:val="0"/>
              <w:jc w:val="left"/>
              <w:textAlignment w:val="center"/>
              <w:rPr>
                <w:rStyle w:val="8"/>
                <w:lang w:val="en-US" w:eastAsia="zh-CN"/>
              </w:rPr>
            </w:pPr>
          </w:p>
          <w:p>
            <w:pPr>
              <w:keepNext w:val="0"/>
              <w:keepLines w:val="0"/>
              <w:widowControl/>
              <w:suppressLineNumbers w:val="0"/>
              <w:jc w:val="left"/>
              <w:textAlignment w:val="center"/>
              <w:rPr>
                <w:rStyle w:val="8"/>
                <w:lang w:val="en-US" w:eastAsia="zh-CN"/>
              </w:rPr>
            </w:pPr>
            <w:r>
              <w:rPr>
                <w:rStyle w:val="8"/>
                <w:lang w:val="en-US" w:eastAsia="zh-CN"/>
              </w:rPr>
              <w:t>①符合国家财经法规和财务管理制度以及有关专项资金管理办法的规定，计</w:t>
            </w:r>
            <w:r>
              <w:rPr>
                <w:rStyle w:val="9"/>
                <w:rFonts w:eastAsia="宋体"/>
                <w:lang w:val="en-US" w:eastAsia="zh-CN"/>
              </w:rPr>
              <w:t>1</w:t>
            </w:r>
            <w:r>
              <w:rPr>
                <w:rStyle w:val="8"/>
                <w:lang w:val="en-US" w:eastAsia="zh-CN"/>
              </w:rPr>
              <w:t>分，</w:t>
            </w:r>
            <w:r>
              <w:rPr>
                <w:rStyle w:val="9"/>
                <w:rFonts w:eastAsia="宋体"/>
                <w:lang w:val="en-US" w:eastAsia="zh-CN"/>
              </w:rPr>
              <w:t>1</w:t>
            </w:r>
            <w:r>
              <w:rPr>
                <w:rStyle w:val="8"/>
                <w:lang w:val="en-US" w:eastAsia="zh-CN"/>
              </w:rPr>
              <w:t>例不符合扣</w:t>
            </w:r>
            <w:r>
              <w:rPr>
                <w:rStyle w:val="9"/>
                <w:rFonts w:eastAsia="宋体"/>
                <w:lang w:val="en-US" w:eastAsia="zh-CN"/>
              </w:rPr>
              <w:t>0.5</w:t>
            </w:r>
            <w:r>
              <w:rPr>
                <w:rStyle w:val="8"/>
                <w:lang w:val="en-US" w:eastAsia="zh-CN"/>
              </w:rPr>
              <w:t>分；</w:t>
            </w:r>
          </w:p>
          <w:p>
            <w:pPr>
              <w:keepNext w:val="0"/>
              <w:keepLines w:val="0"/>
              <w:widowControl/>
              <w:suppressLineNumbers w:val="0"/>
              <w:jc w:val="left"/>
              <w:textAlignment w:val="center"/>
              <w:rPr>
                <w:rStyle w:val="8"/>
                <w:lang w:val="en-US" w:eastAsia="zh-CN"/>
              </w:rPr>
            </w:pPr>
            <w:r>
              <w:rPr>
                <w:rStyle w:val="8"/>
                <w:lang w:val="en-US" w:eastAsia="zh-CN"/>
              </w:rPr>
              <w:t>②资金的支付有完整的审批程序和手续，计</w:t>
            </w:r>
            <w:r>
              <w:rPr>
                <w:rStyle w:val="9"/>
                <w:rFonts w:eastAsia="宋体"/>
                <w:lang w:val="en-US" w:eastAsia="zh-CN"/>
              </w:rPr>
              <w:t>1</w:t>
            </w:r>
            <w:r>
              <w:rPr>
                <w:rStyle w:val="8"/>
                <w:lang w:val="en-US" w:eastAsia="zh-CN"/>
              </w:rPr>
              <w:t>分，</w:t>
            </w:r>
            <w:r>
              <w:rPr>
                <w:rStyle w:val="9"/>
                <w:rFonts w:eastAsia="宋体"/>
                <w:lang w:val="en-US" w:eastAsia="zh-CN"/>
              </w:rPr>
              <w:t>1</w:t>
            </w:r>
            <w:r>
              <w:rPr>
                <w:rStyle w:val="8"/>
                <w:lang w:val="en-US" w:eastAsia="zh-CN"/>
              </w:rPr>
              <w:t>例不符合扣</w:t>
            </w:r>
            <w:r>
              <w:rPr>
                <w:rStyle w:val="9"/>
                <w:rFonts w:eastAsia="宋体"/>
                <w:lang w:val="en-US" w:eastAsia="zh-CN"/>
              </w:rPr>
              <w:t>0.5</w:t>
            </w:r>
            <w:r>
              <w:rPr>
                <w:rStyle w:val="8"/>
                <w:lang w:val="en-US" w:eastAsia="zh-CN"/>
              </w:rPr>
              <w:t>分；</w:t>
            </w:r>
          </w:p>
          <w:p>
            <w:pPr>
              <w:keepNext w:val="0"/>
              <w:keepLines w:val="0"/>
              <w:widowControl/>
              <w:suppressLineNumbers w:val="0"/>
              <w:jc w:val="left"/>
              <w:textAlignment w:val="center"/>
              <w:rPr>
                <w:rStyle w:val="8"/>
                <w:lang w:val="en-US" w:eastAsia="zh-CN"/>
              </w:rPr>
            </w:pPr>
            <w:r>
              <w:rPr>
                <w:rStyle w:val="8"/>
                <w:lang w:val="en-US" w:eastAsia="zh-CN"/>
              </w:rPr>
              <w:t>③重大项目开支和大额资金使用经过单位党组集体研究决策，计</w:t>
            </w:r>
            <w:r>
              <w:rPr>
                <w:rStyle w:val="9"/>
                <w:rFonts w:eastAsia="宋体"/>
                <w:lang w:val="en-US" w:eastAsia="zh-CN"/>
              </w:rPr>
              <w:t>1</w:t>
            </w:r>
            <w:r>
              <w:rPr>
                <w:rStyle w:val="8"/>
                <w:lang w:val="en-US" w:eastAsia="zh-CN"/>
              </w:rPr>
              <w:t>分，</w:t>
            </w:r>
            <w:r>
              <w:rPr>
                <w:rStyle w:val="9"/>
                <w:rFonts w:eastAsia="宋体"/>
                <w:lang w:val="en-US" w:eastAsia="zh-CN"/>
              </w:rPr>
              <w:t>1</w:t>
            </w:r>
            <w:r>
              <w:rPr>
                <w:rStyle w:val="8"/>
                <w:lang w:val="en-US" w:eastAsia="zh-CN"/>
              </w:rPr>
              <w:t>例不符合扣</w:t>
            </w:r>
            <w:r>
              <w:rPr>
                <w:rStyle w:val="9"/>
                <w:rFonts w:eastAsia="宋体"/>
                <w:lang w:val="en-US" w:eastAsia="zh-CN"/>
              </w:rPr>
              <w:t>0.5</w:t>
            </w:r>
            <w:r>
              <w:rPr>
                <w:rStyle w:val="8"/>
                <w:lang w:val="en-US" w:eastAsia="zh-CN"/>
              </w:rPr>
              <w:t>分；</w:t>
            </w:r>
          </w:p>
          <w:p>
            <w:pPr>
              <w:keepNext w:val="0"/>
              <w:keepLines w:val="0"/>
              <w:widowControl/>
              <w:suppressLineNumbers w:val="0"/>
              <w:jc w:val="left"/>
              <w:textAlignment w:val="center"/>
              <w:rPr>
                <w:rStyle w:val="8"/>
                <w:lang w:val="en-US" w:eastAsia="zh-CN"/>
              </w:rPr>
            </w:pPr>
            <w:r>
              <w:rPr>
                <w:rStyle w:val="8"/>
                <w:lang w:val="en-US" w:eastAsia="zh-CN"/>
              </w:rPr>
              <w:t>④符合项目预算批复或合同规定的用途，计</w:t>
            </w:r>
            <w:r>
              <w:rPr>
                <w:rStyle w:val="9"/>
                <w:rFonts w:eastAsia="宋体"/>
                <w:lang w:val="en-US" w:eastAsia="zh-CN"/>
              </w:rPr>
              <w:t>1</w:t>
            </w:r>
            <w:r>
              <w:rPr>
                <w:rStyle w:val="8"/>
                <w:lang w:val="en-US" w:eastAsia="zh-CN"/>
              </w:rPr>
              <w:t>分，</w:t>
            </w:r>
            <w:r>
              <w:rPr>
                <w:rStyle w:val="9"/>
                <w:rFonts w:eastAsia="宋体"/>
                <w:lang w:val="en-US" w:eastAsia="zh-CN"/>
              </w:rPr>
              <w:t>1</w:t>
            </w:r>
            <w:r>
              <w:rPr>
                <w:rStyle w:val="8"/>
                <w:lang w:val="en-US" w:eastAsia="zh-CN"/>
              </w:rPr>
              <w:t>例不符合扣</w:t>
            </w:r>
            <w:r>
              <w:rPr>
                <w:rStyle w:val="9"/>
                <w:rFonts w:eastAsia="宋体"/>
                <w:lang w:val="en-US" w:eastAsia="zh-CN"/>
              </w:rPr>
              <w:t>0.5</w:t>
            </w:r>
            <w:r>
              <w:rPr>
                <w:rStyle w:val="8"/>
                <w:lang w:val="en-US" w:eastAsia="zh-CN"/>
              </w:rPr>
              <w:t>分；</w:t>
            </w:r>
          </w:p>
          <w:p>
            <w:pPr>
              <w:keepNext w:val="0"/>
              <w:keepLines w:val="0"/>
              <w:widowControl/>
              <w:suppressLineNumbers w:val="0"/>
              <w:jc w:val="left"/>
              <w:textAlignment w:val="center"/>
              <w:rPr>
                <w:rStyle w:val="8"/>
                <w:lang w:val="en-US" w:eastAsia="zh-CN"/>
              </w:rPr>
            </w:pPr>
            <w:r>
              <w:rPr>
                <w:rStyle w:val="8"/>
                <w:lang w:val="en-US" w:eastAsia="zh-CN"/>
              </w:rPr>
              <w:t>⑤没有截留、挤占、挪用、虚列支出等情况，计</w:t>
            </w:r>
            <w:r>
              <w:rPr>
                <w:rStyle w:val="9"/>
                <w:rFonts w:eastAsia="宋体"/>
                <w:lang w:val="en-US" w:eastAsia="zh-CN"/>
              </w:rPr>
              <w:t>1</w:t>
            </w:r>
            <w:r>
              <w:rPr>
                <w:rStyle w:val="8"/>
                <w:lang w:val="en-US" w:eastAsia="zh-CN"/>
              </w:rPr>
              <w:t>分，发生</w:t>
            </w:r>
            <w:r>
              <w:rPr>
                <w:rStyle w:val="9"/>
                <w:rFonts w:eastAsia="宋体"/>
                <w:lang w:val="en-US" w:eastAsia="zh-CN"/>
              </w:rPr>
              <w:t>1</w:t>
            </w:r>
            <w:r>
              <w:rPr>
                <w:rStyle w:val="8"/>
                <w:lang w:val="en-US" w:eastAsia="zh-CN"/>
              </w:rPr>
              <w:t>例不符合本指标的现象</w:t>
            </w:r>
            <w:r>
              <w:rPr>
                <w:rStyle w:val="9"/>
                <w:rFonts w:eastAsia="宋体"/>
                <w:lang w:val="en-US" w:eastAsia="zh-CN"/>
              </w:rPr>
              <w:t>7</w:t>
            </w:r>
            <w:r>
              <w:rPr>
                <w:rStyle w:val="8"/>
                <w:lang w:val="en-US" w:eastAsia="zh-CN"/>
              </w:rPr>
              <w:t>分全扣；</w:t>
            </w:r>
          </w:p>
          <w:p>
            <w:pPr>
              <w:keepNext w:val="0"/>
              <w:keepLines w:val="0"/>
              <w:widowControl/>
              <w:suppressLineNumbers w:val="0"/>
              <w:jc w:val="left"/>
              <w:textAlignment w:val="center"/>
              <w:rPr>
                <w:rStyle w:val="8"/>
                <w:lang w:val="en-US" w:eastAsia="zh-CN"/>
              </w:rPr>
            </w:pPr>
            <w:r>
              <w:rPr>
                <w:rStyle w:val="8"/>
                <w:lang w:val="en-US" w:eastAsia="zh-CN"/>
              </w:rPr>
              <w:t>⑥原始凭证的取得真实有效，计</w:t>
            </w:r>
            <w:r>
              <w:rPr>
                <w:rStyle w:val="9"/>
                <w:rFonts w:eastAsia="宋体"/>
                <w:lang w:val="en-US" w:eastAsia="zh-CN"/>
              </w:rPr>
              <w:t>1</w:t>
            </w:r>
            <w:r>
              <w:rPr>
                <w:rStyle w:val="8"/>
                <w:lang w:val="en-US" w:eastAsia="zh-CN"/>
              </w:rPr>
              <w:t>分，</w:t>
            </w:r>
            <w:r>
              <w:rPr>
                <w:rStyle w:val="9"/>
                <w:rFonts w:eastAsia="宋体"/>
                <w:lang w:val="en-US" w:eastAsia="zh-CN"/>
              </w:rPr>
              <w:t>1</w:t>
            </w:r>
            <w:r>
              <w:rPr>
                <w:rStyle w:val="8"/>
                <w:lang w:val="en-US" w:eastAsia="zh-CN"/>
              </w:rPr>
              <w:t>例不符合扣</w:t>
            </w:r>
            <w:r>
              <w:rPr>
                <w:rStyle w:val="9"/>
                <w:rFonts w:eastAsia="宋体"/>
                <w:lang w:val="en-US" w:eastAsia="zh-CN"/>
              </w:rPr>
              <w:t>0.5</w:t>
            </w:r>
            <w:r>
              <w:rPr>
                <w:rStyle w:val="8"/>
                <w:lang w:val="en-US" w:eastAsia="zh-CN"/>
              </w:rPr>
              <w:t>分；</w:t>
            </w:r>
          </w:p>
          <w:p>
            <w:pPr>
              <w:keepNext w:val="0"/>
              <w:keepLines w:val="0"/>
              <w:widowControl/>
              <w:suppressLineNumbers w:val="0"/>
              <w:jc w:val="left"/>
              <w:textAlignment w:val="center"/>
              <w:rPr>
                <w:rStyle w:val="8"/>
                <w:lang w:val="en-US" w:eastAsia="zh-CN"/>
              </w:rPr>
            </w:pPr>
            <w:r>
              <w:rPr>
                <w:rStyle w:val="8"/>
                <w:lang w:val="en-US" w:eastAsia="zh-CN"/>
              </w:rPr>
              <w:t>⑦无超标准发放津补贴、奖金、无用公款支付应个人支付的款项，计</w:t>
            </w:r>
            <w:r>
              <w:rPr>
                <w:rStyle w:val="9"/>
                <w:rFonts w:eastAsia="宋体"/>
                <w:lang w:val="en-US" w:eastAsia="zh-CN"/>
              </w:rPr>
              <w:t>1</w:t>
            </w:r>
            <w:r>
              <w:rPr>
                <w:rStyle w:val="8"/>
                <w:lang w:val="en-US" w:eastAsia="zh-CN"/>
              </w:rPr>
              <w:t>分，</w:t>
            </w:r>
            <w:r>
              <w:rPr>
                <w:rStyle w:val="9"/>
                <w:rFonts w:eastAsia="宋体"/>
                <w:lang w:val="en-US" w:eastAsia="zh-CN"/>
              </w:rPr>
              <w:t>1</w:t>
            </w:r>
            <w:r>
              <w:rPr>
                <w:rStyle w:val="8"/>
                <w:lang w:val="en-US" w:eastAsia="zh-CN"/>
              </w:rPr>
              <w:t>例不符合扣</w:t>
            </w:r>
            <w:r>
              <w:rPr>
                <w:rStyle w:val="9"/>
                <w:rFonts w:eastAsia="宋体"/>
                <w:lang w:val="en-US" w:eastAsia="zh-CN"/>
              </w:rPr>
              <w:t>0.5</w:t>
            </w:r>
            <w:r>
              <w:rPr>
                <w:rStyle w:val="8"/>
                <w:lang w:val="en-US" w:eastAsia="zh-CN"/>
              </w:rPr>
              <w:t>分。</w:t>
            </w:r>
          </w:p>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Style w:val="8"/>
                <w:lang w:val="en-US" w:eastAsia="zh-CN"/>
              </w:rPr>
              <w:t>⑧如评级单位评价年度出现严重的违纪违法事件，评价等级在原来的基础上下调一个等级。</w:t>
            </w:r>
          </w:p>
        </w:tc>
        <w:tc>
          <w:tcPr>
            <w:tcW w:w="2115" w:type="dxa"/>
            <w:tcBorders>
              <w:tl2br w:val="nil"/>
              <w:tr2bl w:val="nil"/>
            </w:tcBorders>
            <w:vAlign w:val="center"/>
          </w:tcPr>
          <w:p>
            <w:pPr>
              <w:keepNext w:val="0"/>
              <w:keepLines w:val="0"/>
              <w:widowControl/>
              <w:suppressLineNumbers w:val="0"/>
              <w:jc w:val="left"/>
              <w:textAlignment w:val="center"/>
              <w:rPr>
                <w:rFonts w:hint="default" w:ascii="Times New Roman" w:hAnsi="Times New Roman" w:eastAsia="宋体" w:cs="Times New Roman"/>
                <w:i w:val="0"/>
                <w:iCs w:val="0"/>
                <w:color w:val="000000"/>
                <w:sz w:val="18"/>
                <w:szCs w:val="18"/>
                <w:u w:val="none"/>
              </w:rPr>
            </w:pPr>
            <w:r>
              <w:rPr>
                <w:rStyle w:val="8"/>
                <w:lang w:val="en-US" w:eastAsia="zh-CN"/>
              </w:rPr>
              <w:t>财务管理制度、资金管理制度、资金分配办法、支出凭证、预算批复、合同、验收资料等。</w:t>
            </w:r>
          </w:p>
        </w:tc>
        <w:tc>
          <w:tcPr>
            <w:tcW w:w="586" w:type="dxa"/>
            <w:tcBorders>
              <w:tl2br w:val="nil"/>
              <w:tr2bl w:val="nil"/>
            </w:tcBorders>
            <w:vAlign w:val="center"/>
          </w:tcPr>
          <w:p>
            <w:pPr>
              <w:jc w:val="left"/>
              <w:rPr>
                <w:rFonts w:hint="default" w:ascii="Times New Roman" w:hAnsi="Times New Roman" w:eastAsia="宋体" w:cs="Times New Roman"/>
                <w:i w:val="0"/>
                <w:iCs w:val="0"/>
                <w:color w:val="000000"/>
                <w:sz w:val="18"/>
                <w:szCs w:val="18"/>
                <w:u w:val="none"/>
                <w:lang w:val="en-US" w:eastAsia="zh-CN"/>
              </w:rPr>
            </w:pPr>
            <w:r>
              <w:rPr>
                <w:rFonts w:hint="eastAsia" w:ascii="Times New Roman" w:hAnsi="Times New Roman" w:cs="Times New Roman"/>
                <w:i w:val="0"/>
                <w:iCs w:val="0"/>
                <w:color w:val="000000"/>
                <w:sz w:val="18"/>
                <w:szCs w:val="18"/>
                <w:u w:val="none"/>
                <w:lang w:val="en-US" w:eastAsia="zh-CN"/>
              </w:rPr>
              <w:t>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55" w:hRule="atLeast"/>
          <w:jc w:val="center"/>
        </w:trPr>
        <w:tc>
          <w:tcPr>
            <w:tcW w:w="873" w:type="dxa"/>
            <w:vMerge w:val="continue"/>
            <w:tcBorders>
              <w:tl2br w:val="nil"/>
              <w:tr2bl w:val="nil"/>
            </w:tcBorders>
            <w:vAlign w:val="center"/>
          </w:tcPr>
          <w:p>
            <w:pPr>
              <w:jc w:val="center"/>
              <w:rPr>
                <w:rFonts w:hint="eastAsia" w:ascii="宋体" w:hAnsi="宋体" w:eastAsia="宋体" w:cs="宋体"/>
                <w:i w:val="0"/>
                <w:iCs w:val="0"/>
                <w:color w:val="000000"/>
                <w:sz w:val="18"/>
                <w:szCs w:val="18"/>
                <w:u w:val="none"/>
              </w:rPr>
            </w:pPr>
          </w:p>
        </w:tc>
        <w:tc>
          <w:tcPr>
            <w:tcW w:w="870" w:type="dxa"/>
            <w:vMerge w:val="continue"/>
            <w:tcBorders>
              <w:tl2br w:val="nil"/>
              <w:tr2bl w:val="nil"/>
            </w:tcBorders>
            <w:vAlign w:val="center"/>
          </w:tcPr>
          <w:p>
            <w:pPr>
              <w:jc w:val="center"/>
              <w:rPr>
                <w:rFonts w:hint="eastAsia" w:ascii="宋体" w:hAnsi="宋体" w:eastAsia="宋体" w:cs="宋体"/>
                <w:i w:val="0"/>
                <w:iCs w:val="0"/>
                <w:color w:val="000000"/>
                <w:sz w:val="18"/>
                <w:szCs w:val="18"/>
                <w:u w:val="none"/>
              </w:rPr>
            </w:pPr>
          </w:p>
        </w:tc>
        <w:tc>
          <w:tcPr>
            <w:tcW w:w="1050" w:type="dxa"/>
            <w:tcBorders>
              <w:tl2br w:val="nil"/>
              <w:tr2bl w:val="nil"/>
            </w:tcBorders>
            <w:vAlign w:val="center"/>
          </w:tcPr>
          <w:p>
            <w:pPr>
              <w:keepNext w:val="0"/>
              <w:keepLines w:val="0"/>
              <w:widowControl/>
              <w:suppressLineNumbers w:val="0"/>
              <w:jc w:val="center"/>
              <w:textAlignment w:val="center"/>
              <w:rPr>
                <w:rStyle w:val="8"/>
                <w:lang w:val="en-US" w:eastAsia="zh-CN"/>
              </w:rPr>
            </w:pPr>
            <w:r>
              <w:rPr>
                <w:rStyle w:val="8"/>
                <w:lang w:val="en-US" w:eastAsia="zh-CN"/>
              </w:rPr>
              <w:t>信息</w:t>
            </w:r>
          </w:p>
          <w:p>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Style w:val="8"/>
                <w:lang w:val="en-US" w:eastAsia="zh-CN"/>
              </w:rPr>
              <w:t>公开性</w:t>
            </w:r>
          </w:p>
        </w:tc>
        <w:tc>
          <w:tcPr>
            <w:tcW w:w="495" w:type="dxa"/>
            <w:tcBorders>
              <w:tl2br w:val="nil"/>
              <w:tr2bl w:val="nil"/>
            </w:tcBorders>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rPr>
              <w:t>4</w:t>
            </w:r>
          </w:p>
        </w:tc>
        <w:tc>
          <w:tcPr>
            <w:tcW w:w="2570" w:type="dxa"/>
            <w:tcBorders>
              <w:tl2br w:val="nil"/>
              <w:tr2bl w:val="nil"/>
            </w:tcBorders>
            <w:vAlign w:val="center"/>
          </w:tcPr>
          <w:p>
            <w:pPr>
              <w:keepNext w:val="0"/>
              <w:keepLines w:val="0"/>
              <w:widowControl/>
              <w:suppressLineNumbers w:val="0"/>
              <w:jc w:val="left"/>
              <w:textAlignment w:val="center"/>
              <w:rPr>
                <w:rFonts w:hint="default" w:ascii="Times New Roman" w:hAnsi="Times New Roman" w:eastAsia="宋体" w:cs="Times New Roman"/>
                <w:i w:val="0"/>
                <w:iCs w:val="0"/>
                <w:color w:val="000000"/>
                <w:sz w:val="18"/>
                <w:szCs w:val="18"/>
                <w:u w:val="none"/>
              </w:rPr>
            </w:pPr>
            <w:r>
              <w:rPr>
                <w:rStyle w:val="8"/>
                <w:lang w:val="en-US" w:eastAsia="zh-CN"/>
              </w:rPr>
              <w:t>部门（单位）是否按照政府信息公开有关规定公开相关预决算信息，基础信息是否完善，用以反映和考核部门预决算管理的公开透明，基础信息对预算管理工作的支撑情况。</w:t>
            </w:r>
          </w:p>
        </w:tc>
        <w:tc>
          <w:tcPr>
            <w:tcW w:w="5112" w:type="dxa"/>
            <w:tcBorders>
              <w:tl2br w:val="nil"/>
              <w:tr2bl w:val="nil"/>
            </w:tcBorders>
            <w:vAlign w:val="center"/>
          </w:tcPr>
          <w:p>
            <w:pPr>
              <w:keepNext w:val="0"/>
              <w:keepLines w:val="0"/>
              <w:widowControl/>
              <w:suppressLineNumbers w:val="0"/>
              <w:jc w:val="left"/>
              <w:textAlignment w:val="center"/>
              <w:rPr>
                <w:rStyle w:val="8"/>
                <w:lang w:val="en-US" w:eastAsia="zh-CN"/>
              </w:rPr>
            </w:pPr>
          </w:p>
          <w:p>
            <w:pPr>
              <w:keepNext w:val="0"/>
              <w:keepLines w:val="0"/>
              <w:widowControl/>
              <w:suppressLineNumbers w:val="0"/>
              <w:jc w:val="left"/>
              <w:textAlignment w:val="center"/>
              <w:rPr>
                <w:rStyle w:val="8"/>
                <w:lang w:val="en-US" w:eastAsia="zh-CN"/>
              </w:rPr>
            </w:pPr>
            <w:r>
              <w:rPr>
                <w:rStyle w:val="8"/>
                <w:lang w:val="en-US" w:eastAsia="zh-CN"/>
              </w:rPr>
              <w:t>①无涉密情况的预算单位按规定及时、准确、完整的公开预决算和绩效管理信息，计</w:t>
            </w:r>
            <w:r>
              <w:rPr>
                <w:rStyle w:val="9"/>
                <w:rFonts w:eastAsia="宋体"/>
                <w:lang w:val="en-US" w:eastAsia="zh-CN"/>
              </w:rPr>
              <w:t>1</w:t>
            </w:r>
            <w:r>
              <w:rPr>
                <w:rStyle w:val="8"/>
                <w:lang w:val="en-US" w:eastAsia="zh-CN"/>
              </w:rPr>
              <w:t>分，否则，酌情扣分；</w:t>
            </w:r>
          </w:p>
          <w:p>
            <w:pPr>
              <w:keepNext w:val="0"/>
              <w:keepLines w:val="0"/>
              <w:widowControl/>
              <w:suppressLineNumbers w:val="0"/>
              <w:jc w:val="left"/>
              <w:textAlignment w:val="center"/>
              <w:rPr>
                <w:rStyle w:val="8"/>
                <w:lang w:val="en-US" w:eastAsia="zh-CN"/>
              </w:rPr>
            </w:pPr>
            <w:r>
              <w:rPr>
                <w:rStyle w:val="8"/>
                <w:lang w:val="en-US" w:eastAsia="zh-CN"/>
              </w:rPr>
              <w:t>②基础数据信息和会计信息资料真实、准确、完整，计</w:t>
            </w:r>
            <w:r>
              <w:rPr>
                <w:rStyle w:val="9"/>
                <w:rFonts w:eastAsia="宋体"/>
                <w:lang w:val="en-US" w:eastAsia="zh-CN"/>
              </w:rPr>
              <w:t>1</w:t>
            </w:r>
            <w:r>
              <w:rPr>
                <w:rStyle w:val="8"/>
                <w:lang w:val="en-US" w:eastAsia="zh-CN"/>
              </w:rPr>
              <w:t>分，否则，酌情扣分。</w:t>
            </w:r>
          </w:p>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Style w:val="8"/>
                <w:lang w:val="en-US" w:eastAsia="zh-CN"/>
              </w:rPr>
              <w:t>③按规定及时、准确、完整的公开部门（单位）整体支出自评报告和专项资金支出自评报告及对应评分表的，计2分；否则，酌情扣分；</w:t>
            </w:r>
          </w:p>
        </w:tc>
        <w:tc>
          <w:tcPr>
            <w:tcW w:w="2115" w:type="dxa"/>
            <w:tcBorders>
              <w:tl2br w:val="nil"/>
              <w:tr2bl w:val="nil"/>
            </w:tcBorders>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部门（单位）预决算公开资料、基础数据信息和会计信息资料、财政部门批复的本年度部门（单位）预算；本年度部门（单位）决算报表。</w:t>
            </w:r>
          </w:p>
        </w:tc>
        <w:tc>
          <w:tcPr>
            <w:tcW w:w="586" w:type="dxa"/>
            <w:tcBorders>
              <w:tl2br w:val="nil"/>
              <w:tr2bl w:val="nil"/>
            </w:tcBorders>
            <w:vAlign w:val="center"/>
          </w:tcPr>
          <w:p>
            <w:pPr>
              <w:jc w:val="left"/>
              <w:rPr>
                <w:rFonts w:hint="eastAsia" w:ascii="Times New Roman" w:hAnsi="Times New Roman" w:eastAsia="宋体" w:cs="Times New Roman"/>
                <w:i w:val="0"/>
                <w:iCs w:val="0"/>
                <w:color w:val="000000"/>
                <w:sz w:val="18"/>
                <w:szCs w:val="18"/>
                <w:u w:val="none"/>
                <w:lang w:val="en-US" w:eastAsia="zh-CN"/>
              </w:rPr>
            </w:pPr>
            <w:r>
              <w:rPr>
                <w:rFonts w:hint="eastAsia" w:ascii="Times New Roman" w:hAnsi="Times New Roman" w:cs="Times New Roman"/>
                <w:i w:val="0"/>
                <w:iCs w:val="0"/>
                <w:color w:val="000000"/>
                <w:sz w:val="18"/>
                <w:szCs w:val="18"/>
                <w:u w:val="none"/>
                <w:lang w:val="en-US" w:eastAsia="zh-CN"/>
              </w:rPr>
              <w:t>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30" w:hRule="atLeast"/>
          <w:jc w:val="center"/>
        </w:trPr>
        <w:tc>
          <w:tcPr>
            <w:tcW w:w="873" w:type="dxa"/>
            <w:vMerge w:val="continue"/>
            <w:tcBorders>
              <w:tl2br w:val="nil"/>
              <w:tr2bl w:val="nil"/>
            </w:tcBorders>
            <w:vAlign w:val="center"/>
          </w:tcPr>
          <w:p>
            <w:pPr>
              <w:jc w:val="center"/>
              <w:rPr>
                <w:rFonts w:hint="eastAsia" w:ascii="宋体" w:hAnsi="宋体" w:eastAsia="宋体" w:cs="宋体"/>
                <w:i w:val="0"/>
                <w:iCs w:val="0"/>
                <w:color w:val="000000"/>
                <w:sz w:val="18"/>
                <w:szCs w:val="18"/>
                <w:u w:val="none"/>
              </w:rPr>
            </w:pPr>
          </w:p>
        </w:tc>
        <w:tc>
          <w:tcPr>
            <w:tcW w:w="870" w:type="dxa"/>
            <w:vMerge w:val="continue"/>
            <w:tcBorders>
              <w:tl2br w:val="nil"/>
              <w:tr2bl w:val="nil"/>
            </w:tcBorders>
            <w:vAlign w:val="center"/>
          </w:tcPr>
          <w:p>
            <w:pPr>
              <w:jc w:val="center"/>
              <w:rPr>
                <w:rFonts w:hint="eastAsia" w:ascii="宋体" w:hAnsi="宋体" w:eastAsia="宋体" w:cs="宋体"/>
                <w:i w:val="0"/>
                <w:iCs w:val="0"/>
                <w:color w:val="000000"/>
                <w:sz w:val="18"/>
                <w:szCs w:val="18"/>
                <w:u w:val="none"/>
              </w:rPr>
            </w:pPr>
          </w:p>
        </w:tc>
        <w:tc>
          <w:tcPr>
            <w:tcW w:w="1050" w:type="dxa"/>
            <w:tcBorders>
              <w:tl2br w:val="nil"/>
              <w:tr2bl w:val="nil"/>
            </w:tcBorders>
            <w:vAlign w:val="center"/>
          </w:tcPr>
          <w:p>
            <w:pPr>
              <w:keepNext w:val="0"/>
              <w:keepLines w:val="0"/>
              <w:widowControl/>
              <w:suppressLineNumbers w:val="0"/>
              <w:jc w:val="center"/>
              <w:textAlignment w:val="center"/>
              <w:rPr>
                <w:rStyle w:val="9"/>
                <w:rFonts w:eastAsia="宋体"/>
                <w:lang w:val="en-US" w:eastAsia="zh-CN"/>
              </w:rPr>
            </w:pPr>
            <w:r>
              <w:rPr>
                <w:rStyle w:val="8"/>
                <w:lang w:val="en-US" w:eastAsia="zh-CN"/>
              </w:rPr>
              <w:t>非税收入</w:t>
            </w:r>
            <w:r>
              <w:rPr>
                <w:rStyle w:val="9"/>
                <w:rFonts w:eastAsia="宋体"/>
                <w:lang w:val="en-US" w:eastAsia="zh-CN"/>
              </w:rPr>
              <w:t xml:space="preserve"> </w:t>
            </w:r>
          </w:p>
          <w:p>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Style w:val="8"/>
                <w:lang w:val="en-US" w:eastAsia="zh-CN"/>
              </w:rPr>
              <w:t>管理</w:t>
            </w:r>
          </w:p>
        </w:tc>
        <w:tc>
          <w:tcPr>
            <w:tcW w:w="495" w:type="dxa"/>
            <w:tcBorders>
              <w:tl2br w:val="nil"/>
              <w:tr2bl w:val="nil"/>
            </w:tcBorders>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rPr>
              <w:t>1</w:t>
            </w:r>
          </w:p>
        </w:tc>
        <w:tc>
          <w:tcPr>
            <w:tcW w:w="2570" w:type="dxa"/>
            <w:tcBorders>
              <w:tl2br w:val="nil"/>
              <w:tr2bl w:val="nil"/>
            </w:tcBorders>
            <w:vAlign w:val="center"/>
          </w:tcPr>
          <w:p>
            <w:pPr>
              <w:keepNext w:val="0"/>
              <w:keepLines w:val="0"/>
              <w:widowControl/>
              <w:suppressLineNumbers w:val="0"/>
              <w:jc w:val="left"/>
              <w:textAlignment w:val="center"/>
              <w:rPr>
                <w:rFonts w:hint="default" w:ascii="Times New Roman" w:hAnsi="Times New Roman" w:eastAsia="宋体" w:cs="Times New Roman"/>
                <w:i w:val="0"/>
                <w:iCs w:val="0"/>
                <w:color w:val="000000"/>
                <w:sz w:val="18"/>
                <w:szCs w:val="18"/>
                <w:u w:val="none"/>
              </w:rPr>
            </w:pPr>
            <w:r>
              <w:rPr>
                <w:rStyle w:val="8"/>
                <w:lang w:val="en-US" w:eastAsia="zh-CN"/>
              </w:rPr>
              <w:t>反映部门非税收入的使用、管理情况。</w:t>
            </w:r>
          </w:p>
        </w:tc>
        <w:tc>
          <w:tcPr>
            <w:tcW w:w="5112" w:type="dxa"/>
            <w:tcBorders>
              <w:tl2br w:val="nil"/>
              <w:tr2bl w:val="nil"/>
            </w:tcBorders>
            <w:vAlign w:val="center"/>
          </w:tcPr>
          <w:p>
            <w:pPr>
              <w:keepNext w:val="0"/>
              <w:keepLines w:val="0"/>
              <w:widowControl/>
              <w:suppressLineNumbers w:val="0"/>
              <w:jc w:val="left"/>
              <w:textAlignment w:val="center"/>
              <w:rPr>
                <w:rStyle w:val="8"/>
                <w:lang w:val="en-US" w:eastAsia="zh-CN"/>
              </w:rPr>
            </w:pPr>
          </w:p>
          <w:p>
            <w:pPr>
              <w:keepNext w:val="0"/>
              <w:keepLines w:val="0"/>
              <w:widowControl/>
              <w:suppressLineNumbers w:val="0"/>
              <w:jc w:val="left"/>
              <w:textAlignment w:val="center"/>
              <w:rPr>
                <w:rStyle w:val="8"/>
                <w:lang w:val="en-US" w:eastAsia="zh-CN"/>
              </w:rPr>
            </w:pPr>
            <w:r>
              <w:rPr>
                <w:rStyle w:val="8"/>
                <w:lang w:val="en-US" w:eastAsia="zh-CN"/>
              </w:rPr>
              <w:t>①实行收支两条线，计</w:t>
            </w:r>
            <w:r>
              <w:rPr>
                <w:rStyle w:val="9"/>
                <w:rFonts w:eastAsia="宋体"/>
                <w:lang w:val="en-US" w:eastAsia="zh-CN"/>
              </w:rPr>
              <w:t>0.5</w:t>
            </w:r>
            <w:r>
              <w:rPr>
                <w:rStyle w:val="8"/>
                <w:lang w:val="en-US" w:eastAsia="zh-CN"/>
              </w:rPr>
              <w:t>分，否则，计</w:t>
            </w:r>
            <w:r>
              <w:rPr>
                <w:rStyle w:val="9"/>
                <w:rFonts w:eastAsia="宋体"/>
                <w:lang w:val="en-US" w:eastAsia="zh-CN"/>
              </w:rPr>
              <w:t>0</w:t>
            </w:r>
            <w:r>
              <w:rPr>
                <w:rStyle w:val="8"/>
                <w:lang w:val="en-US" w:eastAsia="zh-CN"/>
              </w:rPr>
              <w:t>分；</w:t>
            </w:r>
          </w:p>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Style w:val="8"/>
                <w:lang w:val="en-US" w:eastAsia="zh-CN"/>
              </w:rPr>
              <w:t>②未发生截留、坐支或转移，计</w:t>
            </w:r>
            <w:r>
              <w:rPr>
                <w:rStyle w:val="9"/>
                <w:rFonts w:eastAsia="宋体"/>
                <w:lang w:val="en-US" w:eastAsia="zh-CN"/>
              </w:rPr>
              <w:t>0.5</w:t>
            </w:r>
            <w:r>
              <w:rPr>
                <w:rStyle w:val="8"/>
                <w:lang w:val="en-US" w:eastAsia="zh-CN"/>
              </w:rPr>
              <w:t>分，否则，计</w:t>
            </w:r>
            <w:r>
              <w:rPr>
                <w:rStyle w:val="9"/>
                <w:rFonts w:eastAsia="宋体"/>
                <w:lang w:val="en-US" w:eastAsia="zh-CN"/>
              </w:rPr>
              <w:t>0</w:t>
            </w:r>
            <w:r>
              <w:rPr>
                <w:rStyle w:val="8"/>
                <w:lang w:val="en-US" w:eastAsia="zh-CN"/>
              </w:rPr>
              <w:t>分。</w:t>
            </w:r>
          </w:p>
        </w:tc>
        <w:tc>
          <w:tcPr>
            <w:tcW w:w="2115" w:type="dxa"/>
            <w:tcBorders>
              <w:tl2br w:val="nil"/>
              <w:tr2bl w:val="nil"/>
            </w:tcBorders>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本年度部门（单位）决算报表。</w:t>
            </w:r>
          </w:p>
        </w:tc>
        <w:tc>
          <w:tcPr>
            <w:tcW w:w="586" w:type="dxa"/>
            <w:tcBorders>
              <w:tl2br w:val="nil"/>
              <w:tr2bl w:val="nil"/>
            </w:tcBorders>
            <w:vAlign w:val="center"/>
          </w:tcPr>
          <w:p>
            <w:pPr>
              <w:jc w:val="left"/>
              <w:rPr>
                <w:rFonts w:hint="eastAsia" w:ascii="Times New Roman" w:hAnsi="Times New Roman" w:eastAsia="宋体" w:cs="Times New Roman"/>
                <w:i w:val="0"/>
                <w:iCs w:val="0"/>
                <w:color w:val="000000"/>
                <w:sz w:val="18"/>
                <w:szCs w:val="18"/>
                <w:u w:val="none"/>
                <w:lang w:val="en-US" w:eastAsia="zh-CN"/>
              </w:rPr>
            </w:pPr>
            <w:r>
              <w:rPr>
                <w:rFonts w:hint="eastAsia" w:ascii="Times New Roman" w:hAnsi="Times New Roman" w:cs="Times New Roman"/>
                <w:i w:val="0"/>
                <w:iCs w:val="0"/>
                <w:color w:val="000000"/>
                <w:sz w:val="18"/>
                <w:szCs w:val="18"/>
                <w:u w:val="none"/>
                <w:lang w:val="en-US" w:eastAsia="zh-CN"/>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55" w:hRule="atLeast"/>
          <w:jc w:val="center"/>
        </w:trPr>
        <w:tc>
          <w:tcPr>
            <w:tcW w:w="873" w:type="dxa"/>
            <w:vMerge w:val="continue"/>
            <w:tcBorders>
              <w:tl2br w:val="nil"/>
              <w:tr2bl w:val="nil"/>
            </w:tcBorders>
            <w:vAlign w:val="center"/>
          </w:tcPr>
          <w:p>
            <w:pPr>
              <w:jc w:val="center"/>
              <w:rPr>
                <w:rFonts w:hint="eastAsia" w:ascii="宋体" w:hAnsi="宋体" w:eastAsia="宋体" w:cs="宋体"/>
                <w:i w:val="0"/>
                <w:iCs w:val="0"/>
                <w:color w:val="000000"/>
                <w:sz w:val="18"/>
                <w:szCs w:val="18"/>
                <w:u w:val="none"/>
              </w:rPr>
            </w:pPr>
          </w:p>
        </w:tc>
        <w:tc>
          <w:tcPr>
            <w:tcW w:w="870" w:type="dxa"/>
            <w:vMerge w:val="continue"/>
            <w:tcBorders>
              <w:tl2br w:val="nil"/>
              <w:tr2bl w:val="nil"/>
            </w:tcBorders>
            <w:vAlign w:val="center"/>
          </w:tcPr>
          <w:p>
            <w:pPr>
              <w:jc w:val="center"/>
              <w:rPr>
                <w:rFonts w:hint="eastAsia" w:ascii="宋体" w:hAnsi="宋体" w:eastAsia="宋体" w:cs="宋体"/>
                <w:i w:val="0"/>
                <w:iCs w:val="0"/>
                <w:color w:val="000000"/>
                <w:sz w:val="18"/>
                <w:szCs w:val="18"/>
                <w:u w:val="none"/>
              </w:rPr>
            </w:pPr>
          </w:p>
        </w:tc>
        <w:tc>
          <w:tcPr>
            <w:tcW w:w="1050" w:type="dxa"/>
            <w:tcBorders>
              <w:tl2br w:val="nil"/>
              <w:tr2bl w:val="nil"/>
            </w:tcBorders>
            <w:vAlign w:val="center"/>
          </w:tcPr>
          <w:p>
            <w:pPr>
              <w:keepNext w:val="0"/>
              <w:keepLines w:val="0"/>
              <w:widowControl/>
              <w:suppressLineNumbers w:val="0"/>
              <w:jc w:val="center"/>
              <w:textAlignment w:val="center"/>
              <w:rPr>
                <w:rStyle w:val="8"/>
                <w:lang w:val="en-US" w:eastAsia="zh-CN"/>
              </w:rPr>
            </w:pPr>
            <w:r>
              <w:rPr>
                <w:rStyle w:val="8"/>
                <w:lang w:val="en-US" w:eastAsia="zh-CN"/>
              </w:rPr>
              <w:t>绩效自评</w:t>
            </w:r>
          </w:p>
          <w:p>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Style w:val="8"/>
                <w:lang w:val="en-US" w:eastAsia="zh-CN"/>
              </w:rPr>
              <w:t>管理情况</w:t>
            </w:r>
          </w:p>
        </w:tc>
        <w:tc>
          <w:tcPr>
            <w:tcW w:w="495" w:type="dxa"/>
            <w:tcBorders>
              <w:tl2br w:val="nil"/>
              <w:tr2bl w:val="nil"/>
            </w:tcBorders>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rPr>
              <w:t>8</w:t>
            </w:r>
          </w:p>
        </w:tc>
        <w:tc>
          <w:tcPr>
            <w:tcW w:w="2570" w:type="dxa"/>
            <w:tcBorders>
              <w:tl2br w:val="nil"/>
              <w:tr2bl w:val="nil"/>
            </w:tcBorders>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部门（单位）绩效自评管理情况。</w:t>
            </w:r>
          </w:p>
        </w:tc>
        <w:tc>
          <w:tcPr>
            <w:tcW w:w="5112" w:type="dxa"/>
            <w:tcBorders>
              <w:tl2br w:val="nil"/>
              <w:tr2bl w:val="nil"/>
            </w:tcBorders>
            <w:vAlign w:val="center"/>
          </w:tcPr>
          <w:p>
            <w:pPr>
              <w:keepNext w:val="0"/>
              <w:keepLines w:val="0"/>
              <w:widowControl/>
              <w:suppressLineNumbers w:val="0"/>
              <w:jc w:val="left"/>
              <w:textAlignment w:val="center"/>
              <w:rPr>
                <w:rStyle w:val="8"/>
                <w:lang w:val="en-US" w:eastAsia="zh-CN"/>
              </w:rPr>
            </w:pPr>
          </w:p>
          <w:p>
            <w:pPr>
              <w:keepNext w:val="0"/>
              <w:keepLines w:val="0"/>
              <w:widowControl/>
              <w:suppressLineNumbers w:val="0"/>
              <w:jc w:val="left"/>
              <w:textAlignment w:val="center"/>
              <w:rPr>
                <w:rStyle w:val="8"/>
                <w:lang w:val="en-US" w:eastAsia="zh-CN"/>
              </w:rPr>
            </w:pPr>
            <w:r>
              <w:rPr>
                <w:rStyle w:val="8"/>
                <w:lang w:val="en-US" w:eastAsia="zh-CN"/>
              </w:rPr>
              <w:t>①是否按要求开展部门（单位）整体支出绩效自评和专项资金支出自评工作。</w:t>
            </w:r>
          </w:p>
          <w:p>
            <w:pPr>
              <w:keepNext w:val="0"/>
              <w:keepLines w:val="0"/>
              <w:widowControl/>
              <w:suppressLineNumbers w:val="0"/>
              <w:jc w:val="left"/>
              <w:textAlignment w:val="center"/>
              <w:rPr>
                <w:rStyle w:val="8"/>
                <w:lang w:val="en-US" w:eastAsia="zh-CN"/>
              </w:rPr>
            </w:pPr>
            <w:r>
              <w:rPr>
                <w:rStyle w:val="8"/>
                <w:lang w:val="en-US" w:eastAsia="zh-CN"/>
              </w:rPr>
              <w:t>②是否及时报送绩效自评报告；</w:t>
            </w:r>
          </w:p>
          <w:p>
            <w:pPr>
              <w:keepNext w:val="0"/>
              <w:keepLines w:val="0"/>
              <w:widowControl/>
              <w:suppressLineNumbers w:val="0"/>
              <w:jc w:val="left"/>
              <w:textAlignment w:val="center"/>
              <w:rPr>
                <w:rStyle w:val="8"/>
                <w:lang w:val="en-US" w:eastAsia="zh-CN"/>
              </w:rPr>
            </w:pPr>
            <w:r>
              <w:rPr>
                <w:rStyle w:val="8"/>
                <w:lang w:val="en-US" w:eastAsia="zh-CN"/>
              </w:rPr>
              <w:t>③绩效自评报告是否完整，数据是否全面、真实、准确，绩效指标是否细化量化和科学合理；</w:t>
            </w:r>
          </w:p>
          <w:p>
            <w:pPr>
              <w:keepNext w:val="0"/>
              <w:keepLines w:val="0"/>
              <w:widowControl/>
              <w:suppressLineNumbers w:val="0"/>
              <w:jc w:val="left"/>
              <w:textAlignment w:val="center"/>
              <w:rPr>
                <w:rStyle w:val="8"/>
                <w:lang w:val="en-US" w:eastAsia="zh-CN"/>
              </w:rPr>
            </w:pPr>
            <w:r>
              <w:rPr>
                <w:rStyle w:val="8"/>
                <w:lang w:val="en-US" w:eastAsia="zh-CN"/>
              </w:rPr>
              <w:t>④绩效自评反映的问题是否具体，意见是否可行，自评发现的问题是否整改；</w:t>
            </w:r>
          </w:p>
          <w:p>
            <w:pPr>
              <w:keepNext w:val="0"/>
              <w:keepLines w:val="0"/>
              <w:widowControl/>
              <w:suppressLineNumbers w:val="0"/>
              <w:jc w:val="left"/>
              <w:textAlignment w:val="center"/>
              <w:rPr>
                <w:rFonts w:hint="default" w:ascii="Times New Roman" w:hAnsi="Times New Roman" w:eastAsia="宋体" w:cs="Times New Roman"/>
                <w:i w:val="0"/>
                <w:iCs w:val="0"/>
                <w:color w:val="000000"/>
                <w:sz w:val="18"/>
                <w:szCs w:val="18"/>
                <w:u w:val="none"/>
              </w:rPr>
            </w:pPr>
            <w:r>
              <w:rPr>
                <w:rStyle w:val="8"/>
                <w:lang w:val="en-US" w:eastAsia="zh-CN"/>
              </w:rPr>
              <w:t>该项得分，①、②、③、④各计</w:t>
            </w:r>
            <w:r>
              <w:rPr>
                <w:rStyle w:val="9"/>
                <w:rFonts w:eastAsia="宋体"/>
                <w:lang w:val="en-US" w:eastAsia="zh-CN"/>
              </w:rPr>
              <w:t>1</w:t>
            </w:r>
            <w:r>
              <w:rPr>
                <w:rStyle w:val="8"/>
                <w:lang w:val="en-US" w:eastAsia="zh-CN"/>
              </w:rPr>
              <w:t>分。</w:t>
            </w:r>
          </w:p>
        </w:tc>
        <w:tc>
          <w:tcPr>
            <w:tcW w:w="2115" w:type="dxa"/>
            <w:tcBorders>
              <w:tl2br w:val="nil"/>
              <w:tr2bl w:val="nil"/>
            </w:tcBorders>
            <w:vAlign w:val="center"/>
          </w:tcPr>
          <w:p>
            <w:pPr>
              <w:keepNext w:val="0"/>
              <w:keepLines w:val="0"/>
              <w:widowControl/>
              <w:suppressLineNumbers w:val="0"/>
              <w:jc w:val="left"/>
              <w:textAlignment w:val="center"/>
              <w:rPr>
                <w:rFonts w:hint="default" w:ascii="Times New Roman" w:hAnsi="Times New Roman" w:eastAsia="宋体" w:cs="Times New Roman"/>
                <w:i w:val="0"/>
                <w:iCs w:val="0"/>
                <w:color w:val="000000"/>
                <w:sz w:val="18"/>
                <w:szCs w:val="18"/>
                <w:u w:val="none"/>
              </w:rPr>
            </w:pPr>
            <w:r>
              <w:rPr>
                <w:rStyle w:val="8"/>
                <w:lang w:val="en-US" w:eastAsia="zh-CN"/>
              </w:rPr>
              <w:t>部门（单位）绩效管理制度；工作协同机制；现场绩效评价实际情况；自评报告及相关文件。</w:t>
            </w:r>
          </w:p>
        </w:tc>
        <w:tc>
          <w:tcPr>
            <w:tcW w:w="586" w:type="dxa"/>
            <w:tcBorders>
              <w:tl2br w:val="nil"/>
              <w:tr2bl w:val="nil"/>
            </w:tcBorders>
            <w:vAlign w:val="center"/>
          </w:tcPr>
          <w:p>
            <w:pPr>
              <w:jc w:val="left"/>
              <w:rPr>
                <w:rFonts w:hint="eastAsia" w:ascii="Times New Roman" w:hAnsi="Times New Roman" w:eastAsia="宋体" w:cs="Times New Roman"/>
                <w:i w:val="0"/>
                <w:iCs w:val="0"/>
                <w:color w:val="000000"/>
                <w:sz w:val="18"/>
                <w:szCs w:val="18"/>
                <w:u w:val="none"/>
                <w:lang w:val="en-US" w:eastAsia="zh-CN"/>
              </w:rPr>
            </w:pPr>
            <w:r>
              <w:rPr>
                <w:rFonts w:hint="eastAsia" w:ascii="Times New Roman" w:hAnsi="Times New Roman" w:cs="Times New Roman"/>
                <w:i w:val="0"/>
                <w:iCs w:val="0"/>
                <w:color w:val="000000"/>
                <w:sz w:val="18"/>
                <w:szCs w:val="18"/>
                <w:u w:val="none"/>
                <w:lang w:val="en-US" w:eastAsia="zh-CN"/>
              </w:rPr>
              <w:t>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140" w:hRule="atLeast"/>
          <w:jc w:val="center"/>
        </w:trPr>
        <w:tc>
          <w:tcPr>
            <w:tcW w:w="873" w:type="dxa"/>
            <w:vMerge w:val="continue"/>
            <w:tcBorders>
              <w:tl2br w:val="nil"/>
              <w:tr2bl w:val="nil"/>
            </w:tcBorders>
            <w:vAlign w:val="center"/>
          </w:tcPr>
          <w:p>
            <w:pPr>
              <w:jc w:val="center"/>
              <w:rPr>
                <w:rFonts w:hint="eastAsia" w:ascii="宋体" w:hAnsi="宋体" w:eastAsia="宋体" w:cs="宋体"/>
                <w:i w:val="0"/>
                <w:iCs w:val="0"/>
                <w:color w:val="000000"/>
                <w:sz w:val="18"/>
                <w:szCs w:val="18"/>
                <w:u w:val="none"/>
              </w:rPr>
            </w:pPr>
          </w:p>
        </w:tc>
        <w:tc>
          <w:tcPr>
            <w:tcW w:w="870" w:type="dxa"/>
            <w:vMerge w:val="continue"/>
            <w:tcBorders>
              <w:tl2br w:val="nil"/>
              <w:tr2bl w:val="nil"/>
            </w:tcBorders>
            <w:vAlign w:val="center"/>
          </w:tcPr>
          <w:p>
            <w:pPr>
              <w:jc w:val="center"/>
              <w:rPr>
                <w:rFonts w:hint="eastAsia" w:ascii="宋体" w:hAnsi="宋体" w:eastAsia="宋体" w:cs="宋体"/>
                <w:i w:val="0"/>
                <w:iCs w:val="0"/>
                <w:color w:val="000000"/>
                <w:sz w:val="18"/>
                <w:szCs w:val="18"/>
                <w:u w:val="none"/>
              </w:rPr>
            </w:pPr>
          </w:p>
        </w:tc>
        <w:tc>
          <w:tcPr>
            <w:tcW w:w="1050" w:type="dxa"/>
            <w:tcBorders>
              <w:tl2br w:val="nil"/>
              <w:tr2bl w:val="nil"/>
            </w:tcBorders>
            <w:vAlign w:val="center"/>
          </w:tcPr>
          <w:p>
            <w:pPr>
              <w:keepNext w:val="0"/>
              <w:keepLines w:val="0"/>
              <w:widowControl/>
              <w:suppressLineNumbers w:val="0"/>
              <w:jc w:val="center"/>
              <w:textAlignment w:val="center"/>
              <w:rPr>
                <w:rStyle w:val="8"/>
                <w:lang w:val="en-US" w:eastAsia="zh-CN"/>
              </w:rPr>
            </w:pPr>
            <w:r>
              <w:rPr>
                <w:rStyle w:val="8"/>
                <w:lang w:val="en-US" w:eastAsia="zh-CN"/>
              </w:rPr>
              <w:t>重点绩效</w:t>
            </w:r>
          </w:p>
          <w:p>
            <w:pPr>
              <w:keepNext w:val="0"/>
              <w:keepLines w:val="0"/>
              <w:widowControl/>
              <w:suppressLineNumbers w:val="0"/>
              <w:jc w:val="center"/>
              <w:textAlignment w:val="center"/>
              <w:rPr>
                <w:rStyle w:val="8"/>
                <w:lang w:val="en-US" w:eastAsia="zh-CN"/>
              </w:rPr>
            </w:pPr>
            <w:r>
              <w:rPr>
                <w:rStyle w:val="8"/>
                <w:lang w:val="en-US" w:eastAsia="zh-CN"/>
              </w:rPr>
              <w:t>评价整改</w:t>
            </w:r>
          </w:p>
          <w:p>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Style w:val="8"/>
                <w:lang w:val="en-US" w:eastAsia="zh-CN"/>
              </w:rPr>
              <w:t>情况</w:t>
            </w:r>
          </w:p>
        </w:tc>
        <w:tc>
          <w:tcPr>
            <w:tcW w:w="495" w:type="dxa"/>
            <w:tcBorders>
              <w:tl2br w:val="nil"/>
              <w:tr2bl w:val="nil"/>
            </w:tcBorders>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rPr>
              <w:t>3</w:t>
            </w:r>
          </w:p>
        </w:tc>
        <w:tc>
          <w:tcPr>
            <w:tcW w:w="2570" w:type="dxa"/>
            <w:tcBorders>
              <w:tl2br w:val="nil"/>
              <w:tr2bl w:val="nil"/>
            </w:tcBorders>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部门（单位）上轮评价问题整改情况。</w:t>
            </w:r>
          </w:p>
        </w:tc>
        <w:tc>
          <w:tcPr>
            <w:tcW w:w="5112" w:type="dxa"/>
            <w:tcBorders>
              <w:tl2br w:val="nil"/>
              <w:tr2bl w:val="nil"/>
            </w:tcBorders>
            <w:vAlign w:val="center"/>
          </w:tcPr>
          <w:p>
            <w:pPr>
              <w:keepNext w:val="0"/>
              <w:keepLines w:val="0"/>
              <w:widowControl/>
              <w:suppressLineNumbers w:val="0"/>
              <w:jc w:val="left"/>
              <w:textAlignment w:val="center"/>
              <w:rPr>
                <w:rStyle w:val="8"/>
                <w:lang w:val="en-US" w:eastAsia="zh-CN"/>
              </w:rPr>
            </w:pPr>
          </w:p>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Style w:val="8"/>
                <w:lang w:val="en-US" w:eastAsia="zh-CN"/>
              </w:rPr>
              <w:t>上轮重点评价问题全部整改，计3分；上轮重点评价问题部分整改，计</w:t>
            </w:r>
            <w:r>
              <w:rPr>
                <w:rStyle w:val="9"/>
                <w:rFonts w:eastAsia="宋体"/>
                <w:lang w:val="en-US" w:eastAsia="zh-CN"/>
              </w:rPr>
              <w:t>1</w:t>
            </w:r>
            <w:r>
              <w:rPr>
                <w:rStyle w:val="8"/>
                <w:lang w:val="en-US" w:eastAsia="zh-CN"/>
              </w:rPr>
              <w:t>分；上轮重点评价问题未整改且无整改情况说明的不计分。</w:t>
            </w:r>
          </w:p>
        </w:tc>
        <w:tc>
          <w:tcPr>
            <w:tcW w:w="2115" w:type="dxa"/>
            <w:tcBorders>
              <w:tl2br w:val="nil"/>
              <w:tr2bl w:val="nil"/>
            </w:tcBorders>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部门（单位）上轮绩效评价报告及对应的整改资料。</w:t>
            </w:r>
          </w:p>
        </w:tc>
        <w:tc>
          <w:tcPr>
            <w:tcW w:w="586" w:type="dxa"/>
            <w:tcBorders>
              <w:tl2br w:val="nil"/>
              <w:tr2bl w:val="nil"/>
            </w:tcBorders>
            <w:vAlign w:val="center"/>
          </w:tcPr>
          <w:p>
            <w:pPr>
              <w:jc w:val="left"/>
              <w:rPr>
                <w:rFonts w:hint="eastAsia" w:ascii="Times New Roman" w:hAnsi="Times New Roman" w:eastAsia="宋体" w:cs="Times New Roman"/>
                <w:i w:val="0"/>
                <w:iCs w:val="0"/>
                <w:color w:val="000000"/>
                <w:sz w:val="18"/>
                <w:szCs w:val="18"/>
                <w:u w:val="none"/>
                <w:lang w:val="en-US" w:eastAsia="zh-CN"/>
              </w:rPr>
            </w:pPr>
            <w:r>
              <w:rPr>
                <w:rFonts w:hint="eastAsia" w:ascii="Times New Roman" w:hAnsi="Times New Roman" w:cs="Times New Roman"/>
                <w:i w:val="0"/>
                <w:iCs w:val="0"/>
                <w:color w:val="000000"/>
                <w:sz w:val="18"/>
                <w:szCs w:val="18"/>
                <w:u w:val="none"/>
                <w:lang w:val="en-US" w:eastAsia="zh-CN"/>
              </w:rPr>
              <w:t>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80" w:hRule="atLeast"/>
          <w:jc w:val="center"/>
        </w:trPr>
        <w:tc>
          <w:tcPr>
            <w:tcW w:w="873" w:type="dxa"/>
            <w:vMerge w:val="continue"/>
            <w:tcBorders>
              <w:tl2br w:val="nil"/>
              <w:tr2bl w:val="nil"/>
            </w:tcBorders>
            <w:vAlign w:val="center"/>
          </w:tcPr>
          <w:p>
            <w:pPr>
              <w:jc w:val="center"/>
              <w:rPr>
                <w:rFonts w:hint="eastAsia" w:ascii="宋体" w:hAnsi="宋体" w:eastAsia="宋体" w:cs="宋体"/>
                <w:i w:val="0"/>
                <w:iCs w:val="0"/>
                <w:color w:val="000000"/>
                <w:sz w:val="18"/>
                <w:szCs w:val="18"/>
                <w:u w:val="none"/>
              </w:rPr>
            </w:pPr>
          </w:p>
        </w:tc>
        <w:tc>
          <w:tcPr>
            <w:tcW w:w="870" w:type="dxa"/>
            <w:vMerge w:val="restart"/>
            <w:tcBorders>
              <w:tl2br w:val="nil"/>
              <w:tr2bl w:val="nil"/>
            </w:tcBorders>
            <w:vAlign w:val="center"/>
          </w:tcPr>
          <w:p>
            <w:pPr>
              <w:keepNext w:val="0"/>
              <w:keepLines w:val="0"/>
              <w:widowControl/>
              <w:suppressLineNumbers w:val="0"/>
              <w:jc w:val="center"/>
              <w:textAlignment w:val="center"/>
              <w:rPr>
                <w:rStyle w:val="8"/>
                <w:lang w:val="en-US" w:eastAsia="zh-CN"/>
              </w:rPr>
            </w:pPr>
            <w:r>
              <w:rPr>
                <w:rStyle w:val="8"/>
                <w:lang w:val="en-US" w:eastAsia="zh-CN"/>
              </w:rPr>
              <w:t>资产</w:t>
            </w:r>
          </w:p>
          <w:p>
            <w:pPr>
              <w:keepNext w:val="0"/>
              <w:keepLines w:val="0"/>
              <w:widowControl/>
              <w:suppressLineNumbers w:val="0"/>
              <w:jc w:val="center"/>
              <w:textAlignment w:val="center"/>
              <w:rPr>
                <w:rStyle w:val="8"/>
                <w:lang w:val="en-US" w:eastAsia="zh-CN"/>
              </w:rPr>
            </w:pPr>
            <w:r>
              <w:rPr>
                <w:rStyle w:val="8"/>
                <w:lang w:val="en-US" w:eastAsia="zh-CN"/>
              </w:rPr>
              <w:t>管理</w:t>
            </w:r>
          </w:p>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Style w:val="8"/>
                <w:lang w:val="en-US" w:eastAsia="zh-CN"/>
              </w:rPr>
              <w:t>（5分）</w:t>
            </w:r>
          </w:p>
        </w:tc>
        <w:tc>
          <w:tcPr>
            <w:tcW w:w="1050" w:type="dxa"/>
            <w:tcBorders>
              <w:tl2br w:val="nil"/>
              <w:tr2bl w:val="nil"/>
            </w:tcBorders>
            <w:vAlign w:val="center"/>
          </w:tcPr>
          <w:p>
            <w:pPr>
              <w:keepNext w:val="0"/>
              <w:keepLines w:val="0"/>
              <w:widowControl/>
              <w:suppressLineNumbers w:val="0"/>
              <w:jc w:val="center"/>
              <w:textAlignment w:val="center"/>
              <w:rPr>
                <w:rStyle w:val="8"/>
                <w:lang w:val="en-US" w:eastAsia="zh-CN"/>
              </w:rPr>
            </w:pPr>
            <w:r>
              <w:rPr>
                <w:rStyle w:val="8"/>
                <w:lang w:val="en-US" w:eastAsia="zh-CN"/>
              </w:rPr>
              <w:t>资产管理</w:t>
            </w:r>
          </w:p>
          <w:p>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Style w:val="8"/>
                <w:lang w:val="en-US" w:eastAsia="zh-CN"/>
              </w:rPr>
              <w:t>制度健全性</w:t>
            </w:r>
          </w:p>
        </w:tc>
        <w:tc>
          <w:tcPr>
            <w:tcW w:w="495" w:type="dxa"/>
            <w:tcBorders>
              <w:tl2br w:val="nil"/>
              <w:tr2bl w:val="nil"/>
            </w:tcBorders>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rPr>
              <w:t>1</w:t>
            </w:r>
          </w:p>
        </w:tc>
        <w:tc>
          <w:tcPr>
            <w:tcW w:w="2570" w:type="dxa"/>
            <w:tcBorders>
              <w:tl2br w:val="nil"/>
              <w:tr2bl w:val="nil"/>
            </w:tcBorders>
            <w:vAlign w:val="center"/>
          </w:tcPr>
          <w:p>
            <w:pPr>
              <w:keepNext w:val="0"/>
              <w:keepLines w:val="0"/>
              <w:widowControl/>
              <w:suppressLineNumbers w:val="0"/>
              <w:jc w:val="left"/>
              <w:textAlignment w:val="center"/>
              <w:rPr>
                <w:rFonts w:hint="default" w:ascii="Times New Roman" w:hAnsi="Times New Roman" w:eastAsia="宋体" w:cs="Times New Roman"/>
                <w:i w:val="0"/>
                <w:iCs w:val="0"/>
                <w:color w:val="000000"/>
                <w:sz w:val="18"/>
                <w:szCs w:val="18"/>
                <w:u w:val="none"/>
              </w:rPr>
            </w:pPr>
            <w:r>
              <w:rPr>
                <w:rStyle w:val="8"/>
                <w:lang w:val="en-US" w:eastAsia="zh-CN"/>
              </w:rPr>
              <w:t>部门（单位）为加强资产管理、规范资产管理行为而制定的管理制度是否健全完整，用以反映和考核部门资产管理制度对完成主要职责或促进社会发展的保障情况。</w:t>
            </w:r>
          </w:p>
        </w:tc>
        <w:tc>
          <w:tcPr>
            <w:tcW w:w="5112" w:type="dxa"/>
            <w:tcBorders>
              <w:tl2br w:val="nil"/>
              <w:tr2bl w:val="nil"/>
            </w:tcBorders>
            <w:vAlign w:val="center"/>
          </w:tcPr>
          <w:p>
            <w:pPr>
              <w:keepNext w:val="0"/>
              <w:keepLines w:val="0"/>
              <w:widowControl/>
              <w:suppressLineNumbers w:val="0"/>
              <w:jc w:val="left"/>
              <w:textAlignment w:val="center"/>
              <w:rPr>
                <w:rStyle w:val="8"/>
                <w:lang w:val="en-US" w:eastAsia="zh-CN"/>
              </w:rPr>
            </w:pPr>
            <w:r>
              <w:rPr>
                <w:rStyle w:val="8"/>
                <w:lang w:val="en-US" w:eastAsia="zh-CN"/>
              </w:rPr>
              <w:t>①已制定合法、合规、完整的资产管理制度，计</w:t>
            </w:r>
            <w:r>
              <w:rPr>
                <w:rStyle w:val="9"/>
                <w:rFonts w:eastAsia="宋体"/>
                <w:lang w:val="en-US" w:eastAsia="zh-CN"/>
              </w:rPr>
              <w:t>0.5</w:t>
            </w:r>
            <w:r>
              <w:rPr>
                <w:rStyle w:val="8"/>
                <w:lang w:val="en-US" w:eastAsia="zh-CN"/>
              </w:rPr>
              <w:t>分，否则不得分；</w:t>
            </w:r>
          </w:p>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Style w:val="8"/>
                <w:lang w:val="en-US" w:eastAsia="zh-CN"/>
              </w:rPr>
              <w:t>②相关资产管理制度得到有效执行，计</w:t>
            </w:r>
            <w:r>
              <w:rPr>
                <w:rStyle w:val="9"/>
                <w:rFonts w:eastAsia="宋体"/>
                <w:lang w:val="en-US" w:eastAsia="zh-CN"/>
              </w:rPr>
              <w:t>0.5</w:t>
            </w:r>
            <w:r>
              <w:rPr>
                <w:rStyle w:val="8"/>
                <w:lang w:val="en-US" w:eastAsia="zh-CN"/>
              </w:rPr>
              <w:t>分，否则不得分；</w:t>
            </w:r>
          </w:p>
        </w:tc>
        <w:tc>
          <w:tcPr>
            <w:tcW w:w="2115" w:type="dxa"/>
            <w:tcBorders>
              <w:tl2br w:val="nil"/>
              <w:tr2bl w:val="nil"/>
            </w:tcBorders>
            <w:vAlign w:val="center"/>
          </w:tcPr>
          <w:p>
            <w:pPr>
              <w:keepNext w:val="0"/>
              <w:keepLines w:val="0"/>
              <w:widowControl/>
              <w:suppressLineNumbers w:val="0"/>
              <w:jc w:val="left"/>
              <w:textAlignment w:val="center"/>
              <w:rPr>
                <w:rFonts w:hint="default" w:ascii="Times New Roman" w:hAnsi="Times New Roman" w:eastAsia="宋体" w:cs="Times New Roman"/>
                <w:i w:val="0"/>
                <w:iCs w:val="0"/>
                <w:color w:val="000000"/>
                <w:sz w:val="18"/>
                <w:szCs w:val="18"/>
                <w:u w:val="none"/>
              </w:rPr>
            </w:pPr>
            <w:r>
              <w:rPr>
                <w:rStyle w:val="8"/>
                <w:lang w:val="en-US" w:eastAsia="zh-CN"/>
              </w:rPr>
              <w:t>部门（单位）资产管理制度；采购资产相关资料。</w:t>
            </w:r>
          </w:p>
        </w:tc>
        <w:tc>
          <w:tcPr>
            <w:tcW w:w="586" w:type="dxa"/>
            <w:tcBorders>
              <w:tl2br w:val="nil"/>
              <w:tr2bl w:val="nil"/>
            </w:tcBorders>
            <w:vAlign w:val="center"/>
          </w:tcPr>
          <w:p>
            <w:pPr>
              <w:jc w:val="left"/>
              <w:rPr>
                <w:rFonts w:hint="eastAsia" w:ascii="Times New Roman" w:hAnsi="Times New Roman" w:eastAsia="宋体" w:cs="Times New Roman"/>
                <w:i w:val="0"/>
                <w:iCs w:val="0"/>
                <w:color w:val="000000"/>
                <w:sz w:val="18"/>
                <w:szCs w:val="18"/>
                <w:u w:val="none"/>
                <w:lang w:val="en-US" w:eastAsia="zh-CN"/>
              </w:rPr>
            </w:pPr>
            <w:r>
              <w:rPr>
                <w:rFonts w:hint="eastAsia" w:ascii="Times New Roman" w:hAnsi="Times New Roman" w:cs="Times New Roman"/>
                <w:i w:val="0"/>
                <w:iCs w:val="0"/>
                <w:color w:val="000000"/>
                <w:sz w:val="18"/>
                <w:szCs w:val="18"/>
                <w:u w:val="none"/>
                <w:lang w:val="en-US" w:eastAsia="zh-CN"/>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835" w:hRule="atLeast"/>
          <w:jc w:val="center"/>
        </w:trPr>
        <w:tc>
          <w:tcPr>
            <w:tcW w:w="873" w:type="dxa"/>
            <w:vMerge w:val="continue"/>
            <w:tcBorders>
              <w:tl2br w:val="nil"/>
              <w:tr2bl w:val="nil"/>
            </w:tcBorders>
            <w:vAlign w:val="center"/>
          </w:tcPr>
          <w:p>
            <w:pPr>
              <w:jc w:val="center"/>
              <w:rPr>
                <w:rFonts w:hint="eastAsia" w:ascii="宋体" w:hAnsi="宋体" w:eastAsia="宋体" w:cs="宋体"/>
                <w:i w:val="0"/>
                <w:iCs w:val="0"/>
                <w:color w:val="000000"/>
                <w:sz w:val="18"/>
                <w:szCs w:val="18"/>
                <w:u w:val="none"/>
              </w:rPr>
            </w:pPr>
          </w:p>
        </w:tc>
        <w:tc>
          <w:tcPr>
            <w:tcW w:w="870" w:type="dxa"/>
            <w:vMerge w:val="continue"/>
            <w:tcBorders>
              <w:tl2br w:val="nil"/>
              <w:tr2bl w:val="nil"/>
            </w:tcBorders>
            <w:vAlign w:val="center"/>
          </w:tcPr>
          <w:p>
            <w:pPr>
              <w:jc w:val="center"/>
              <w:rPr>
                <w:rFonts w:hint="eastAsia" w:ascii="宋体" w:hAnsi="宋体" w:eastAsia="宋体" w:cs="宋体"/>
                <w:i w:val="0"/>
                <w:iCs w:val="0"/>
                <w:color w:val="000000"/>
                <w:sz w:val="18"/>
                <w:szCs w:val="18"/>
                <w:u w:val="none"/>
              </w:rPr>
            </w:pPr>
          </w:p>
        </w:tc>
        <w:tc>
          <w:tcPr>
            <w:tcW w:w="1050" w:type="dxa"/>
            <w:tcBorders>
              <w:tl2br w:val="nil"/>
              <w:tr2bl w:val="nil"/>
            </w:tcBorders>
            <w:vAlign w:val="center"/>
          </w:tcPr>
          <w:p>
            <w:pPr>
              <w:keepNext w:val="0"/>
              <w:keepLines w:val="0"/>
              <w:widowControl/>
              <w:suppressLineNumbers w:val="0"/>
              <w:jc w:val="center"/>
              <w:textAlignment w:val="center"/>
              <w:rPr>
                <w:rStyle w:val="8"/>
                <w:lang w:val="en-US" w:eastAsia="zh-CN"/>
              </w:rPr>
            </w:pPr>
            <w:r>
              <w:rPr>
                <w:rStyle w:val="8"/>
                <w:lang w:val="en-US" w:eastAsia="zh-CN"/>
              </w:rPr>
              <w:t>资产管理</w:t>
            </w:r>
          </w:p>
          <w:p>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Style w:val="8"/>
                <w:lang w:val="en-US" w:eastAsia="zh-CN"/>
              </w:rPr>
              <w:t>安全性</w:t>
            </w:r>
          </w:p>
        </w:tc>
        <w:tc>
          <w:tcPr>
            <w:tcW w:w="495" w:type="dxa"/>
            <w:tcBorders>
              <w:tl2br w:val="nil"/>
              <w:tr2bl w:val="nil"/>
            </w:tcBorders>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rPr>
              <w:t>2</w:t>
            </w:r>
          </w:p>
        </w:tc>
        <w:tc>
          <w:tcPr>
            <w:tcW w:w="2570" w:type="dxa"/>
            <w:tcBorders>
              <w:tl2br w:val="nil"/>
              <w:tr2bl w:val="nil"/>
            </w:tcBorders>
            <w:vAlign w:val="center"/>
          </w:tcPr>
          <w:p>
            <w:pPr>
              <w:keepNext w:val="0"/>
              <w:keepLines w:val="0"/>
              <w:widowControl/>
              <w:suppressLineNumbers w:val="0"/>
              <w:jc w:val="left"/>
              <w:textAlignment w:val="center"/>
              <w:rPr>
                <w:rFonts w:hint="default" w:ascii="Times New Roman" w:hAnsi="Times New Roman" w:eastAsia="宋体" w:cs="Times New Roman"/>
                <w:i w:val="0"/>
                <w:iCs w:val="0"/>
                <w:color w:val="000000"/>
                <w:sz w:val="18"/>
                <w:szCs w:val="18"/>
                <w:u w:val="none"/>
              </w:rPr>
            </w:pPr>
            <w:r>
              <w:rPr>
                <w:rStyle w:val="8"/>
                <w:lang w:val="en-US" w:eastAsia="zh-CN"/>
              </w:rPr>
              <w:t>部门（单位）的资产是否保存完整、使用合规、配置合理、处置规范、收入及时足额上缴，用以反映和考核部门（单位）资产安全运行情况。</w:t>
            </w:r>
          </w:p>
        </w:tc>
        <w:tc>
          <w:tcPr>
            <w:tcW w:w="5112" w:type="dxa"/>
            <w:tcBorders>
              <w:tl2br w:val="nil"/>
              <w:tr2bl w:val="nil"/>
            </w:tcBorders>
            <w:vAlign w:val="center"/>
          </w:tcPr>
          <w:p>
            <w:pPr>
              <w:keepNext w:val="0"/>
              <w:keepLines w:val="0"/>
              <w:widowControl/>
              <w:suppressLineNumbers w:val="0"/>
              <w:jc w:val="left"/>
              <w:textAlignment w:val="center"/>
              <w:rPr>
                <w:rStyle w:val="8"/>
                <w:lang w:val="en-US" w:eastAsia="zh-CN"/>
              </w:rPr>
            </w:pPr>
          </w:p>
          <w:p>
            <w:pPr>
              <w:keepNext w:val="0"/>
              <w:keepLines w:val="0"/>
              <w:widowControl/>
              <w:suppressLineNumbers w:val="0"/>
              <w:jc w:val="left"/>
              <w:textAlignment w:val="center"/>
              <w:rPr>
                <w:rStyle w:val="8"/>
                <w:lang w:val="en-US" w:eastAsia="zh-CN"/>
              </w:rPr>
            </w:pPr>
            <w:r>
              <w:rPr>
                <w:rStyle w:val="8"/>
                <w:lang w:val="en-US" w:eastAsia="zh-CN"/>
              </w:rPr>
              <w:t>①资产配置合理符合标准、保管完整，账务管理规范，定期盘点并有台账，账实相符的，计</w:t>
            </w:r>
            <w:r>
              <w:rPr>
                <w:rStyle w:val="9"/>
                <w:rFonts w:eastAsia="宋体"/>
                <w:lang w:val="en-US" w:eastAsia="zh-CN"/>
              </w:rPr>
              <w:t>0.5</w:t>
            </w:r>
            <w:r>
              <w:rPr>
                <w:rStyle w:val="8"/>
                <w:lang w:val="en-US" w:eastAsia="zh-CN"/>
              </w:rPr>
              <w:t>分，发现一例不符，扣</w:t>
            </w:r>
            <w:r>
              <w:rPr>
                <w:rStyle w:val="9"/>
                <w:rFonts w:eastAsia="宋体"/>
                <w:lang w:val="en-US" w:eastAsia="zh-CN"/>
              </w:rPr>
              <w:t>0.1</w:t>
            </w:r>
            <w:r>
              <w:rPr>
                <w:rStyle w:val="8"/>
                <w:lang w:val="en-US" w:eastAsia="zh-CN"/>
              </w:rPr>
              <w:t>分，扣完为止；</w:t>
            </w:r>
          </w:p>
          <w:p>
            <w:pPr>
              <w:keepNext w:val="0"/>
              <w:keepLines w:val="0"/>
              <w:widowControl/>
              <w:suppressLineNumbers w:val="0"/>
              <w:jc w:val="left"/>
              <w:textAlignment w:val="center"/>
              <w:rPr>
                <w:rStyle w:val="8"/>
                <w:lang w:val="en-US" w:eastAsia="zh-CN"/>
              </w:rPr>
            </w:pPr>
            <w:r>
              <w:rPr>
                <w:rStyle w:val="8"/>
                <w:lang w:val="en-US" w:eastAsia="zh-CN"/>
              </w:rPr>
              <w:t>②资产处置规范，计</w:t>
            </w:r>
            <w:r>
              <w:rPr>
                <w:rStyle w:val="9"/>
                <w:rFonts w:eastAsia="宋体"/>
                <w:lang w:val="en-US" w:eastAsia="zh-CN"/>
              </w:rPr>
              <w:t>0.5</w:t>
            </w:r>
            <w:r>
              <w:rPr>
                <w:rStyle w:val="8"/>
                <w:lang w:val="en-US" w:eastAsia="zh-CN"/>
              </w:rPr>
              <w:t>分，发现一例不符，扣</w:t>
            </w:r>
            <w:r>
              <w:rPr>
                <w:rStyle w:val="9"/>
                <w:rFonts w:eastAsia="宋体"/>
                <w:lang w:val="en-US" w:eastAsia="zh-CN"/>
              </w:rPr>
              <w:t>0.1</w:t>
            </w:r>
            <w:r>
              <w:rPr>
                <w:rStyle w:val="8"/>
                <w:lang w:val="en-US" w:eastAsia="zh-CN"/>
              </w:rPr>
              <w:t>分，扣完为止；</w:t>
            </w:r>
          </w:p>
          <w:p>
            <w:pPr>
              <w:keepNext w:val="0"/>
              <w:keepLines w:val="0"/>
              <w:widowControl/>
              <w:suppressLineNumbers w:val="0"/>
              <w:jc w:val="left"/>
              <w:textAlignment w:val="center"/>
              <w:rPr>
                <w:rStyle w:val="8"/>
                <w:lang w:val="en-US" w:eastAsia="zh-CN"/>
              </w:rPr>
            </w:pPr>
            <w:r>
              <w:rPr>
                <w:rStyle w:val="8"/>
                <w:lang w:val="en-US" w:eastAsia="zh-CN"/>
              </w:rPr>
              <w:t>③资产有偿使用或处置收入及时足额上缴，计</w:t>
            </w:r>
            <w:r>
              <w:rPr>
                <w:rStyle w:val="9"/>
                <w:rFonts w:eastAsia="宋体"/>
                <w:lang w:val="en-US" w:eastAsia="zh-CN"/>
              </w:rPr>
              <w:t>0.5</w:t>
            </w:r>
            <w:r>
              <w:rPr>
                <w:rStyle w:val="8"/>
                <w:lang w:val="en-US" w:eastAsia="zh-CN"/>
              </w:rPr>
              <w:t>分，发现未上缴，本项不得分；</w:t>
            </w:r>
          </w:p>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Style w:val="8"/>
                <w:lang w:val="en-US" w:eastAsia="zh-CN"/>
              </w:rPr>
              <w:t>④资产购置履行政府采购手续，计</w:t>
            </w:r>
            <w:r>
              <w:rPr>
                <w:rStyle w:val="9"/>
                <w:rFonts w:eastAsia="宋体"/>
                <w:lang w:val="en-US" w:eastAsia="zh-CN"/>
              </w:rPr>
              <w:t>0.3</w:t>
            </w:r>
            <w:r>
              <w:rPr>
                <w:rStyle w:val="8"/>
                <w:lang w:val="en-US" w:eastAsia="zh-CN"/>
              </w:rPr>
              <w:t>分，发现一例不符，扣</w:t>
            </w:r>
            <w:r>
              <w:rPr>
                <w:rStyle w:val="9"/>
                <w:rFonts w:eastAsia="宋体"/>
                <w:lang w:val="en-US" w:eastAsia="zh-CN"/>
              </w:rPr>
              <w:t>0.1</w:t>
            </w:r>
            <w:r>
              <w:rPr>
                <w:rStyle w:val="8"/>
                <w:lang w:val="en-US" w:eastAsia="zh-CN"/>
              </w:rPr>
              <w:t>分，扣完为止；外租资产全部走合规程序，计</w:t>
            </w:r>
            <w:r>
              <w:rPr>
                <w:rStyle w:val="9"/>
                <w:rFonts w:eastAsia="宋体"/>
                <w:lang w:val="en-US" w:eastAsia="zh-CN"/>
              </w:rPr>
              <w:t>0.2</w:t>
            </w:r>
            <w:r>
              <w:rPr>
                <w:rStyle w:val="8"/>
                <w:lang w:val="en-US" w:eastAsia="zh-CN"/>
              </w:rPr>
              <w:t>分，发现一例不合规，扣</w:t>
            </w:r>
            <w:r>
              <w:rPr>
                <w:rStyle w:val="9"/>
                <w:rFonts w:eastAsia="宋体"/>
                <w:lang w:val="en-US" w:eastAsia="zh-CN"/>
              </w:rPr>
              <w:t>0.1</w:t>
            </w:r>
            <w:r>
              <w:rPr>
                <w:rStyle w:val="8"/>
                <w:lang w:val="en-US" w:eastAsia="zh-CN"/>
              </w:rPr>
              <w:t>分，扣完为止；</w:t>
            </w:r>
          </w:p>
        </w:tc>
        <w:tc>
          <w:tcPr>
            <w:tcW w:w="2115" w:type="dxa"/>
            <w:tcBorders>
              <w:tl2br w:val="nil"/>
              <w:tr2bl w:val="nil"/>
            </w:tcBorders>
            <w:vAlign w:val="center"/>
          </w:tcPr>
          <w:p>
            <w:pPr>
              <w:keepNext w:val="0"/>
              <w:keepLines w:val="0"/>
              <w:widowControl/>
              <w:suppressLineNumbers w:val="0"/>
              <w:jc w:val="left"/>
              <w:textAlignment w:val="center"/>
              <w:rPr>
                <w:rFonts w:hint="default" w:ascii="Times New Roman" w:hAnsi="Times New Roman" w:eastAsia="宋体" w:cs="Times New Roman"/>
                <w:i w:val="0"/>
                <w:iCs w:val="0"/>
                <w:color w:val="000000"/>
                <w:sz w:val="18"/>
                <w:szCs w:val="18"/>
                <w:u w:val="none"/>
              </w:rPr>
            </w:pPr>
            <w:r>
              <w:rPr>
                <w:rStyle w:val="8"/>
                <w:lang w:val="en-US" w:eastAsia="zh-CN"/>
              </w:rPr>
              <w:t>财政部门批复的本年度部门（单位）预算；资产账；部门（单位）岗位人员配置、资产配置、资产处置审批资料；政府采购手续及资料等。</w:t>
            </w:r>
          </w:p>
        </w:tc>
        <w:tc>
          <w:tcPr>
            <w:tcW w:w="586" w:type="dxa"/>
            <w:tcBorders>
              <w:tl2br w:val="nil"/>
              <w:tr2bl w:val="nil"/>
            </w:tcBorders>
            <w:vAlign w:val="center"/>
          </w:tcPr>
          <w:p>
            <w:pPr>
              <w:jc w:val="left"/>
              <w:rPr>
                <w:rFonts w:hint="eastAsia" w:ascii="Times New Roman" w:hAnsi="Times New Roman" w:eastAsia="宋体" w:cs="Times New Roman"/>
                <w:i w:val="0"/>
                <w:iCs w:val="0"/>
                <w:color w:val="000000"/>
                <w:sz w:val="18"/>
                <w:szCs w:val="18"/>
                <w:u w:val="none"/>
                <w:lang w:val="en-US" w:eastAsia="zh-CN"/>
              </w:rPr>
            </w:pPr>
            <w:r>
              <w:rPr>
                <w:rFonts w:hint="eastAsia" w:ascii="Times New Roman" w:hAnsi="Times New Roman" w:cs="Times New Roman"/>
                <w:i w:val="0"/>
                <w:iCs w:val="0"/>
                <w:color w:val="000000"/>
                <w:sz w:val="18"/>
                <w:szCs w:val="18"/>
                <w:u w:val="none"/>
                <w:lang w:val="en-US" w:eastAsia="zh-CN"/>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635" w:hRule="atLeast"/>
          <w:jc w:val="center"/>
        </w:trPr>
        <w:tc>
          <w:tcPr>
            <w:tcW w:w="873" w:type="dxa"/>
            <w:vMerge w:val="continue"/>
            <w:tcBorders>
              <w:tl2br w:val="nil"/>
              <w:tr2bl w:val="nil"/>
            </w:tcBorders>
            <w:vAlign w:val="center"/>
          </w:tcPr>
          <w:p>
            <w:pPr>
              <w:jc w:val="center"/>
              <w:rPr>
                <w:rFonts w:hint="eastAsia" w:ascii="宋体" w:hAnsi="宋体" w:eastAsia="宋体" w:cs="宋体"/>
                <w:i w:val="0"/>
                <w:iCs w:val="0"/>
                <w:color w:val="000000"/>
                <w:sz w:val="18"/>
                <w:szCs w:val="18"/>
                <w:u w:val="none"/>
              </w:rPr>
            </w:pPr>
          </w:p>
        </w:tc>
        <w:tc>
          <w:tcPr>
            <w:tcW w:w="870" w:type="dxa"/>
            <w:vMerge w:val="continue"/>
            <w:tcBorders>
              <w:tl2br w:val="nil"/>
              <w:tr2bl w:val="nil"/>
            </w:tcBorders>
            <w:vAlign w:val="center"/>
          </w:tcPr>
          <w:p>
            <w:pPr>
              <w:jc w:val="center"/>
              <w:rPr>
                <w:rFonts w:hint="eastAsia" w:ascii="宋体" w:hAnsi="宋体" w:eastAsia="宋体" w:cs="宋体"/>
                <w:i w:val="0"/>
                <w:iCs w:val="0"/>
                <w:color w:val="000000"/>
                <w:sz w:val="18"/>
                <w:szCs w:val="18"/>
                <w:u w:val="none"/>
              </w:rPr>
            </w:pPr>
          </w:p>
        </w:tc>
        <w:tc>
          <w:tcPr>
            <w:tcW w:w="1050" w:type="dxa"/>
            <w:tcBorders>
              <w:tl2br w:val="nil"/>
              <w:tr2bl w:val="nil"/>
            </w:tcBorders>
            <w:vAlign w:val="center"/>
          </w:tcPr>
          <w:p>
            <w:pPr>
              <w:keepNext w:val="0"/>
              <w:keepLines w:val="0"/>
              <w:widowControl/>
              <w:suppressLineNumbers w:val="0"/>
              <w:jc w:val="center"/>
              <w:textAlignment w:val="center"/>
              <w:rPr>
                <w:rStyle w:val="8"/>
                <w:lang w:val="en-US" w:eastAsia="zh-CN"/>
              </w:rPr>
            </w:pPr>
            <w:r>
              <w:rPr>
                <w:rStyle w:val="8"/>
                <w:lang w:val="en-US" w:eastAsia="zh-CN"/>
              </w:rPr>
              <w:t>固定资产</w:t>
            </w:r>
          </w:p>
          <w:p>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Style w:val="8"/>
                <w:lang w:val="en-US" w:eastAsia="zh-CN"/>
              </w:rPr>
              <w:t>保管和使用情况</w:t>
            </w:r>
          </w:p>
        </w:tc>
        <w:tc>
          <w:tcPr>
            <w:tcW w:w="495" w:type="dxa"/>
            <w:tcBorders>
              <w:tl2br w:val="nil"/>
              <w:tr2bl w:val="nil"/>
            </w:tcBorders>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rPr>
              <w:t>2</w:t>
            </w:r>
          </w:p>
        </w:tc>
        <w:tc>
          <w:tcPr>
            <w:tcW w:w="2570" w:type="dxa"/>
            <w:tcBorders>
              <w:tl2br w:val="nil"/>
              <w:tr2bl w:val="nil"/>
            </w:tcBorders>
            <w:vAlign w:val="center"/>
          </w:tcPr>
          <w:p>
            <w:pPr>
              <w:keepNext w:val="0"/>
              <w:keepLines w:val="0"/>
              <w:widowControl/>
              <w:suppressLineNumbers w:val="0"/>
              <w:jc w:val="left"/>
              <w:textAlignment w:val="center"/>
              <w:rPr>
                <w:rFonts w:hint="default" w:ascii="Times New Roman" w:hAnsi="Times New Roman" w:eastAsia="宋体" w:cs="Times New Roman"/>
                <w:i w:val="0"/>
                <w:iCs w:val="0"/>
                <w:color w:val="000000"/>
                <w:sz w:val="18"/>
                <w:szCs w:val="18"/>
                <w:u w:val="none"/>
              </w:rPr>
            </w:pPr>
            <w:r>
              <w:rPr>
                <w:rStyle w:val="8"/>
                <w:lang w:val="en-US" w:eastAsia="zh-CN"/>
              </w:rPr>
              <w:t>掌握预算单位固定资产配置管理使用情况。</w:t>
            </w:r>
          </w:p>
        </w:tc>
        <w:tc>
          <w:tcPr>
            <w:tcW w:w="5112" w:type="dxa"/>
            <w:tcBorders>
              <w:tl2br w:val="nil"/>
              <w:tr2bl w:val="nil"/>
            </w:tcBorders>
            <w:vAlign w:val="center"/>
          </w:tcPr>
          <w:p>
            <w:pPr>
              <w:keepNext w:val="0"/>
              <w:keepLines w:val="0"/>
              <w:widowControl/>
              <w:suppressLineNumbers w:val="0"/>
              <w:jc w:val="left"/>
              <w:textAlignment w:val="center"/>
              <w:rPr>
                <w:rStyle w:val="8"/>
                <w:lang w:val="en-US" w:eastAsia="zh-CN"/>
              </w:rPr>
            </w:pPr>
          </w:p>
          <w:p>
            <w:pPr>
              <w:keepNext w:val="0"/>
              <w:keepLines w:val="0"/>
              <w:widowControl/>
              <w:suppressLineNumbers w:val="0"/>
              <w:jc w:val="left"/>
              <w:textAlignment w:val="center"/>
              <w:rPr>
                <w:rStyle w:val="8"/>
                <w:lang w:val="en-US" w:eastAsia="zh-CN"/>
              </w:rPr>
            </w:pPr>
            <w:r>
              <w:rPr>
                <w:rStyle w:val="8"/>
                <w:lang w:val="en-US" w:eastAsia="zh-CN"/>
              </w:rPr>
              <w:t>①建了固定资产台账实行编码管理，且编码与实物完全匹配计</w:t>
            </w:r>
            <w:r>
              <w:rPr>
                <w:rStyle w:val="9"/>
                <w:rFonts w:eastAsia="宋体"/>
                <w:lang w:val="en-US" w:eastAsia="zh-CN"/>
              </w:rPr>
              <w:t>1</w:t>
            </w:r>
            <w:r>
              <w:rPr>
                <w:rStyle w:val="8"/>
                <w:lang w:val="en-US" w:eastAsia="zh-CN"/>
              </w:rPr>
              <w:t>分，否则不得分；</w:t>
            </w:r>
          </w:p>
          <w:p>
            <w:pPr>
              <w:keepNext w:val="0"/>
              <w:keepLines w:val="0"/>
              <w:widowControl/>
              <w:suppressLineNumbers w:val="0"/>
              <w:jc w:val="left"/>
              <w:textAlignment w:val="center"/>
              <w:rPr>
                <w:rStyle w:val="8"/>
                <w:lang w:val="en-US" w:eastAsia="zh-CN"/>
              </w:rPr>
            </w:pPr>
            <w:r>
              <w:rPr>
                <w:rStyle w:val="8"/>
                <w:lang w:val="en-US" w:eastAsia="zh-CN"/>
              </w:rPr>
              <w:t>②建立了固定资产增减变化审批程序的计0.5分，否则不得分；</w:t>
            </w:r>
          </w:p>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Style w:val="8"/>
                <w:lang w:val="en-US" w:eastAsia="zh-CN"/>
              </w:rPr>
              <w:t>③固定资产无闲置浪费现象计0.5分，发现一处扣</w:t>
            </w:r>
            <w:r>
              <w:rPr>
                <w:rStyle w:val="9"/>
                <w:rFonts w:eastAsia="宋体"/>
                <w:lang w:val="en-US" w:eastAsia="zh-CN"/>
              </w:rPr>
              <w:t>0.1</w:t>
            </w:r>
            <w:r>
              <w:rPr>
                <w:rStyle w:val="8"/>
                <w:lang w:val="en-US" w:eastAsia="zh-CN"/>
              </w:rPr>
              <w:t>分，扣完为止。</w:t>
            </w:r>
          </w:p>
        </w:tc>
        <w:tc>
          <w:tcPr>
            <w:tcW w:w="2115" w:type="dxa"/>
            <w:tcBorders>
              <w:tl2br w:val="nil"/>
              <w:tr2bl w:val="nil"/>
            </w:tcBorders>
            <w:vAlign w:val="center"/>
          </w:tcPr>
          <w:p>
            <w:pPr>
              <w:keepNext w:val="0"/>
              <w:keepLines w:val="0"/>
              <w:widowControl/>
              <w:suppressLineNumbers w:val="0"/>
              <w:jc w:val="left"/>
              <w:textAlignment w:val="center"/>
              <w:rPr>
                <w:rFonts w:hint="default" w:ascii="Times New Roman" w:hAnsi="Times New Roman" w:eastAsia="宋体" w:cs="Times New Roman"/>
                <w:i w:val="0"/>
                <w:iCs w:val="0"/>
                <w:color w:val="000000"/>
                <w:sz w:val="18"/>
                <w:szCs w:val="18"/>
                <w:u w:val="none"/>
              </w:rPr>
            </w:pPr>
            <w:r>
              <w:rPr>
                <w:rStyle w:val="8"/>
                <w:lang w:val="en-US" w:eastAsia="zh-CN"/>
              </w:rPr>
              <w:t>部门（单位）固定资产实际使用情况；固定资产账。</w:t>
            </w:r>
          </w:p>
        </w:tc>
        <w:tc>
          <w:tcPr>
            <w:tcW w:w="586" w:type="dxa"/>
            <w:tcBorders>
              <w:tl2br w:val="nil"/>
              <w:tr2bl w:val="nil"/>
            </w:tcBorders>
            <w:vAlign w:val="center"/>
          </w:tcPr>
          <w:p>
            <w:pPr>
              <w:jc w:val="left"/>
              <w:rPr>
                <w:rFonts w:hint="eastAsia" w:ascii="Times New Roman" w:hAnsi="Times New Roman" w:eastAsia="宋体" w:cs="Times New Roman"/>
                <w:i w:val="0"/>
                <w:iCs w:val="0"/>
                <w:color w:val="000000"/>
                <w:sz w:val="18"/>
                <w:szCs w:val="18"/>
                <w:u w:val="none"/>
                <w:lang w:val="en-US" w:eastAsia="zh-CN"/>
              </w:rPr>
            </w:pPr>
            <w:r>
              <w:rPr>
                <w:rFonts w:hint="eastAsia" w:ascii="Times New Roman" w:hAnsi="Times New Roman" w:cs="Times New Roman"/>
                <w:i w:val="0"/>
                <w:iCs w:val="0"/>
                <w:color w:val="000000"/>
                <w:sz w:val="18"/>
                <w:szCs w:val="18"/>
                <w:u w:val="none"/>
                <w:lang w:val="en-US" w:eastAsia="zh-CN"/>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45" w:hRule="atLeast"/>
          <w:jc w:val="center"/>
        </w:trPr>
        <w:tc>
          <w:tcPr>
            <w:tcW w:w="873" w:type="dxa"/>
            <w:vMerge w:val="restart"/>
            <w:tcBorders>
              <w:tl2br w:val="nil"/>
              <w:tr2bl w:val="nil"/>
            </w:tcBorders>
            <w:vAlign w:val="center"/>
          </w:tcPr>
          <w:p>
            <w:pPr>
              <w:keepNext w:val="0"/>
              <w:keepLines w:val="0"/>
              <w:widowControl/>
              <w:suppressLineNumbers w:val="0"/>
              <w:jc w:val="center"/>
              <w:textAlignment w:val="center"/>
              <w:rPr>
                <w:rStyle w:val="8"/>
                <w:lang w:val="en-US" w:eastAsia="zh-CN"/>
              </w:rPr>
            </w:pPr>
            <w:r>
              <w:rPr>
                <w:rStyle w:val="8"/>
                <w:lang w:val="en-US" w:eastAsia="zh-CN"/>
              </w:rPr>
              <w:t>产出</w:t>
            </w:r>
          </w:p>
          <w:p>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Style w:val="8"/>
                <w:lang w:val="en-US" w:eastAsia="zh-CN"/>
              </w:rPr>
              <w:t>（</w:t>
            </w:r>
            <w:r>
              <w:rPr>
                <w:rStyle w:val="9"/>
                <w:rFonts w:eastAsia="宋体"/>
                <w:lang w:val="en-US" w:eastAsia="zh-CN"/>
              </w:rPr>
              <w:t>22</w:t>
            </w:r>
            <w:r>
              <w:rPr>
                <w:rStyle w:val="8"/>
                <w:lang w:val="en-US" w:eastAsia="zh-CN"/>
              </w:rPr>
              <w:t>分）</w:t>
            </w:r>
          </w:p>
        </w:tc>
        <w:tc>
          <w:tcPr>
            <w:tcW w:w="870" w:type="dxa"/>
            <w:vMerge w:val="restart"/>
            <w:tcBorders>
              <w:tl2br w:val="nil"/>
              <w:tr2bl w:val="nil"/>
            </w:tcBorders>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Style w:val="8"/>
                <w:lang w:val="en-US" w:eastAsia="zh-CN"/>
              </w:rPr>
              <w:t>职责履行（</w:t>
            </w:r>
            <w:r>
              <w:rPr>
                <w:rStyle w:val="9"/>
                <w:rFonts w:eastAsia="宋体"/>
                <w:lang w:val="en-US" w:eastAsia="zh-CN"/>
              </w:rPr>
              <w:t>22</w:t>
            </w:r>
            <w:r>
              <w:rPr>
                <w:rStyle w:val="8"/>
                <w:lang w:val="en-US" w:eastAsia="zh-CN"/>
              </w:rPr>
              <w:t>分）</w:t>
            </w:r>
          </w:p>
        </w:tc>
        <w:tc>
          <w:tcPr>
            <w:tcW w:w="1050" w:type="dxa"/>
            <w:tcBorders>
              <w:tl2br w:val="nil"/>
              <w:tr2bl w:val="nil"/>
            </w:tcBorders>
            <w:vAlign w:val="center"/>
          </w:tcPr>
          <w:p>
            <w:pPr>
              <w:keepNext w:val="0"/>
              <w:keepLines w:val="0"/>
              <w:widowControl/>
              <w:suppressLineNumbers w:val="0"/>
              <w:jc w:val="center"/>
              <w:textAlignment w:val="center"/>
              <w:rPr>
                <w:rStyle w:val="9"/>
                <w:rFonts w:eastAsia="宋体"/>
                <w:lang w:val="en-US" w:eastAsia="zh-CN"/>
              </w:rPr>
            </w:pPr>
            <w:r>
              <w:rPr>
                <w:rStyle w:val="8"/>
                <w:lang w:val="en-US" w:eastAsia="zh-CN"/>
              </w:rPr>
              <w:t>部门整体</w:t>
            </w:r>
            <w:r>
              <w:rPr>
                <w:rStyle w:val="9"/>
                <w:rFonts w:eastAsia="宋体"/>
                <w:lang w:val="en-US" w:eastAsia="zh-CN"/>
              </w:rPr>
              <w:t xml:space="preserve"> </w:t>
            </w:r>
          </w:p>
          <w:p>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Style w:val="8"/>
                <w:lang w:val="en-US" w:eastAsia="zh-CN"/>
              </w:rPr>
              <w:t>工作质量</w:t>
            </w:r>
          </w:p>
        </w:tc>
        <w:tc>
          <w:tcPr>
            <w:tcW w:w="495" w:type="dxa"/>
            <w:tcBorders>
              <w:tl2br w:val="nil"/>
              <w:tr2bl w:val="nil"/>
            </w:tcBorders>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rPr>
              <w:t>6</w:t>
            </w:r>
          </w:p>
        </w:tc>
        <w:tc>
          <w:tcPr>
            <w:tcW w:w="2570" w:type="dxa"/>
            <w:tcBorders>
              <w:tl2br w:val="nil"/>
              <w:tr2bl w:val="nil"/>
            </w:tcBorders>
            <w:vAlign w:val="center"/>
          </w:tcPr>
          <w:p>
            <w:pPr>
              <w:keepNext w:val="0"/>
              <w:keepLines w:val="0"/>
              <w:widowControl/>
              <w:suppressLineNumbers w:val="0"/>
              <w:jc w:val="left"/>
              <w:textAlignment w:val="center"/>
              <w:rPr>
                <w:rFonts w:hint="default" w:ascii="Times New Roman" w:hAnsi="Times New Roman" w:eastAsia="宋体" w:cs="Times New Roman"/>
                <w:i w:val="0"/>
                <w:iCs w:val="0"/>
                <w:color w:val="000000"/>
                <w:sz w:val="18"/>
                <w:szCs w:val="18"/>
                <w:u w:val="none"/>
              </w:rPr>
            </w:pPr>
            <w:r>
              <w:rPr>
                <w:rStyle w:val="8"/>
                <w:lang w:val="en-US" w:eastAsia="zh-CN"/>
              </w:rPr>
              <w:t>反映部门党委政府绩效考核评估等级</w:t>
            </w:r>
          </w:p>
        </w:tc>
        <w:tc>
          <w:tcPr>
            <w:tcW w:w="5112" w:type="dxa"/>
            <w:tcBorders>
              <w:tl2br w:val="nil"/>
              <w:tr2bl w:val="nil"/>
            </w:tcBorders>
            <w:vAlign w:val="center"/>
          </w:tcPr>
          <w:p>
            <w:pPr>
              <w:keepNext w:val="0"/>
              <w:keepLines w:val="0"/>
              <w:widowControl/>
              <w:suppressLineNumbers w:val="0"/>
              <w:jc w:val="left"/>
              <w:textAlignment w:val="center"/>
              <w:rPr>
                <w:rStyle w:val="8"/>
                <w:lang w:val="en-US" w:eastAsia="zh-CN"/>
              </w:rPr>
            </w:pPr>
          </w:p>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Style w:val="8"/>
                <w:lang w:val="en-US" w:eastAsia="zh-CN"/>
              </w:rPr>
              <w:t>以市委、市政府绩效效考核评估结果为依据：优秀，计</w:t>
            </w:r>
            <w:r>
              <w:rPr>
                <w:rStyle w:val="9"/>
                <w:rFonts w:eastAsia="宋体"/>
                <w:lang w:val="en-US" w:eastAsia="zh-CN"/>
              </w:rPr>
              <w:t>6</w:t>
            </w:r>
            <w:r>
              <w:rPr>
                <w:rStyle w:val="8"/>
                <w:lang w:val="en-US" w:eastAsia="zh-CN"/>
              </w:rPr>
              <w:t>分；良好，</w:t>
            </w:r>
            <w:r>
              <w:rPr>
                <w:rStyle w:val="9"/>
                <w:rFonts w:eastAsia="宋体"/>
                <w:lang w:val="en-US" w:eastAsia="zh-CN"/>
              </w:rPr>
              <w:t>4</w:t>
            </w:r>
            <w:r>
              <w:rPr>
                <w:rStyle w:val="8"/>
                <w:lang w:val="en-US" w:eastAsia="zh-CN"/>
              </w:rPr>
              <w:t>分；合格，</w:t>
            </w:r>
            <w:r>
              <w:rPr>
                <w:rStyle w:val="9"/>
                <w:rFonts w:eastAsia="宋体"/>
                <w:lang w:val="en-US" w:eastAsia="zh-CN"/>
              </w:rPr>
              <w:t>2</w:t>
            </w:r>
            <w:r>
              <w:rPr>
                <w:rStyle w:val="8"/>
                <w:lang w:val="en-US" w:eastAsia="zh-CN"/>
              </w:rPr>
              <w:t>分；不合格，</w:t>
            </w:r>
            <w:r>
              <w:rPr>
                <w:rStyle w:val="9"/>
                <w:rFonts w:eastAsia="宋体"/>
                <w:lang w:val="en-US" w:eastAsia="zh-CN"/>
              </w:rPr>
              <w:t>0</w:t>
            </w:r>
            <w:r>
              <w:rPr>
                <w:rStyle w:val="8"/>
                <w:lang w:val="en-US" w:eastAsia="zh-CN"/>
              </w:rPr>
              <w:t>分。</w:t>
            </w:r>
          </w:p>
        </w:tc>
        <w:tc>
          <w:tcPr>
            <w:tcW w:w="2115" w:type="dxa"/>
            <w:tcBorders>
              <w:tl2br w:val="nil"/>
              <w:tr2bl w:val="nil"/>
            </w:tcBorders>
            <w:vAlign w:val="center"/>
          </w:tcPr>
          <w:p>
            <w:pPr>
              <w:jc w:val="left"/>
              <w:rPr>
                <w:rFonts w:hint="default" w:ascii="Times New Roman" w:hAnsi="Times New Roman" w:eastAsia="宋体" w:cs="Times New Roman"/>
                <w:i w:val="0"/>
                <w:iCs w:val="0"/>
                <w:color w:val="000000"/>
                <w:sz w:val="18"/>
                <w:szCs w:val="18"/>
                <w:u w:val="none"/>
              </w:rPr>
            </w:pPr>
          </w:p>
        </w:tc>
        <w:tc>
          <w:tcPr>
            <w:tcW w:w="586" w:type="dxa"/>
            <w:tcBorders>
              <w:tl2br w:val="nil"/>
              <w:tr2bl w:val="nil"/>
            </w:tcBorders>
            <w:vAlign w:val="center"/>
          </w:tcPr>
          <w:p>
            <w:pPr>
              <w:jc w:val="left"/>
              <w:rPr>
                <w:rFonts w:hint="default" w:ascii="Times New Roman" w:hAnsi="Times New Roman" w:eastAsia="宋体" w:cs="Times New Roman"/>
                <w:i w:val="0"/>
                <w:iCs w:val="0"/>
                <w:color w:val="000000"/>
                <w:sz w:val="18"/>
                <w:szCs w:val="18"/>
                <w:u w:val="none"/>
                <w:lang w:val="en-US" w:eastAsia="zh-CN"/>
              </w:rPr>
            </w:pPr>
            <w:r>
              <w:rPr>
                <w:rFonts w:hint="eastAsia" w:ascii="Times New Roman" w:hAnsi="Times New Roman" w:cs="Times New Roman"/>
                <w:i w:val="0"/>
                <w:iCs w:val="0"/>
                <w:color w:val="000000"/>
                <w:sz w:val="18"/>
                <w:szCs w:val="18"/>
                <w:u w:val="none"/>
                <w:lang w:val="en-US" w:eastAsia="zh-CN"/>
              </w:rPr>
              <w:t>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650" w:hRule="atLeast"/>
          <w:jc w:val="center"/>
        </w:trPr>
        <w:tc>
          <w:tcPr>
            <w:tcW w:w="873" w:type="dxa"/>
            <w:vMerge w:val="continue"/>
            <w:tcBorders>
              <w:tl2br w:val="nil"/>
              <w:tr2bl w:val="nil"/>
            </w:tcBorders>
            <w:vAlign w:val="center"/>
          </w:tcPr>
          <w:p>
            <w:pPr>
              <w:jc w:val="center"/>
              <w:rPr>
                <w:rFonts w:hint="default" w:ascii="Times New Roman" w:hAnsi="Times New Roman" w:eastAsia="宋体" w:cs="Times New Roman"/>
                <w:i w:val="0"/>
                <w:iCs w:val="0"/>
                <w:color w:val="000000"/>
                <w:sz w:val="18"/>
                <w:szCs w:val="18"/>
                <w:u w:val="none"/>
              </w:rPr>
            </w:pPr>
          </w:p>
        </w:tc>
        <w:tc>
          <w:tcPr>
            <w:tcW w:w="870" w:type="dxa"/>
            <w:vMerge w:val="continue"/>
            <w:tcBorders>
              <w:tl2br w:val="nil"/>
              <w:tr2bl w:val="nil"/>
            </w:tcBorders>
            <w:vAlign w:val="center"/>
          </w:tcPr>
          <w:p>
            <w:pPr>
              <w:jc w:val="center"/>
              <w:rPr>
                <w:rFonts w:hint="default" w:ascii="Times New Roman" w:hAnsi="Times New Roman" w:eastAsia="宋体" w:cs="Times New Roman"/>
                <w:i w:val="0"/>
                <w:iCs w:val="0"/>
                <w:color w:val="000000"/>
                <w:sz w:val="18"/>
                <w:szCs w:val="18"/>
                <w:u w:val="none"/>
              </w:rPr>
            </w:pPr>
          </w:p>
        </w:tc>
        <w:tc>
          <w:tcPr>
            <w:tcW w:w="1050" w:type="dxa"/>
            <w:tcBorders>
              <w:tl2br w:val="nil"/>
              <w:tr2bl w:val="nil"/>
            </w:tcBorders>
            <w:vAlign w:val="center"/>
          </w:tcPr>
          <w:p>
            <w:pPr>
              <w:keepNext w:val="0"/>
              <w:keepLines w:val="0"/>
              <w:widowControl/>
              <w:suppressLineNumbers w:val="0"/>
              <w:jc w:val="center"/>
              <w:textAlignment w:val="center"/>
              <w:rPr>
                <w:rStyle w:val="10"/>
                <w:lang w:val="en-US" w:eastAsia="zh-CN"/>
              </w:rPr>
            </w:pPr>
            <w:r>
              <w:rPr>
                <w:rStyle w:val="10"/>
                <w:lang w:val="en-US" w:eastAsia="zh-CN"/>
              </w:rPr>
              <w:t>实际</w:t>
            </w:r>
          </w:p>
          <w:p>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Style w:val="10"/>
                <w:lang w:val="en-US" w:eastAsia="zh-CN"/>
              </w:rPr>
              <w:t>完成率</w:t>
            </w:r>
          </w:p>
        </w:tc>
        <w:tc>
          <w:tcPr>
            <w:tcW w:w="495" w:type="dxa"/>
            <w:tcBorders>
              <w:tl2br w:val="nil"/>
              <w:tr2bl w:val="nil"/>
            </w:tcBorders>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rPr>
              <w:t>4</w:t>
            </w:r>
          </w:p>
        </w:tc>
        <w:tc>
          <w:tcPr>
            <w:tcW w:w="2570" w:type="dxa"/>
            <w:tcBorders>
              <w:tl2br w:val="nil"/>
              <w:tr2bl w:val="nil"/>
            </w:tcBorders>
            <w:vAlign w:val="center"/>
          </w:tcPr>
          <w:p>
            <w:pPr>
              <w:keepNext w:val="0"/>
              <w:keepLines w:val="0"/>
              <w:widowControl/>
              <w:suppressLineNumbers w:val="0"/>
              <w:jc w:val="left"/>
              <w:textAlignment w:val="center"/>
              <w:rPr>
                <w:rFonts w:hint="default" w:ascii="Times New Roman" w:hAnsi="Times New Roman" w:eastAsia="宋体" w:cs="Times New Roman"/>
                <w:i w:val="0"/>
                <w:iCs w:val="0"/>
                <w:color w:val="000000"/>
                <w:sz w:val="18"/>
                <w:szCs w:val="18"/>
                <w:u w:val="none"/>
              </w:rPr>
            </w:pPr>
            <w:r>
              <w:rPr>
                <w:rStyle w:val="10"/>
                <w:lang w:val="en-US" w:eastAsia="zh-CN"/>
              </w:rPr>
              <w:t>部门履行职责而实际完成工作数与计划工作数的比率，用以反映和考核部门履职工作任务目标的实现程度。</w:t>
            </w:r>
          </w:p>
        </w:tc>
        <w:tc>
          <w:tcPr>
            <w:tcW w:w="5112" w:type="dxa"/>
            <w:tcBorders>
              <w:tl2br w:val="nil"/>
              <w:tr2bl w:val="nil"/>
            </w:tcBorders>
            <w:vAlign w:val="center"/>
          </w:tcPr>
          <w:p>
            <w:pPr>
              <w:keepNext w:val="0"/>
              <w:keepLines w:val="0"/>
              <w:widowControl/>
              <w:suppressLineNumbers w:val="0"/>
              <w:jc w:val="left"/>
              <w:textAlignment w:val="center"/>
              <w:rPr>
                <w:rStyle w:val="10"/>
                <w:lang w:val="en-US" w:eastAsia="zh-CN"/>
              </w:rPr>
            </w:pPr>
          </w:p>
          <w:p>
            <w:pPr>
              <w:keepNext w:val="0"/>
              <w:keepLines w:val="0"/>
              <w:widowControl/>
              <w:suppressLineNumbers w:val="0"/>
              <w:jc w:val="left"/>
              <w:textAlignment w:val="center"/>
              <w:rPr>
                <w:rStyle w:val="10"/>
                <w:lang w:val="en-US" w:eastAsia="zh-CN"/>
              </w:rPr>
            </w:pPr>
            <w:r>
              <w:rPr>
                <w:rStyle w:val="10"/>
                <w:lang w:val="en-US" w:eastAsia="zh-CN"/>
              </w:rPr>
              <w:t>实际完成率</w:t>
            </w:r>
            <w:r>
              <w:rPr>
                <w:rStyle w:val="11"/>
                <w:rFonts w:eastAsia="宋体"/>
                <w:lang w:val="en-US" w:eastAsia="zh-CN"/>
              </w:rPr>
              <w:t>=</w:t>
            </w:r>
            <w:r>
              <w:rPr>
                <w:rStyle w:val="10"/>
                <w:lang w:val="en-US" w:eastAsia="zh-CN"/>
              </w:rPr>
              <w:t>（实际完成工作数</w:t>
            </w:r>
            <w:r>
              <w:rPr>
                <w:rStyle w:val="11"/>
                <w:rFonts w:eastAsia="宋体"/>
                <w:lang w:val="en-US" w:eastAsia="zh-CN"/>
              </w:rPr>
              <w:t>/</w:t>
            </w:r>
            <w:r>
              <w:rPr>
                <w:rStyle w:val="10"/>
                <w:lang w:val="en-US" w:eastAsia="zh-CN"/>
              </w:rPr>
              <w:t>计划工作数）</w:t>
            </w:r>
            <w:r>
              <w:rPr>
                <w:rStyle w:val="11"/>
                <w:rFonts w:eastAsia="宋体"/>
                <w:lang w:val="en-US" w:eastAsia="zh-CN"/>
              </w:rPr>
              <w:t>×100%</w:t>
            </w:r>
            <w:r>
              <w:rPr>
                <w:rStyle w:val="10"/>
                <w:lang w:val="en-US" w:eastAsia="zh-CN"/>
              </w:rPr>
              <w:t>。实际完成工作数：一定时期（年度或规划期）内部门实际完成工作任务的数量。计划工作数：部门整体绩效目标确定的一定时期（年度或规划期）内预计完成工作任务的数量。</w:t>
            </w:r>
          </w:p>
          <w:p>
            <w:pPr>
              <w:keepNext w:val="0"/>
              <w:keepLines w:val="0"/>
              <w:widowControl/>
              <w:suppressLineNumbers w:val="0"/>
              <w:jc w:val="left"/>
              <w:textAlignment w:val="center"/>
              <w:rPr>
                <w:rFonts w:hint="default" w:ascii="Times New Roman" w:hAnsi="Times New Roman" w:eastAsia="宋体" w:cs="Times New Roman"/>
                <w:i w:val="0"/>
                <w:iCs w:val="0"/>
                <w:color w:val="000000"/>
                <w:sz w:val="18"/>
                <w:szCs w:val="18"/>
                <w:u w:val="none"/>
              </w:rPr>
            </w:pPr>
            <w:r>
              <w:rPr>
                <w:rStyle w:val="10"/>
                <w:lang w:val="en-US" w:eastAsia="zh-CN"/>
              </w:rPr>
              <w:t>该项得分</w:t>
            </w:r>
            <w:r>
              <w:rPr>
                <w:rStyle w:val="11"/>
                <w:rFonts w:eastAsia="宋体"/>
                <w:lang w:val="en-US" w:eastAsia="zh-CN"/>
              </w:rPr>
              <w:t>=</w:t>
            </w:r>
            <w:r>
              <w:rPr>
                <w:rStyle w:val="10"/>
                <w:lang w:val="en-US" w:eastAsia="zh-CN"/>
              </w:rPr>
              <w:t>完成率</w:t>
            </w:r>
            <w:r>
              <w:rPr>
                <w:rStyle w:val="11"/>
                <w:rFonts w:eastAsia="宋体"/>
                <w:lang w:val="en-US" w:eastAsia="zh-CN"/>
              </w:rPr>
              <w:t>×4</w:t>
            </w:r>
            <w:r>
              <w:rPr>
                <w:rStyle w:val="10"/>
                <w:lang w:val="en-US" w:eastAsia="zh-CN"/>
              </w:rPr>
              <w:t>分。</w:t>
            </w:r>
          </w:p>
        </w:tc>
        <w:tc>
          <w:tcPr>
            <w:tcW w:w="2115" w:type="dxa"/>
            <w:tcBorders>
              <w:tl2br w:val="nil"/>
              <w:tr2bl w:val="nil"/>
            </w:tcBorders>
            <w:vAlign w:val="center"/>
          </w:tcPr>
          <w:p>
            <w:pPr>
              <w:jc w:val="left"/>
              <w:rPr>
                <w:rFonts w:hint="default" w:ascii="Times New Roman" w:hAnsi="Times New Roman" w:eastAsia="宋体" w:cs="Times New Roman"/>
                <w:i w:val="0"/>
                <w:iCs w:val="0"/>
                <w:color w:val="000000"/>
                <w:sz w:val="18"/>
                <w:szCs w:val="18"/>
                <w:u w:val="none"/>
              </w:rPr>
            </w:pPr>
          </w:p>
        </w:tc>
        <w:tc>
          <w:tcPr>
            <w:tcW w:w="586" w:type="dxa"/>
            <w:tcBorders>
              <w:tl2br w:val="nil"/>
              <w:tr2bl w:val="nil"/>
            </w:tcBorders>
            <w:vAlign w:val="center"/>
          </w:tcPr>
          <w:p>
            <w:pPr>
              <w:jc w:val="left"/>
              <w:rPr>
                <w:rFonts w:hint="eastAsia" w:ascii="Times New Roman" w:hAnsi="Times New Roman" w:eastAsia="宋体" w:cs="Times New Roman"/>
                <w:i w:val="0"/>
                <w:iCs w:val="0"/>
                <w:color w:val="000000"/>
                <w:sz w:val="18"/>
                <w:szCs w:val="18"/>
                <w:u w:val="none"/>
                <w:lang w:val="en-US" w:eastAsia="zh-CN"/>
              </w:rPr>
            </w:pPr>
            <w:r>
              <w:rPr>
                <w:rFonts w:hint="eastAsia" w:ascii="Times New Roman" w:hAnsi="Times New Roman" w:cs="Times New Roman"/>
                <w:i w:val="0"/>
                <w:iCs w:val="0"/>
                <w:color w:val="000000"/>
                <w:sz w:val="18"/>
                <w:szCs w:val="18"/>
                <w:u w:val="none"/>
                <w:lang w:val="en-US" w:eastAsia="zh-CN"/>
              </w:rPr>
              <w:t>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10" w:hRule="atLeast"/>
          <w:jc w:val="center"/>
        </w:trPr>
        <w:tc>
          <w:tcPr>
            <w:tcW w:w="873" w:type="dxa"/>
            <w:vMerge w:val="continue"/>
            <w:tcBorders>
              <w:tl2br w:val="nil"/>
              <w:tr2bl w:val="nil"/>
            </w:tcBorders>
            <w:vAlign w:val="center"/>
          </w:tcPr>
          <w:p>
            <w:pPr>
              <w:jc w:val="center"/>
              <w:rPr>
                <w:rFonts w:hint="default" w:ascii="Times New Roman" w:hAnsi="Times New Roman" w:eastAsia="宋体" w:cs="Times New Roman"/>
                <w:i w:val="0"/>
                <w:iCs w:val="0"/>
                <w:color w:val="000000"/>
                <w:sz w:val="18"/>
                <w:szCs w:val="18"/>
                <w:u w:val="none"/>
              </w:rPr>
            </w:pPr>
          </w:p>
        </w:tc>
        <w:tc>
          <w:tcPr>
            <w:tcW w:w="870" w:type="dxa"/>
            <w:vMerge w:val="continue"/>
            <w:tcBorders>
              <w:tl2br w:val="nil"/>
              <w:tr2bl w:val="nil"/>
            </w:tcBorders>
            <w:vAlign w:val="center"/>
          </w:tcPr>
          <w:p>
            <w:pPr>
              <w:jc w:val="center"/>
              <w:rPr>
                <w:rFonts w:hint="default" w:ascii="Times New Roman" w:hAnsi="Times New Roman" w:eastAsia="宋体" w:cs="Times New Roman"/>
                <w:i w:val="0"/>
                <w:iCs w:val="0"/>
                <w:color w:val="000000"/>
                <w:sz w:val="18"/>
                <w:szCs w:val="18"/>
                <w:u w:val="none"/>
              </w:rPr>
            </w:pPr>
          </w:p>
        </w:tc>
        <w:tc>
          <w:tcPr>
            <w:tcW w:w="1050" w:type="dxa"/>
            <w:tcBorders>
              <w:tl2br w:val="nil"/>
              <w:tr2bl w:val="nil"/>
            </w:tcBorders>
            <w:vAlign w:val="center"/>
          </w:tcPr>
          <w:p>
            <w:pPr>
              <w:keepNext w:val="0"/>
              <w:keepLines w:val="0"/>
              <w:widowControl/>
              <w:suppressLineNumbers w:val="0"/>
              <w:jc w:val="center"/>
              <w:textAlignment w:val="center"/>
              <w:rPr>
                <w:rStyle w:val="10"/>
                <w:lang w:val="en-US" w:eastAsia="zh-CN"/>
              </w:rPr>
            </w:pPr>
            <w:r>
              <w:rPr>
                <w:rStyle w:val="10"/>
                <w:lang w:val="en-US" w:eastAsia="zh-CN"/>
              </w:rPr>
              <w:t>完成</w:t>
            </w:r>
          </w:p>
          <w:p>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Style w:val="10"/>
                <w:lang w:val="en-US" w:eastAsia="zh-CN"/>
              </w:rPr>
              <w:t>及时性</w:t>
            </w:r>
          </w:p>
        </w:tc>
        <w:tc>
          <w:tcPr>
            <w:tcW w:w="495" w:type="dxa"/>
            <w:tcBorders>
              <w:tl2br w:val="nil"/>
              <w:tr2bl w:val="nil"/>
            </w:tcBorders>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rPr>
              <w:t>4</w:t>
            </w:r>
          </w:p>
        </w:tc>
        <w:tc>
          <w:tcPr>
            <w:tcW w:w="2570" w:type="dxa"/>
            <w:tcBorders>
              <w:tl2br w:val="nil"/>
              <w:tr2bl w:val="nil"/>
            </w:tcBorders>
            <w:vAlign w:val="center"/>
          </w:tcPr>
          <w:p>
            <w:pPr>
              <w:keepNext w:val="0"/>
              <w:keepLines w:val="0"/>
              <w:widowControl/>
              <w:suppressLineNumbers w:val="0"/>
              <w:jc w:val="left"/>
              <w:textAlignment w:val="center"/>
              <w:rPr>
                <w:rFonts w:hint="default" w:ascii="Times New Roman" w:hAnsi="Times New Roman" w:eastAsia="宋体" w:cs="Times New Roman"/>
                <w:i w:val="0"/>
                <w:iCs w:val="0"/>
                <w:color w:val="000000"/>
                <w:sz w:val="18"/>
                <w:szCs w:val="18"/>
                <w:u w:val="none"/>
              </w:rPr>
            </w:pPr>
            <w:r>
              <w:rPr>
                <w:rStyle w:val="10"/>
                <w:lang w:val="en-US" w:eastAsia="zh-CN"/>
              </w:rPr>
              <w:t>部门在规定时限内及时完成的实际工作数与计划工作数的比率，用以反映和考核部门履职实效目标的实现程度。</w:t>
            </w:r>
          </w:p>
        </w:tc>
        <w:tc>
          <w:tcPr>
            <w:tcW w:w="5112" w:type="dxa"/>
            <w:tcBorders>
              <w:tl2br w:val="nil"/>
              <w:tr2bl w:val="nil"/>
            </w:tcBorders>
            <w:vAlign w:val="center"/>
          </w:tcPr>
          <w:p>
            <w:pPr>
              <w:keepNext w:val="0"/>
              <w:keepLines w:val="0"/>
              <w:widowControl/>
              <w:suppressLineNumbers w:val="0"/>
              <w:jc w:val="left"/>
              <w:textAlignment w:val="center"/>
              <w:rPr>
                <w:rStyle w:val="10"/>
                <w:lang w:val="en-US" w:eastAsia="zh-CN"/>
              </w:rPr>
            </w:pPr>
          </w:p>
          <w:p>
            <w:pPr>
              <w:keepNext w:val="0"/>
              <w:keepLines w:val="0"/>
              <w:widowControl/>
              <w:suppressLineNumbers w:val="0"/>
              <w:jc w:val="left"/>
              <w:textAlignment w:val="center"/>
              <w:rPr>
                <w:rStyle w:val="10"/>
                <w:lang w:val="en-US" w:eastAsia="zh-CN"/>
              </w:rPr>
            </w:pPr>
            <w:r>
              <w:rPr>
                <w:rStyle w:val="10"/>
                <w:lang w:val="en-US" w:eastAsia="zh-CN"/>
              </w:rPr>
              <w:t>完成及时率</w:t>
            </w:r>
            <w:r>
              <w:rPr>
                <w:rStyle w:val="11"/>
                <w:rFonts w:eastAsia="宋体"/>
                <w:lang w:val="en-US" w:eastAsia="zh-CN"/>
              </w:rPr>
              <w:t>=</w:t>
            </w:r>
            <w:r>
              <w:rPr>
                <w:rStyle w:val="10"/>
                <w:lang w:val="en-US" w:eastAsia="zh-CN"/>
              </w:rPr>
              <w:t>（及时完成实际工作数</w:t>
            </w:r>
            <w:r>
              <w:rPr>
                <w:rStyle w:val="11"/>
                <w:rFonts w:eastAsia="宋体"/>
                <w:lang w:val="en-US" w:eastAsia="zh-CN"/>
              </w:rPr>
              <w:t>/</w:t>
            </w:r>
            <w:r>
              <w:rPr>
                <w:rStyle w:val="10"/>
                <w:lang w:val="en-US" w:eastAsia="zh-CN"/>
              </w:rPr>
              <w:t>计划工作数）</w:t>
            </w:r>
            <w:r>
              <w:rPr>
                <w:rStyle w:val="11"/>
                <w:rFonts w:eastAsia="宋体"/>
                <w:lang w:val="en-US" w:eastAsia="zh-CN"/>
              </w:rPr>
              <w:t>×100%</w:t>
            </w:r>
            <w:r>
              <w:rPr>
                <w:rStyle w:val="10"/>
                <w:lang w:val="en-US" w:eastAsia="zh-CN"/>
              </w:rPr>
              <w:t>。及时完成实际工作数：部门按照整体绩效目标确定的时限实际完成的工作任务数量。</w:t>
            </w:r>
          </w:p>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Style w:val="10"/>
                <w:lang w:val="en-US" w:eastAsia="zh-CN"/>
              </w:rPr>
              <w:t>该项得分</w:t>
            </w:r>
            <w:r>
              <w:rPr>
                <w:rStyle w:val="11"/>
                <w:rFonts w:eastAsia="宋体"/>
                <w:lang w:val="en-US" w:eastAsia="zh-CN"/>
              </w:rPr>
              <w:t>=</w:t>
            </w:r>
            <w:r>
              <w:rPr>
                <w:rStyle w:val="10"/>
                <w:lang w:val="en-US" w:eastAsia="zh-CN"/>
              </w:rPr>
              <w:t>完成及时率</w:t>
            </w:r>
            <w:r>
              <w:rPr>
                <w:rStyle w:val="11"/>
                <w:rFonts w:eastAsia="宋体"/>
                <w:lang w:val="en-US" w:eastAsia="zh-CN"/>
              </w:rPr>
              <w:t>×4</w:t>
            </w:r>
            <w:r>
              <w:rPr>
                <w:rStyle w:val="10"/>
                <w:lang w:val="en-US" w:eastAsia="zh-CN"/>
              </w:rPr>
              <w:t>分。</w:t>
            </w:r>
          </w:p>
        </w:tc>
        <w:tc>
          <w:tcPr>
            <w:tcW w:w="2115" w:type="dxa"/>
            <w:tcBorders>
              <w:tl2br w:val="nil"/>
              <w:tr2bl w:val="nil"/>
            </w:tcBorders>
            <w:vAlign w:val="center"/>
          </w:tcPr>
          <w:p>
            <w:pPr>
              <w:jc w:val="left"/>
              <w:rPr>
                <w:rFonts w:hint="default" w:ascii="Times New Roman" w:hAnsi="Times New Roman" w:eastAsia="宋体" w:cs="Times New Roman"/>
                <w:i w:val="0"/>
                <w:iCs w:val="0"/>
                <w:color w:val="000000"/>
                <w:sz w:val="18"/>
                <w:szCs w:val="18"/>
                <w:u w:val="none"/>
              </w:rPr>
            </w:pPr>
          </w:p>
        </w:tc>
        <w:tc>
          <w:tcPr>
            <w:tcW w:w="586" w:type="dxa"/>
            <w:tcBorders>
              <w:tl2br w:val="nil"/>
              <w:tr2bl w:val="nil"/>
            </w:tcBorders>
            <w:vAlign w:val="center"/>
          </w:tcPr>
          <w:p>
            <w:pPr>
              <w:jc w:val="left"/>
              <w:rPr>
                <w:rFonts w:hint="eastAsia" w:ascii="Times New Roman" w:hAnsi="Times New Roman" w:cs="Times New Roman"/>
                <w:i w:val="0"/>
                <w:iCs w:val="0"/>
                <w:color w:val="000000"/>
                <w:sz w:val="18"/>
                <w:szCs w:val="18"/>
                <w:u w:val="none"/>
                <w:lang w:val="en-US" w:eastAsia="zh-CN"/>
              </w:rPr>
            </w:pPr>
            <w:r>
              <w:rPr>
                <w:rFonts w:hint="eastAsia" w:ascii="Times New Roman" w:hAnsi="Times New Roman" w:cs="Times New Roman"/>
                <w:i w:val="0"/>
                <w:iCs w:val="0"/>
                <w:color w:val="000000"/>
                <w:sz w:val="18"/>
                <w:szCs w:val="18"/>
                <w:u w:val="none"/>
                <w:lang w:val="en-US" w:eastAsia="zh-CN"/>
              </w:rPr>
              <w:t>4</w:t>
            </w:r>
          </w:p>
          <w:p>
            <w:pPr>
              <w:pStyle w:val="2"/>
              <w:rPr>
                <w:rFonts w:hint="eastAsia"/>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650" w:hRule="atLeast"/>
          <w:jc w:val="center"/>
        </w:trPr>
        <w:tc>
          <w:tcPr>
            <w:tcW w:w="873" w:type="dxa"/>
            <w:vMerge w:val="continue"/>
            <w:tcBorders>
              <w:tl2br w:val="nil"/>
              <w:tr2bl w:val="nil"/>
            </w:tcBorders>
            <w:vAlign w:val="center"/>
          </w:tcPr>
          <w:p>
            <w:pPr>
              <w:jc w:val="center"/>
              <w:rPr>
                <w:rFonts w:hint="default" w:ascii="Times New Roman" w:hAnsi="Times New Roman" w:eastAsia="宋体" w:cs="Times New Roman"/>
                <w:i w:val="0"/>
                <w:iCs w:val="0"/>
                <w:color w:val="000000"/>
                <w:sz w:val="18"/>
                <w:szCs w:val="18"/>
                <w:u w:val="none"/>
              </w:rPr>
            </w:pPr>
          </w:p>
        </w:tc>
        <w:tc>
          <w:tcPr>
            <w:tcW w:w="870" w:type="dxa"/>
            <w:vMerge w:val="continue"/>
            <w:tcBorders>
              <w:tl2br w:val="nil"/>
              <w:tr2bl w:val="nil"/>
            </w:tcBorders>
            <w:vAlign w:val="center"/>
          </w:tcPr>
          <w:p>
            <w:pPr>
              <w:jc w:val="center"/>
              <w:rPr>
                <w:rFonts w:hint="default" w:ascii="Times New Roman" w:hAnsi="Times New Roman" w:eastAsia="宋体" w:cs="Times New Roman"/>
                <w:i w:val="0"/>
                <w:iCs w:val="0"/>
                <w:color w:val="000000"/>
                <w:sz w:val="18"/>
                <w:szCs w:val="18"/>
                <w:u w:val="none"/>
              </w:rPr>
            </w:pPr>
          </w:p>
        </w:tc>
        <w:tc>
          <w:tcPr>
            <w:tcW w:w="1050" w:type="dxa"/>
            <w:tcBorders>
              <w:tl2br w:val="nil"/>
              <w:tr2bl w:val="nil"/>
            </w:tcBorders>
            <w:vAlign w:val="center"/>
          </w:tcPr>
          <w:p>
            <w:pPr>
              <w:keepNext w:val="0"/>
              <w:keepLines w:val="0"/>
              <w:widowControl/>
              <w:suppressLineNumbers w:val="0"/>
              <w:jc w:val="center"/>
              <w:textAlignment w:val="center"/>
              <w:rPr>
                <w:rStyle w:val="10"/>
                <w:lang w:val="en-US" w:eastAsia="zh-CN"/>
              </w:rPr>
            </w:pPr>
            <w:r>
              <w:rPr>
                <w:rStyle w:val="10"/>
                <w:lang w:val="en-US" w:eastAsia="zh-CN"/>
              </w:rPr>
              <w:t>质量</w:t>
            </w:r>
          </w:p>
          <w:p>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Style w:val="10"/>
                <w:lang w:val="en-US" w:eastAsia="zh-CN"/>
              </w:rPr>
              <w:t>达标率</w:t>
            </w:r>
          </w:p>
        </w:tc>
        <w:tc>
          <w:tcPr>
            <w:tcW w:w="495" w:type="dxa"/>
            <w:tcBorders>
              <w:tl2br w:val="nil"/>
              <w:tr2bl w:val="nil"/>
            </w:tcBorders>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rPr>
              <w:t>4</w:t>
            </w:r>
          </w:p>
        </w:tc>
        <w:tc>
          <w:tcPr>
            <w:tcW w:w="2570" w:type="dxa"/>
            <w:tcBorders>
              <w:tl2br w:val="nil"/>
              <w:tr2bl w:val="nil"/>
            </w:tcBorders>
            <w:vAlign w:val="center"/>
          </w:tcPr>
          <w:p>
            <w:pPr>
              <w:keepNext w:val="0"/>
              <w:keepLines w:val="0"/>
              <w:widowControl/>
              <w:suppressLineNumbers w:val="0"/>
              <w:jc w:val="left"/>
              <w:textAlignment w:val="center"/>
              <w:rPr>
                <w:rFonts w:hint="default" w:ascii="Times New Roman" w:hAnsi="Times New Roman" w:eastAsia="宋体" w:cs="Times New Roman"/>
                <w:i w:val="0"/>
                <w:iCs w:val="0"/>
                <w:color w:val="000000"/>
                <w:sz w:val="18"/>
                <w:szCs w:val="18"/>
                <w:u w:val="none"/>
              </w:rPr>
            </w:pPr>
            <w:r>
              <w:rPr>
                <w:rStyle w:val="10"/>
                <w:lang w:val="en-US" w:eastAsia="zh-CN"/>
              </w:rPr>
              <w:t>达到质量标准（绩效标准值）的实际工作数与计划工作数的比率</w:t>
            </w:r>
            <w:r>
              <w:rPr>
                <w:rStyle w:val="11"/>
                <w:rFonts w:eastAsia="宋体"/>
                <w:lang w:val="en-US" w:eastAsia="zh-CN"/>
              </w:rPr>
              <w:t>,</w:t>
            </w:r>
            <w:r>
              <w:rPr>
                <w:rStyle w:val="10"/>
                <w:lang w:val="en-US" w:eastAsia="zh-CN"/>
              </w:rPr>
              <w:t>用以反映和考核部门履职质量目标的实现程度。</w:t>
            </w:r>
          </w:p>
        </w:tc>
        <w:tc>
          <w:tcPr>
            <w:tcW w:w="5112" w:type="dxa"/>
            <w:tcBorders>
              <w:tl2br w:val="nil"/>
              <w:tr2bl w:val="nil"/>
            </w:tcBorders>
            <w:vAlign w:val="center"/>
          </w:tcPr>
          <w:p>
            <w:pPr>
              <w:keepNext w:val="0"/>
              <w:keepLines w:val="0"/>
              <w:widowControl/>
              <w:suppressLineNumbers w:val="0"/>
              <w:jc w:val="left"/>
              <w:textAlignment w:val="center"/>
              <w:rPr>
                <w:rStyle w:val="10"/>
                <w:lang w:val="en-US" w:eastAsia="zh-CN"/>
              </w:rPr>
            </w:pPr>
          </w:p>
          <w:p>
            <w:pPr>
              <w:keepNext w:val="0"/>
              <w:keepLines w:val="0"/>
              <w:widowControl/>
              <w:suppressLineNumbers w:val="0"/>
              <w:jc w:val="left"/>
              <w:textAlignment w:val="center"/>
              <w:rPr>
                <w:rStyle w:val="10"/>
                <w:lang w:val="en-US" w:eastAsia="zh-CN"/>
              </w:rPr>
            </w:pPr>
            <w:r>
              <w:rPr>
                <w:rStyle w:val="10"/>
                <w:lang w:val="en-US" w:eastAsia="zh-CN"/>
              </w:rPr>
              <w:t>质量达标率</w:t>
            </w:r>
            <w:r>
              <w:rPr>
                <w:rStyle w:val="11"/>
                <w:rFonts w:eastAsia="宋体"/>
                <w:lang w:val="en-US" w:eastAsia="zh-CN"/>
              </w:rPr>
              <w:t>=</w:t>
            </w:r>
            <w:r>
              <w:rPr>
                <w:rStyle w:val="10"/>
                <w:lang w:val="en-US" w:eastAsia="zh-CN"/>
              </w:rPr>
              <w:t>（质量达标实际工作数</w:t>
            </w:r>
            <w:r>
              <w:rPr>
                <w:rStyle w:val="11"/>
                <w:rFonts w:eastAsia="宋体"/>
                <w:lang w:val="en-US" w:eastAsia="zh-CN"/>
              </w:rPr>
              <w:t>/</w:t>
            </w:r>
            <w:r>
              <w:rPr>
                <w:rStyle w:val="10"/>
                <w:lang w:val="en-US" w:eastAsia="zh-CN"/>
              </w:rPr>
              <w:t>计划工作数）</w:t>
            </w:r>
            <w:r>
              <w:rPr>
                <w:rStyle w:val="11"/>
                <w:rFonts w:eastAsia="宋体"/>
                <w:lang w:val="en-US" w:eastAsia="zh-CN"/>
              </w:rPr>
              <w:t>×100%</w:t>
            </w:r>
            <w:r>
              <w:rPr>
                <w:rStyle w:val="10"/>
                <w:lang w:val="en-US" w:eastAsia="zh-CN"/>
              </w:rPr>
              <w:t>。质量达标实际工作数：一定时期（年度或规划期）内部门实际完成工作数中达到部门绩效目标要求（绩效标准值）的工作任务数量。</w:t>
            </w:r>
          </w:p>
          <w:p>
            <w:pPr>
              <w:keepNext w:val="0"/>
              <w:keepLines w:val="0"/>
              <w:widowControl/>
              <w:suppressLineNumbers w:val="0"/>
              <w:jc w:val="left"/>
              <w:textAlignment w:val="center"/>
              <w:rPr>
                <w:rFonts w:hint="default" w:ascii="Times New Roman" w:hAnsi="Times New Roman" w:eastAsia="宋体" w:cs="Times New Roman"/>
                <w:i w:val="0"/>
                <w:iCs w:val="0"/>
                <w:color w:val="000000"/>
                <w:sz w:val="18"/>
                <w:szCs w:val="18"/>
                <w:u w:val="none"/>
              </w:rPr>
            </w:pPr>
            <w:r>
              <w:rPr>
                <w:rStyle w:val="10"/>
                <w:lang w:val="en-US" w:eastAsia="zh-CN"/>
              </w:rPr>
              <w:t>该项得分</w:t>
            </w:r>
            <w:r>
              <w:rPr>
                <w:rStyle w:val="11"/>
                <w:rFonts w:eastAsia="宋体"/>
                <w:lang w:val="en-US" w:eastAsia="zh-CN"/>
              </w:rPr>
              <w:t>=</w:t>
            </w:r>
            <w:r>
              <w:rPr>
                <w:rStyle w:val="10"/>
                <w:lang w:val="en-US" w:eastAsia="zh-CN"/>
              </w:rPr>
              <w:t>达标率</w:t>
            </w:r>
            <w:r>
              <w:rPr>
                <w:rStyle w:val="11"/>
                <w:rFonts w:eastAsia="宋体"/>
                <w:lang w:val="en-US" w:eastAsia="zh-CN"/>
              </w:rPr>
              <w:t>×4</w:t>
            </w:r>
            <w:r>
              <w:rPr>
                <w:rStyle w:val="10"/>
                <w:lang w:val="en-US" w:eastAsia="zh-CN"/>
              </w:rPr>
              <w:t>分。</w:t>
            </w:r>
          </w:p>
        </w:tc>
        <w:tc>
          <w:tcPr>
            <w:tcW w:w="2115" w:type="dxa"/>
            <w:tcBorders>
              <w:tl2br w:val="nil"/>
              <w:tr2bl w:val="nil"/>
            </w:tcBorders>
            <w:vAlign w:val="center"/>
          </w:tcPr>
          <w:p>
            <w:pPr>
              <w:jc w:val="left"/>
              <w:rPr>
                <w:rFonts w:hint="default" w:ascii="Times New Roman" w:hAnsi="Times New Roman" w:eastAsia="宋体" w:cs="Times New Roman"/>
                <w:i w:val="0"/>
                <w:iCs w:val="0"/>
                <w:color w:val="000000"/>
                <w:sz w:val="18"/>
                <w:szCs w:val="18"/>
                <w:u w:val="none"/>
              </w:rPr>
            </w:pPr>
          </w:p>
        </w:tc>
        <w:tc>
          <w:tcPr>
            <w:tcW w:w="586" w:type="dxa"/>
            <w:tcBorders>
              <w:tl2br w:val="nil"/>
              <w:tr2bl w:val="nil"/>
            </w:tcBorders>
            <w:vAlign w:val="center"/>
          </w:tcPr>
          <w:p>
            <w:pPr>
              <w:jc w:val="left"/>
              <w:rPr>
                <w:rFonts w:hint="eastAsia" w:ascii="Times New Roman" w:hAnsi="Times New Roman" w:eastAsia="宋体" w:cs="Times New Roman"/>
                <w:i w:val="0"/>
                <w:iCs w:val="0"/>
                <w:color w:val="000000"/>
                <w:sz w:val="18"/>
                <w:szCs w:val="18"/>
                <w:u w:val="none"/>
                <w:lang w:val="en-US" w:eastAsia="zh-CN"/>
              </w:rPr>
            </w:pPr>
            <w:r>
              <w:rPr>
                <w:rFonts w:hint="eastAsia" w:ascii="Times New Roman" w:hAnsi="Times New Roman" w:cs="Times New Roman"/>
                <w:i w:val="0"/>
                <w:iCs w:val="0"/>
                <w:color w:val="000000"/>
                <w:sz w:val="18"/>
                <w:szCs w:val="18"/>
                <w:u w:val="none"/>
                <w:lang w:val="en-US" w:eastAsia="zh-CN"/>
              </w:rPr>
              <w:t>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665" w:hRule="atLeast"/>
          <w:jc w:val="center"/>
        </w:trPr>
        <w:tc>
          <w:tcPr>
            <w:tcW w:w="873" w:type="dxa"/>
            <w:vMerge w:val="continue"/>
            <w:tcBorders>
              <w:tl2br w:val="nil"/>
              <w:tr2bl w:val="nil"/>
            </w:tcBorders>
            <w:vAlign w:val="center"/>
          </w:tcPr>
          <w:p>
            <w:pPr>
              <w:jc w:val="center"/>
              <w:rPr>
                <w:rFonts w:hint="default" w:ascii="Times New Roman" w:hAnsi="Times New Roman" w:eastAsia="宋体" w:cs="Times New Roman"/>
                <w:i w:val="0"/>
                <w:iCs w:val="0"/>
                <w:color w:val="000000"/>
                <w:sz w:val="18"/>
                <w:szCs w:val="18"/>
                <w:u w:val="none"/>
              </w:rPr>
            </w:pPr>
          </w:p>
        </w:tc>
        <w:tc>
          <w:tcPr>
            <w:tcW w:w="870" w:type="dxa"/>
            <w:vMerge w:val="continue"/>
            <w:tcBorders>
              <w:tl2br w:val="nil"/>
              <w:tr2bl w:val="nil"/>
            </w:tcBorders>
            <w:vAlign w:val="center"/>
          </w:tcPr>
          <w:p>
            <w:pPr>
              <w:jc w:val="center"/>
              <w:rPr>
                <w:rFonts w:hint="default" w:ascii="Times New Roman" w:hAnsi="Times New Roman" w:eastAsia="宋体" w:cs="Times New Roman"/>
                <w:i w:val="0"/>
                <w:iCs w:val="0"/>
                <w:color w:val="000000"/>
                <w:sz w:val="18"/>
                <w:szCs w:val="18"/>
                <w:u w:val="none"/>
              </w:rPr>
            </w:pPr>
          </w:p>
        </w:tc>
        <w:tc>
          <w:tcPr>
            <w:tcW w:w="1050" w:type="dxa"/>
            <w:tcBorders>
              <w:tl2br w:val="nil"/>
              <w:tr2bl w:val="nil"/>
            </w:tcBorders>
            <w:vAlign w:val="center"/>
          </w:tcPr>
          <w:p>
            <w:pPr>
              <w:keepNext w:val="0"/>
              <w:keepLines w:val="0"/>
              <w:widowControl/>
              <w:suppressLineNumbers w:val="0"/>
              <w:jc w:val="center"/>
              <w:textAlignment w:val="center"/>
              <w:rPr>
                <w:rStyle w:val="10"/>
                <w:lang w:val="en-US" w:eastAsia="zh-CN"/>
              </w:rPr>
            </w:pPr>
            <w:r>
              <w:rPr>
                <w:rStyle w:val="10"/>
                <w:lang w:val="en-US" w:eastAsia="zh-CN"/>
              </w:rPr>
              <w:t>重点工作</w:t>
            </w:r>
          </w:p>
          <w:p>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Style w:val="10"/>
                <w:lang w:val="en-US" w:eastAsia="zh-CN"/>
              </w:rPr>
              <w:t>办结率</w:t>
            </w:r>
          </w:p>
        </w:tc>
        <w:tc>
          <w:tcPr>
            <w:tcW w:w="495" w:type="dxa"/>
            <w:tcBorders>
              <w:tl2br w:val="nil"/>
              <w:tr2bl w:val="nil"/>
            </w:tcBorders>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rPr>
              <w:t>4</w:t>
            </w:r>
          </w:p>
        </w:tc>
        <w:tc>
          <w:tcPr>
            <w:tcW w:w="2570" w:type="dxa"/>
            <w:tcBorders>
              <w:tl2br w:val="nil"/>
              <w:tr2bl w:val="nil"/>
            </w:tcBorders>
            <w:vAlign w:val="center"/>
          </w:tcPr>
          <w:p>
            <w:pPr>
              <w:keepNext w:val="0"/>
              <w:keepLines w:val="0"/>
              <w:widowControl/>
              <w:suppressLineNumbers w:val="0"/>
              <w:jc w:val="left"/>
              <w:textAlignment w:val="center"/>
              <w:rPr>
                <w:rFonts w:hint="default" w:ascii="Times New Roman" w:hAnsi="Times New Roman" w:eastAsia="宋体" w:cs="Times New Roman"/>
                <w:i w:val="0"/>
                <w:iCs w:val="0"/>
                <w:color w:val="000000"/>
                <w:sz w:val="18"/>
                <w:szCs w:val="18"/>
                <w:u w:val="none"/>
              </w:rPr>
            </w:pPr>
            <w:r>
              <w:rPr>
                <w:rStyle w:val="10"/>
                <w:lang w:val="en-US" w:eastAsia="zh-CN"/>
              </w:rPr>
              <w:t>部门年度重点工作实际完成数与交办或下达数的比率，用以反映部门对重点工作的办理落实程度。</w:t>
            </w:r>
          </w:p>
        </w:tc>
        <w:tc>
          <w:tcPr>
            <w:tcW w:w="5112" w:type="dxa"/>
            <w:tcBorders>
              <w:tl2br w:val="nil"/>
              <w:tr2bl w:val="nil"/>
            </w:tcBorders>
            <w:vAlign w:val="center"/>
          </w:tcPr>
          <w:p>
            <w:pPr>
              <w:keepNext w:val="0"/>
              <w:keepLines w:val="0"/>
              <w:widowControl/>
              <w:suppressLineNumbers w:val="0"/>
              <w:jc w:val="left"/>
              <w:textAlignment w:val="center"/>
              <w:rPr>
                <w:rStyle w:val="10"/>
                <w:lang w:val="en-US" w:eastAsia="zh-CN"/>
              </w:rPr>
            </w:pPr>
            <w:r>
              <w:rPr>
                <w:rStyle w:val="10"/>
                <w:lang w:val="en-US" w:eastAsia="zh-CN"/>
              </w:rPr>
              <w:t>重点工作办结率</w:t>
            </w:r>
            <w:r>
              <w:rPr>
                <w:rStyle w:val="11"/>
                <w:rFonts w:eastAsia="宋体"/>
                <w:lang w:val="en-US" w:eastAsia="zh-CN"/>
              </w:rPr>
              <w:t>=</w:t>
            </w:r>
            <w:r>
              <w:rPr>
                <w:rStyle w:val="10"/>
                <w:lang w:val="en-US" w:eastAsia="zh-CN"/>
              </w:rPr>
              <w:t>（重点工作实际完成数</w:t>
            </w:r>
            <w:r>
              <w:rPr>
                <w:rStyle w:val="11"/>
                <w:rFonts w:eastAsia="宋体"/>
                <w:lang w:val="en-US" w:eastAsia="zh-CN"/>
              </w:rPr>
              <w:t>/</w:t>
            </w:r>
            <w:r>
              <w:rPr>
                <w:rStyle w:val="10"/>
                <w:lang w:val="en-US" w:eastAsia="zh-CN"/>
              </w:rPr>
              <w:t>交办或下达数）</w:t>
            </w:r>
            <w:r>
              <w:rPr>
                <w:rStyle w:val="11"/>
                <w:rFonts w:eastAsia="宋体"/>
                <w:lang w:val="en-US" w:eastAsia="zh-CN"/>
              </w:rPr>
              <w:t>×100%</w:t>
            </w:r>
            <w:r>
              <w:rPr>
                <w:rStyle w:val="10"/>
                <w:lang w:val="en-US" w:eastAsia="zh-CN"/>
              </w:rPr>
              <w:t>。</w:t>
            </w:r>
          </w:p>
          <w:p>
            <w:pPr>
              <w:keepNext w:val="0"/>
              <w:keepLines w:val="0"/>
              <w:widowControl/>
              <w:suppressLineNumbers w:val="0"/>
              <w:jc w:val="left"/>
              <w:textAlignment w:val="center"/>
              <w:rPr>
                <w:rStyle w:val="10"/>
                <w:lang w:val="en-US" w:eastAsia="zh-CN"/>
              </w:rPr>
            </w:pPr>
            <w:r>
              <w:rPr>
                <w:rStyle w:val="10"/>
                <w:lang w:val="en-US" w:eastAsia="zh-CN"/>
              </w:rPr>
              <w:t>重点工作是指党委、政府、人大、相关部门交办或下达的工作任务。</w:t>
            </w:r>
          </w:p>
          <w:p>
            <w:pPr>
              <w:keepNext w:val="0"/>
              <w:keepLines w:val="0"/>
              <w:widowControl/>
              <w:suppressLineNumbers w:val="0"/>
              <w:jc w:val="left"/>
              <w:textAlignment w:val="center"/>
              <w:rPr>
                <w:rFonts w:hint="default" w:ascii="Times New Roman" w:hAnsi="Times New Roman" w:eastAsia="宋体" w:cs="Times New Roman"/>
                <w:i w:val="0"/>
                <w:iCs w:val="0"/>
                <w:color w:val="000000"/>
                <w:sz w:val="18"/>
                <w:szCs w:val="18"/>
                <w:u w:val="none"/>
              </w:rPr>
            </w:pPr>
            <w:r>
              <w:rPr>
                <w:rStyle w:val="10"/>
                <w:lang w:val="en-US" w:eastAsia="zh-CN"/>
              </w:rPr>
              <w:t>该项得分</w:t>
            </w:r>
            <w:r>
              <w:rPr>
                <w:rStyle w:val="11"/>
                <w:rFonts w:eastAsia="宋体"/>
                <w:lang w:val="en-US" w:eastAsia="zh-CN"/>
              </w:rPr>
              <w:t>=</w:t>
            </w:r>
            <w:r>
              <w:rPr>
                <w:rStyle w:val="10"/>
                <w:lang w:val="en-US" w:eastAsia="zh-CN"/>
              </w:rPr>
              <w:t>办结率</w:t>
            </w:r>
            <w:r>
              <w:rPr>
                <w:rStyle w:val="11"/>
                <w:rFonts w:eastAsia="宋体"/>
                <w:lang w:val="en-US" w:eastAsia="zh-CN"/>
              </w:rPr>
              <w:t>×4</w:t>
            </w:r>
            <w:r>
              <w:rPr>
                <w:rStyle w:val="10"/>
                <w:lang w:val="en-US" w:eastAsia="zh-CN"/>
              </w:rPr>
              <w:t>分。</w:t>
            </w:r>
          </w:p>
        </w:tc>
        <w:tc>
          <w:tcPr>
            <w:tcW w:w="2115" w:type="dxa"/>
            <w:tcBorders>
              <w:tl2br w:val="nil"/>
              <w:tr2bl w:val="nil"/>
            </w:tcBorders>
            <w:vAlign w:val="center"/>
          </w:tcPr>
          <w:p>
            <w:pPr>
              <w:jc w:val="left"/>
              <w:rPr>
                <w:rFonts w:hint="default" w:ascii="Times New Roman" w:hAnsi="Times New Roman" w:eastAsia="宋体" w:cs="Times New Roman"/>
                <w:i w:val="0"/>
                <w:iCs w:val="0"/>
                <w:color w:val="000000"/>
                <w:sz w:val="18"/>
                <w:szCs w:val="18"/>
                <w:u w:val="none"/>
              </w:rPr>
            </w:pPr>
          </w:p>
        </w:tc>
        <w:tc>
          <w:tcPr>
            <w:tcW w:w="586" w:type="dxa"/>
            <w:tcBorders>
              <w:tl2br w:val="nil"/>
              <w:tr2bl w:val="nil"/>
            </w:tcBorders>
            <w:vAlign w:val="center"/>
          </w:tcPr>
          <w:p>
            <w:pPr>
              <w:jc w:val="left"/>
              <w:rPr>
                <w:rFonts w:hint="eastAsia" w:ascii="Times New Roman" w:hAnsi="Times New Roman" w:eastAsia="宋体" w:cs="Times New Roman"/>
                <w:i w:val="0"/>
                <w:iCs w:val="0"/>
                <w:color w:val="000000"/>
                <w:sz w:val="18"/>
                <w:szCs w:val="18"/>
                <w:u w:val="none"/>
                <w:lang w:val="en-US" w:eastAsia="zh-CN"/>
              </w:rPr>
            </w:pPr>
            <w:r>
              <w:rPr>
                <w:rFonts w:hint="eastAsia" w:ascii="Times New Roman" w:hAnsi="Times New Roman" w:cs="Times New Roman"/>
                <w:i w:val="0"/>
                <w:iCs w:val="0"/>
                <w:color w:val="000000"/>
                <w:sz w:val="18"/>
                <w:szCs w:val="18"/>
                <w:u w:val="none"/>
                <w:lang w:val="en-US" w:eastAsia="zh-CN"/>
              </w:rPr>
              <w:t>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65" w:hRule="atLeast"/>
          <w:jc w:val="center"/>
        </w:trPr>
        <w:tc>
          <w:tcPr>
            <w:tcW w:w="873" w:type="dxa"/>
            <w:vMerge w:val="restart"/>
            <w:tcBorders>
              <w:tl2br w:val="nil"/>
              <w:tr2bl w:val="nil"/>
            </w:tcBorders>
            <w:vAlign w:val="center"/>
          </w:tcPr>
          <w:p>
            <w:pPr>
              <w:keepNext w:val="0"/>
              <w:keepLines w:val="0"/>
              <w:widowControl/>
              <w:suppressLineNumbers w:val="0"/>
              <w:jc w:val="center"/>
              <w:textAlignment w:val="center"/>
              <w:rPr>
                <w:rStyle w:val="8"/>
                <w:lang w:val="en-US" w:eastAsia="zh-CN"/>
              </w:rPr>
            </w:pPr>
            <w:r>
              <w:rPr>
                <w:rStyle w:val="8"/>
                <w:lang w:val="en-US" w:eastAsia="zh-CN"/>
              </w:rPr>
              <w:t>效果</w:t>
            </w:r>
          </w:p>
          <w:p>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Style w:val="8"/>
                <w:lang w:val="en-US" w:eastAsia="zh-CN"/>
              </w:rPr>
              <w:t>（</w:t>
            </w:r>
            <w:r>
              <w:rPr>
                <w:rStyle w:val="9"/>
                <w:rFonts w:eastAsia="宋体"/>
                <w:lang w:val="en-US" w:eastAsia="zh-CN"/>
              </w:rPr>
              <w:t>17</w:t>
            </w:r>
            <w:r>
              <w:rPr>
                <w:rStyle w:val="8"/>
                <w:lang w:val="en-US" w:eastAsia="zh-CN"/>
              </w:rPr>
              <w:t>分）</w:t>
            </w:r>
          </w:p>
        </w:tc>
        <w:tc>
          <w:tcPr>
            <w:tcW w:w="870" w:type="dxa"/>
            <w:vMerge w:val="restart"/>
            <w:tcBorders>
              <w:tl2br w:val="nil"/>
              <w:tr2bl w:val="nil"/>
            </w:tcBorders>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Style w:val="10"/>
                <w:lang w:val="en-US" w:eastAsia="zh-CN"/>
              </w:rPr>
              <w:t>履职效益（</w:t>
            </w:r>
            <w:r>
              <w:rPr>
                <w:rStyle w:val="11"/>
                <w:rFonts w:eastAsia="宋体"/>
                <w:lang w:val="en-US" w:eastAsia="zh-CN"/>
              </w:rPr>
              <w:t>17</w:t>
            </w:r>
            <w:r>
              <w:rPr>
                <w:rStyle w:val="10"/>
                <w:lang w:val="en-US" w:eastAsia="zh-CN"/>
              </w:rPr>
              <w:t>分）</w:t>
            </w:r>
          </w:p>
        </w:tc>
        <w:tc>
          <w:tcPr>
            <w:tcW w:w="1050" w:type="dxa"/>
            <w:tcBorders>
              <w:tl2br w:val="nil"/>
              <w:tr2bl w:val="nil"/>
            </w:tcBorders>
            <w:vAlign w:val="center"/>
          </w:tcPr>
          <w:p>
            <w:pPr>
              <w:keepNext w:val="0"/>
              <w:keepLines w:val="0"/>
              <w:widowControl/>
              <w:suppressLineNumbers w:val="0"/>
              <w:jc w:val="center"/>
              <w:textAlignment w:val="center"/>
              <w:rPr>
                <w:rStyle w:val="10"/>
                <w:lang w:val="en-US" w:eastAsia="zh-CN"/>
              </w:rPr>
            </w:pPr>
            <w:r>
              <w:rPr>
                <w:rStyle w:val="10"/>
                <w:lang w:val="en-US" w:eastAsia="zh-CN"/>
              </w:rPr>
              <w:t>经济</w:t>
            </w:r>
          </w:p>
          <w:p>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Style w:val="10"/>
                <w:lang w:val="en-US" w:eastAsia="zh-CN"/>
              </w:rPr>
              <w:t>效益</w:t>
            </w:r>
          </w:p>
        </w:tc>
        <w:tc>
          <w:tcPr>
            <w:tcW w:w="495" w:type="dxa"/>
            <w:vMerge w:val="restart"/>
            <w:tcBorders>
              <w:tl2br w:val="nil"/>
              <w:tr2bl w:val="nil"/>
            </w:tcBorders>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rPr>
              <w:t>9</w:t>
            </w:r>
          </w:p>
        </w:tc>
        <w:tc>
          <w:tcPr>
            <w:tcW w:w="2570" w:type="dxa"/>
            <w:vMerge w:val="restart"/>
            <w:tcBorders>
              <w:tl2br w:val="nil"/>
              <w:tr2bl w:val="nil"/>
            </w:tcBorders>
            <w:vAlign w:val="center"/>
          </w:tcPr>
          <w:p>
            <w:pPr>
              <w:keepNext w:val="0"/>
              <w:keepLines w:val="0"/>
              <w:widowControl/>
              <w:suppressLineNumbers w:val="0"/>
              <w:jc w:val="left"/>
              <w:textAlignment w:val="center"/>
              <w:rPr>
                <w:rFonts w:hint="default" w:ascii="Times New Roman" w:hAnsi="Times New Roman" w:eastAsia="宋体" w:cs="Times New Roman"/>
                <w:i w:val="0"/>
                <w:iCs w:val="0"/>
                <w:color w:val="000000"/>
                <w:sz w:val="18"/>
                <w:szCs w:val="18"/>
                <w:u w:val="none"/>
              </w:rPr>
            </w:pPr>
            <w:r>
              <w:rPr>
                <w:rStyle w:val="10"/>
                <w:lang w:val="en-US" w:eastAsia="zh-CN"/>
              </w:rPr>
              <w:t>部门履行职责对经济发展、社会发展、生态环境所带来的直接或间接影响。</w:t>
            </w:r>
          </w:p>
        </w:tc>
        <w:tc>
          <w:tcPr>
            <w:tcW w:w="5112" w:type="dxa"/>
            <w:vMerge w:val="restart"/>
            <w:tcBorders>
              <w:tl2br w:val="nil"/>
              <w:tr2bl w:val="nil"/>
            </w:tcBorders>
            <w:vAlign w:val="center"/>
          </w:tcPr>
          <w:p>
            <w:pPr>
              <w:keepNext w:val="0"/>
              <w:keepLines w:val="0"/>
              <w:widowControl/>
              <w:suppressLineNumbers w:val="0"/>
              <w:jc w:val="left"/>
              <w:textAlignment w:val="center"/>
              <w:rPr>
                <w:rStyle w:val="10"/>
                <w:lang w:val="en-US" w:eastAsia="zh-CN"/>
              </w:rPr>
            </w:pPr>
            <w:r>
              <w:rPr>
                <w:rStyle w:val="10"/>
                <w:lang w:val="en-US" w:eastAsia="zh-CN"/>
              </w:rPr>
              <w:t>此三项指标可根据部门实际并结合部门整体支出绩效目标设立情况有选择的进行评价。</w:t>
            </w:r>
          </w:p>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Style w:val="10"/>
                <w:lang w:val="en-US" w:eastAsia="zh-CN"/>
              </w:rPr>
              <w:t>该项得分</w:t>
            </w:r>
            <w:r>
              <w:rPr>
                <w:rStyle w:val="11"/>
                <w:rFonts w:eastAsia="宋体"/>
                <w:lang w:val="en-US" w:eastAsia="zh-CN"/>
              </w:rPr>
              <w:t>=</w:t>
            </w:r>
            <w:r>
              <w:rPr>
                <w:rStyle w:val="10"/>
                <w:lang w:val="en-US" w:eastAsia="zh-CN"/>
              </w:rPr>
              <w:t>依据评价内容相应计分。</w:t>
            </w:r>
          </w:p>
        </w:tc>
        <w:tc>
          <w:tcPr>
            <w:tcW w:w="2115" w:type="dxa"/>
            <w:tcBorders>
              <w:tl2br w:val="nil"/>
              <w:tr2bl w:val="nil"/>
            </w:tcBorders>
            <w:vAlign w:val="center"/>
          </w:tcPr>
          <w:p>
            <w:pPr>
              <w:jc w:val="left"/>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sz w:val="18"/>
                <w:szCs w:val="18"/>
                <w:u w:val="none"/>
                <w:lang w:val="en-US" w:eastAsia="zh-CN"/>
              </w:rPr>
              <w:t>发展农村经济、改善民生</w:t>
            </w:r>
          </w:p>
        </w:tc>
        <w:tc>
          <w:tcPr>
            <w:tcW w:w="586" w:type="dxa"/>
            <w:tcBorders>
              <w:tl2br w:val="nil"/>
              <w:tr2bl w:val="nil"/>
            </w:tcBorders>
            <w:vAlign w:val="center"/>
          </w:tcPr>
          <w:p>
            <w:pPr>
              <w:jc w:val="left"/>
              <w:rPr>
                <w:rFonts w:hint="eastAsia" w:ascii="Times New Roman" w:hAnsi="Times New Roman" w:eastAsia="宋体" w:cs="Times New Roman"/>
                <w:i w:val="0"/>
                <w:iCs w:val="0"/>
                <w:color w:val="000000"/>
                <w:sz w:val="18"/>
                <w:szCs w:val="18"/>
                <w:u w:val="none"/>
                <w:lang w:val="en-US" w:eastAsia="zh-CN"/>
              </w:rPr>
            </w:pPr>
            <w:r>
              <w:rPr>
                <w:rFonts w:hint="eastAsia" w:ascii="Times New Roman" w:hAnsi="Times New Roman" w:cs="Times New Roman"/>
                <w:i w:val="0"/>
                <w:iCs w:val="0"/>
                <w:color w:val="000000"/>
                <w:sz w:val="18"/>
                <w:szCs w:val="18"/>
                <w:u w:val="none"/>
                <w:lang w:val="en-US" w:eastAsia="zh-CN"/>
              </w:rPr>
              <w:t>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65" w:hRule="atLeast"/>
          <w:jc w:val="center"/>
        </w:trPr>
        <w:tc>
          <w:tcPr>
            <w:tcW w:w="873" w:type="dxa"/>
            <w:vMerge w:val="continue"/>
            <w:tcBorders>
              <w:tl2br w:val="nil"/>
              <w:tr2bl w:val="nil"/>
            </w:tcBorders>
            <w:vAlign w:val="center"/>
          </w:tcPr>
          <w:p>
            <w:pPr>
              <w:jc w:val="center"/>
              <w:rPr>
                <w:rFonts w:hint="default" w:ascii="Times New Roman" w:hAnsi="Times New Roman" w:eastAsia="宋体" w:cs="Times New Roman"/>
                <w:i w:val="0"/>
                <w:iCs w:val="0"/>
                <w:color w:val="000000"/>
                <w:sz w:val="18"/>
                <w:szCs w:val="18"/>
                <w:u w:val="none"/>
              </w:rPr>
            </w:pPr>
          </w:p>
        </w:tc>
        <w:tc>
          <w:tcPr>
            <w:tcW w:w="870" w:type="dxa"/>
            <w:vMerge w:val="continue"/>
            <w:tcBorders>
              <w:tl2br w:val="nil"/>
              <w:tr2bl w:val="nil"/>
            </w:tcBorders>
            <w:vAlign w:val="center"/>
          </w:tcPr>
          <w:p>
            <w:pPr>
              <w:jc w:val="center"/>
              <w:rPr>
                <w:rFonts w:hint="default" w:ascii="Times New Roman" w:hAnsi="Times New Roman" w:eastAsia="宋体" w:cs="Times New Roman"/>
                <w:i w:val="0"/>
                <w:iCs w:val="0"/>
                <w:color w:val="000000"/>
                <w:sz w:val="18"/>
                <w:szCs w:val="18"/>
                <w:u w:val="none"/>
              </w:rPr>
            </w:pPr>
          </w:p>
        </w:tc>
        <w:tc>
          <w:tcPr>
            <w:tcW w:w="1050" w:type="dxa"/>
            <w:tcBorders>
              <w:tl2br w:val="nil"/>
              <w:tr2bl w:val="nil"/>
            </w:tcBorders>
            <w:vAlign w:val="center"/>
          </w:tcPr>
          <w:p>
            <w:pPr>
              <w:keepNext w:val="0"/>
              <w:keepLines w:val="0"/>
              <w:widowControl/>
              <w:suppressLineNumbers w:val="0"/>
              <w:jc w:val="center"/>
              <w:textAlignment w:val="center"/>
              <w:rPr>
                <w:rStyle w:val="10"/>
                <w:lang w:val="en-US" w:eastAsia="zh-CN"/>
              </w:rPr>
            </w:pPr>
            <w:r>
              <w:rPr>
                <w:rStyle w:val="10"/>
                <w:lang w:val="en-US" w:eastAsia="zh-CN"/>
              </w:rPr>
              <w:t>社会</w:t>
            </w:r>
          </w:p>
          <w:p>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Style w:val="10"/>
                <w:lang w:val="en-US" w:eastAsia="zh-CN"/>
              </w:rPr>
              <w:t>效益</w:t>
            </w:r>
          </w:p>
        </w:tc>
        <w:tc>
          <w:tcPr>
            <w:tcW w:w="495" w:type="dxa"/>
            <w:vMerge w:val="continue"/>
            <w:tcBorders>
              <w:tl2br w:val="nil"/>
              <w:tr2bl w:val="nil"/>
            </w:tcBorders>
            <w:vAlign w:val="center"/>
          </w:tcPr>
          <w:p>
            <w:pPr>
              <w:jc w:val="center"/>
              <w:rPr>
                <w:rFonts w:hint="default" w:ascii="Times New Roman" w:hAnsi="Times New Roman" w:eastAsia="宋体" w:cs="Times New Roman"/>
                <w:i w:val="0"/>
                <w:iCs w:val="0"/>
                <w:color w:val="000000"/>
                <w:sz w:val="18"/>
                <w:szCs w:val="18"/>
                <w:u w:val="none"/>
              </w:rPr>
            </w:pPr>
          </w:p>
        </w:tc>
        <w:tc>
          <w:tcPr>
            <w:tcW w:w="2570" w:type="dxa"/>
            <w:vMerge w:val="continue"/>
            <w:tcBorders>
              <w:tl2br w:val="nil"/>
              <w:tr2bl w:val="nil"/>
            </w:tcBorders>
            <w:vAlign w:val="center"/>
          </w:tcPr>
          <w:p>
            <w:pPr>
              <w:jc w:val="left"/>
              <w:rPr>
                <w:rFonts w:hint="default" w:ascii="Times New Roman" w:hAnsi="Times New Roman" w:eastAsia="宋体" w:cs="Times New Roman"/>
                <w:i w:val="0"/>
                <w:iCs w:val="0"/>
                <w:color w:val="000000"/>
                <w:sz w:val="18"/>
                <w:szCs w:val="18"/>
                <w:u w:val="none"/>
              </w:rPr>
            </w:pPr>
          </w:p>
        </w:tc>
        <w:tc>
          <w:tcPr>
            <w:tcW w:w="5112" w:type="dxa"/>
            <w:vMerge w:val="continue"/>
            <w:tcBorders>
              <w:tl2br w:val="nil"/>
              <w:tr2bl w:val="nil"/>
            </w:tcBorders>
            <w:vAlign w:val="center"/>
          </w:tcPr>
          <w:p>
            <w:pPr>
              <w:jc w:val="left"/>
              <w:rPr>
                <w:rFonts w:hint="eastAsia" w:ascii="宋体" w:hAnsi="宋体" w:eastAsia="宋体" w:cs="宋体"/>
                <w:i w:val="0"/>
                <w:iCs w:val="0"/>
                <w:color w:val="000000"/>
                <w:sz w:val="18"/>
                <w:szCs w:val="18"/>
                <w:u w:val="none"/>
              </w:rPr>
            </w:pPr>
          </w:p>
        </w:tc>
        <w:tc>
          <w:tcPr>
            <w:tcW w:w="2115" w:type="dxa"/>
            <w:tcBorders>
              <w:tl2br w:val="nil"/>
              <w:tr2bl w:val="nil"/>
            </w:tcBorders>
            <w:vAlign w:val="center"/>
          </w:tcPr>
          <w:p>
            <w:pPr>
              <w:jc w:val="left"/>
              <w:rPr>
                <w:rFonts w:hint="default" w:ascii="Times New Roman" w:hAnsi="Times New Roman" w:eastAsia="宋体" w:cs="Times New Roman"/>
                <w:i w:val="0"/>
                <w:iCs w:val="0"/>
                <w:color w:val="000000"/>
                <w:sz w:val="18"/>
                <w:szCs w:val="18"/>
                <w:u w:val="none"/>
                <w:lang w:val="en-US" w:eastAsia="zh-CN"/>
              </w:rPr>
            </w:pPr>
            <w:r>
              <w:rPr>
                <w:rFonts w:hint="eastAsia" w:ascii="Times New Roman" w:hAnsi="Times New Roman" w:cs="Times New Roman"/>
                <w:i w:val="0"/>
                <w:iCs w:val="0"/>
                <w:color w:val="000000"/>
                <w:sz w:val="18"/>
                <w:szCs w:val="18"/>
                <w:u w:val="none"/>
                <w:lang w:val="en-US" w:eastAsia="zh-CN"/>
              </w:rPr>
              <w:t>社会治安稳定</w:t>
            </w:r>
          </w:p>
        </w:tc>
        <w:tc>
          <w:tcPr>
            <w:tcW w:w="586" w:type="dxa"/>
            <w:tcBorders>
              <w:tl2br w:val="nil"/>
              <w:tr2bl w:val="nil"/>
            </w:tcBorders>
            <w:vAlign w:val="center"/>
          </w:tcPr>
          <w:p>
            <w:pPr>
              <w:jc w:val="left"/>
              <w:rPr>
                <w:rFonts w:hint="eastAsia" w:ascii="Times New Roman" w:hAnsi="Times New Roman" w:eastAsia="宋体" w:cs="Times New Roman"/>
                <w:i w:val="0"/>
                <w:iCs w:val="0"/>
                <w:color w:val="000000"/>
                <w:sz w:val="18"/>
                <w:szCs w:val="18"/>
                <w:u w:val="none"/>
                <w:lang w:val="en-US" w:eastAsia="zh-CN"/>
              </w:rPr>
            </w:pPr>
            <w:r>
              <w:rPr>
                <w:rFonts w:hint="eastAsia" w:ascii="Times New Roman" w:hAnsi="Times New Roman" w:cs="Times New Roman"/>
                <w:i w:val="0"/>
                <w:iCs w:val="0"/>
                <w:color w:val="000000"/>
                <w:sz w:val="18"/>
                <w:szCs w:val="18"/>
                <w:u w:val="none"/>
                <w:lang w:val="en-US" w:eastAsia="zh-CN"/>
              </w:rPr>
              <w:t>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0" w:hRule="atLeast"/>
          <w:jc w:val="center"/>
        </w:trPr>
        <w:tc>
          <w:tcPr>
            <w:tcW w:w="873" w:type="dxa"/>
            <w:vMerge w:val="continue"/>
            <w:tcBorders>
              <w:tl2br w:val="nil"/>
              <w:tr2bl w:val="nil"/>
            </w:tcBorders>
            <w:vAlign w:val="center"/>
          </w:tcPr>
          <w:p>
            <w:pPr>
              <w:jc w:val="center"/>
              <w:rPr>
                <w:rFonts w:hint="default" w:ascii="Times New Roman" w:hAnsi="Times New Roman" w:eastAsia="宋体" w:cs="Times New Roman"/>
                <w:i w:val="0"/>
                <w:iCs w:val="0"/>
                <w:color w:val="000000"/>
                <w:sz w:val="18"/>
                <w:szCs w:val="18"/>
                <w:u w:val="none"/>
              </w:rPr>
            </w:pPr>
          </w:p>
        </w:tc>
        <w:tc>
          <w:tcPr>
            <w:tcW w:w="870" w:type="dxa"/>
            <w:vMerge w:val="continue"/>
            <w:tcBorders>
              <w:tl2br w:val="nil"/>
              <w:tr2bl w:val="nil"/>
            </w:tcBorders>
            <w:vAlign w:val="center"/>
          </w:tcPr>
          <w:p>
            <w:pPr>
              <w:jc w:val="center"/>
              <w:rPr>
                <w:rFonts w:hint="default" w:ascii="Times New Roman" w:hAnsi="Times New Roman" w:eastAsia="宋体" w:cs="Times New Roman"/>
                <w:i w:val="0"/>
                <w:iCs w:val="0"/>
                <w:color w:val="000000"/>
                <w:sz w:val="18"/>
                <w:szCs w:val="18"/>
                <w:u w:val="none"/>
              </w:rPr>
            </w:pPr>
          </w:p>
        </w:tc>
        <w:tc>
          <w:tcPr>
            <w:tcW w:w="1050" w:type="dxa"/>
            <w:tcBorders>
              <w:tl2br w:val="nil"/>
              <w:tr2bl w:val="nil"/>
            </w:tcBorders>
            <w:vAlign w:val="center"/>
          </w:tcPr>
          <w:p>
            <w:pPr>
              <w:keepNext w:val="0"/>
              <w:keepLines w:val="0"/>
              <w:widowControl/>
              <w:suppressLineNumbers w:val="0"/>
              <w:jc w:val="center"/>
              <w:textAlignment w:val="center"/>
              <w:rPr>
                <w:rStyle w:val="10"/>
                <w:lang w:val="en-US" w:eastAsia="zh-CN"/>
              </w:rPr>
            </w:pPr>
            <w:r>
              <w:rPr>
                <w:rStyle w:val="10"/>
                <w:lang w:val="en-US" w:eastAsia="zh-CN"/>
              </w:rPr>
              <w:t>生态</w:t>
            </w:r>
          </w:p>
          <w:p>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Style w:val="10"/>
                <w:lang w:val="en-US" w:eastAsia="zh-CN"/>
              </w:rPr>
              <w:t>效益</w:t>
            </w:r>
          </w:p>
        </w:tc>
        <w:tc>
          <w:tcPr>
            <w:tcW w:w="495" w:type="dxa"/>
            <w:vMerge w:val="continue"/>
            <w:tcBorders>
              <w:tl2br w:val="nil"/>
              <w:tr2bl w:val="nil"/>
            </w:tcBorders>
            <w:vAlign w:val="center"/>
          </w:tcPr>
          <w:p>
            <w:pPr>
              <w:jc w:val="center"/>
              <w:rPr>
                <w:rFonts w:hint="default" w:ascii="Times New Roman" w:hAnsi="Times New Roman" w:eastAsia="宋体" w:cs="Times New Roman"/>
                <w:i w:val="0"/>
                <w:iCs w:val="0"/>
                <w:color w:val="000000"/>
                <w:sz w:val="18"/>
                <w:szCs w:val="18"/>
                <w:u w:val="none"/>
              </w:rPr>
            </w:pPr>
          </w:p>
        </w:tc>
        <w:tc>
          <w:tcPr>
            <w:tcW w:w="2570" w:type="dxa"/>
            <w:vMerge w:val="continue"/>
            <w:tcBorders>
              <w:tl2br w:val="nil"/>
              <w:tr2bl w:val="nil"/>
            </w:tcBorders>
            <w:vAlign w:val="center"/>
          </w:tcPr>
          <w:p>
            <w:pPr>
              <w:jc w:val="left"/>
              <w:rPr>
                <w:rFonts w:hint="default" w:ascii="Times New Roman" w:hAnsi="Times New Roman" w:eastAsia="宋体" w:cs="Times New Roman"/>
                <w:i w:val="0"/>
                <w:iCs w:val="0"/>
                <w:color w:val="000000"/>
                <w:sz w:val="18"/>
                <w:szCs w:val="18"/>
                <w:u w:val="none"/>
              </w:rPr>
            </w:pPr>
          </w:p>
        </w:tc>
        <w:tc>
          <w:tcPr>
            <w:tcW w:w="5112" w:type="dxa"/>
            <w:vMerge w:val="continue"/>
            <w:tcBorders>
              <w:tl2br w:val="nil"/>
              <w:tr2bl w:val="nil"/>
            </w:tcBorders>
            <w:vAlign w:val="center"/>
          </w:tcPr>
          <w:p>
            <w:pPr>
              <w:jc w:val="left"/>
              <w:rPr>
                <w:rFonts w:hint="eastAsia" w:ascii="宋体" w:hAnsi="宋体" w:eastAsia="宋体" w:cs="宋体"/>
                <w:i w:val="0"/>
                <w:iCs w:val="0"/>
                <w:color w:val="000000"/>
                <w:sz w:val="18"/>
                <w:szCs w:val="18"/>
                <w:u w:val="none"/>
              </w:rPr>
            </w:pPr>
          </w:p>
        </w:tc>
        <w:tc>
          <w:tcPr>
            <w:tcW w:w="2115" w:type="dxa"/>
            <w:tcBorders>
              <w:tl2br w:val="nil"/>
              <w:tr2bl w:val="nil"/>
            </w:tcBorders>
            <w:vAlign w:val="center"/>
          </w:tcPr>
          <w:p>
            <w:pPr>
              <w:jc w:val="left"/>
              <w:rPr>
                <w:rFonts w:hint="default" w:ascii="Times New Roman" w:hAnsi="Times New Roman" w:eastAsia="宋体" w:cs="Times New Roman"/>
                <w:i w:val="0"/>
                <w:iCs w:val="0"/>
                <w:color w:val="000000"/>
                <w:sz w:val="18"/>
                <w:szCs w:val="18"/>
                <w:u w:val="none"/>
              </w:rPr>
            </w:pPr>
            <w:r>
              <w:rPr>
                <w:rFonts w:hint="eastAsia" w:ascii="Times New Roman" w:hAnsi="Times New Roman" w:eastAsia="宋体" w:cs="Times New Roman"/>
                <w:i w:val="0"/>
                <w:iCs w:val="0"/>
                <w:color w:val="000000"/>
                <w:sz w:val="18"/>
                <w:szCs w:val="18"/>
                <w:u w:val="none"/>
                <w:lang w:val="en-US" w:eastAsia="zh-CN"/>
              </w:rPr>
              <w:t>改善</w:t>
            </w:r>
            <w:r>
              <w:rPr>
                <w:rFonts w:hint="eastAsia" w:ascii="Times New Roman" w:hAnsi="Times New Roman" w:cs="Times New Roman"/>
                <w:i w:val="0"/>
                <w:iCs w:val="0"/>
                <w:color w:val="000000"/>
                <w:sz w:val="18"/>
                <w:szCs w:val="18"/>
                <w:u w:val="none"/>
                <w:lang w:val="en-US" w:eastAsia="zh-CN"/>
              </w:rPr>
              <w:t>生态、</w:t>
            </w:r>
            <w:r>
              <w:rPr>
                <w:rFonts w:hint="eastAsia" w:ascii="Times New Roman" w:hAnsi="Times New Roman" w:eastAsia="宋体" w:cs="Times New Roman"/>
                <w:i w:val="0"/>
                <w:iCs w:val="0"/>
                <w:color w:val="000000"/>
                <w:sz w:val="18"/>
                <w:szCs w:val="18"/>
                <w:u w:val="none"/>
                <w:lang w:val="en-US" w:eastAsia="zh-CN"/>
              </w:rPr>
              <w:t>人居环境</w:t>
            </w:r>
          </w:p>
        </w:tc>
        <w:tc>
          <w:tcPr>
            <w:tcW w:w="586" w:type="dxa"/>
            <w:tcBorders>
              <w:tl2br w:val="nil"/>
              <w:tr2bl w:val="nil"/>
            </w:tcBorders>
            <w:vAlign w:val="center"/>
          </w:tcPr>
          <w:p>
            <w:pPr>
              <w:jc w:val="left"/>
              <w:rPr>
                <w:rFonts w:hint="default" w:ascii="Times New Roman" w:hAnsi="Times New Roman" w:eastAsia="宋体" w:cs="Times New Roman"/>
                <w:i w:val="0"/>
                <w:iCs w:val="0"/>
                <w:color w:val="000000"/>
                <w:sz w:val="18"/>
                <w:szCs w:val="18"/>
                <w:u w:val="none"/>
                <w:lang w:val="en-US" w:eastAsia="zh-CN"/>
              </w:rPr>
            </w:pPr>
            <w:r>
              <w:rPr>
                <w:rFonts w:hint="eastAsia" w:ascii="Times New Roman" w:hAnsi="Times New Roman" w:cs="Times New Roman"/>
                <w:i w:val="0"/>
                <w:iCs w:val="0"/>
                <w:color w:val="000000"/>
                <w:sz w:val="18"/>
                <w:szCs w:val="18"/>
                <w:u w:val="none"/>
                <w:lang w:val="en-US" w:eastAsia="zh-CN"/>
              </w:rPr>
              <w:t>2.6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170" w:hRule="atLeast"/>
          <w:jc w:val="center"/>
        </w:trPr>
        <w:tc>
          <w:tcPr>
            <w:tcW w:w="873" w:type="dxa"/>
            <w:vMerge w:val="continue"/>
            <w:tcBorders>
              <w:tl2br w:val="nil"/>
              <w:tr2bl w:val="nil"/>
            </w:tcBorders>
            <w:vAlign w:val="center"/>
          </w:tcPr>
          <w:p>
            <w:pPr>
              <w:jc w:val="center"/>
              <w:rPr>
                <w:rFonts w:hint="default" w:ascii="Times New Roman" w:hAnsi="Times New Roman" w:eastAsia="宋体" w:cs="Times New Roman"/>
                <w:i w:val="0"/>
                <w:iCs w:val="0"/>
                <w:color w:val="000000"/>
                <w:sz w:val="18"/>
                <w:szCs w:val="18"/>
                <w:u w:val="none"/>
              </w:rPr>
            </w:pPr>
          </w:p>
        </w:tc>
        <w:tc>
          <w:tcPr>
            <w:tcW w:w="870" w:type="dxa"/>
            <w:vMerge w:val="continue"/>
            <w:tcBorders>
              <w:tl2br w:val="nil"/>
              <w:tr2bl w:val="nil"/>
            </w:tcBorders>
            <w:vAlign w:val="center"/>
          </w:tcPr>
          <w:p>
            <w:pPr>
              <w:jc w:val="center"/>
              <w:rPr>
                <w:rFonts w:hint="default" w:ascii="Times New Roman" w:hAnsi="Times New Roman" w:eastAsia="宋体" w:cs="Times New Roman"/>
                <w:i w:val="0"/>
                <w:iCs w:val="0"/>
                <w:color w:val="000000"/>
                <w:sz w:val="18"/>
                <w:szCs w:val="18"/>
                <w:u w:val="none"/>
              </w:rPr>
            </w:pPr>
          </w:p>
        </w:tc>
        <w:tc>
          <w:tcPr>
            <w:tcW w:w="1050" w:type="dxa"/>
            <w:tcBorders>
              <w:tl2br w:val="nil"/>
              <w:tr2bl w:val="nil"/>
            </w:tcBorders>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Style w:val="10"/>
                <w:lang w:val="en-US" w:eastAsia="zh-CN"/>
              </w:rPr>
              <w:t>社会公众或服务对象满意度</w:t>
            </w:r>
          </w:p>
        </w:tc>
        <w:tc>
          <w:tcPr>
            <w:tcW w:w="495" w:type="dxa"/>
            <w:tcBorders>
              <w:tl2br w:val="nil"/>
              <w:tr2bl w:val="nil"/>
            </w:tcBorders>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rPr>
              <w:t>8</w:t>
            </w:r>
          </w:p>
        </w:tc>
        <w:tc>
          <w:tcPr>
            <w:tcW w:w="2570" w:type="dxa"/>
            <w:tcBorders>
              <w:tl2br w:val="nil"/>
              <w:tr2bl w:val="nil"/>
            </w:tcBorders>
            <w:vAlign w:val="center"/>
          </w:tcPr>
          <w:p>
            <w:pPr>
              <w:keepNext w:val="0"/>
              <w:keepLines w:val="0"/>
              <w:widowControl/>
              <w:suppressLineNumbers w:val="0"/>
              <w:jc w:val="left"/>
              <w:textAlignment w:val="center"/>
              <w:rPr>
                <w:rFonts w:hint="default" w:ascii="Times New Roman" w:hAnsi="Times New Roman" w:eastAsia="宋体" w:cs="Times New Roman"/>
                <w:i w:val="0"/>
                <w:iCs w:val="0"/>
                <w:color w:val="000000"/>
                <w:sz w:val="18"/>
                <w:szCs w:val="18"/>
                <w:u w:val="none"/>
              </w:rPr>
            </w:pPr>
            <w:r>
              <w:rPr>
                <w:rStyle w:val="10"/>
                <w:lang w:val="en-US" w:eastAsia="zh-CN"/>
              </w:rPr>
              <w:t>社会公众或部门的服务对象对部门履职效果的满意程度。</w:t>
            </w:r>
          </w:p>
        </w:tc>
        <w:tc>
          <w:tcPr>
            <w:tcW w:w="5112" w:type="dxa"/>
            <w:tcBorders>
              <w:tl2br w:val="nil"/>
              <w:tr2bl w:val="nil"/>
            </w:tcBorders>
            <w:vAlign w:val="center"/>
          </w:tcPr>
          <w:p>
            <w:pPr>
              <w:keepNext w:val="0"/>
              <w:keepLines w:val="0"/>
              <w:widowControl/>
              <w:suppressLineNumbers w:val="0"/>
              <w:jc w:val="left"/>
              <w:textAlignment w:val="center"/>
              <w:rPr>
                <w:rStyle w:val="10"/>
                <w:lang w:val="en-US" w:eastAsia="zh-CN"/>
              </w:rPr>
            </w:pPr>
          </w:p>
          <w:p>
            <w:pPr>
              <w:keepNext w:val="0"/>
              <w:keepLines w:val="0"/>
              <w:widowControl/>
              <w:suppressLineNumbers w:val="0"/>
              <w:jc w:val="left"/>
              <w:textAlignment w:val="center"/>
              <w:rPr>
                <w:rStyle w:val="10"/>
                <w:lang w:val="en-US" w:eastAsia="zh-CN"/>
              </w:rPr>
            </w:pPr>
            <w:r>
              <w:rPr>
                <w:rStyle w:val="10"/>
                <w:lang w:val="en-US" w:eastAsia="zh-CN"/>
              </w:rPr>
              <w:t>社会公众或服务对象是指部门履行职责而影响到的部门、群体或个人。一般采取社会调查的方式</w:t>
            </w:r>
            <w:r>
              <w:rPr>
                <w:rStyle w:val="11"/>
                <w:rFonts w:eastAsia="宋体"/>
                <w:lang w:val="en-US" w:eastAsia="zh-CN"/>
              </w:rPr>
              <w:t>(</w:t>
            </w:r>
            <w:r>
              <w:rPr>
                <w:rStyle w:val="10"/>
                <w:lang w:val="en-US" w:eastAsia="zh-CN"/>
              </w:rPr>
              <w:t>不少于</w:t>
            </w:r>
            <w:r>
              <w:rPr>
                <w:rStyle w:val="11"/>
                <w:rFonts w:eastAsia="宋体"/>
                <w:lang w:val="en-US" w:eastAsia="zh-CN"/>
              </w:rPr>
              <w:t>30</w:t>
            </w:r>
            <w:r>
              <w:rPr>
                <w:rStyle w:val="10"/>
                <w:lang w:val="en-US" w:eastAsia="zh-CN"/>
              </w:rPr>
              <w:t>份</w:t>
            </w:r>
            <w:r>
              <w:rPr>
                <w:rStyle w:val="11"/>
                <w:rFonts w:eastAsia="宋体"/>
                <w:lang w:val="en-US" w:eastAsia="zh-CN"/>
              </w:rPr>
              <w:t>)</w:t>
            </w:r>
            <w:r>
              <w:rPr>
                <w:rStyle w:val="10"/>
                <w:lang w:val="en-US" w:eastAsia="zh-CN"/>
              </w:rPr>
              <w:t>。</w:t>
            </w:r>
          </w:p>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Style w:val="10"/>
                <w:lang w:val="en-US" w:eastAsia="zh-CN"/>
              </w:rPr>
              <w:t>该项得分</w:t>
            </w:r>
            <w:r>
              <w:rPr>
                <w:rStyle w:val="11"/>
                <w:rFonts w:eastAsia="宋体"/>
                <w:lang w:val="en-US" w:eastAsia="zh-CN"/>
              </w:rPr>
              <w:t>=</w:t>
            </w:r>
            <w:r>
              <w:rPr>
                <w:rStyle w:val="10"/>
                <w:lang w:val="en-US" w:eastAsia="zh-CN"/>
              </w:rPr>
              <w:t>满意率</w:t>
            </w:r>
            <w:r>
              <w:rPr>
                <w:rStyle w:val="11"/>
                <w:rFonts w:eastAsia="宋体"/>
                <w:lang w:val="en-US" w:eastAsia="zh-CN"/>
              </w:rPr>
              <w:t>×8</w:t>
            </w:r>
            <w:r>
              <w:rPr>
                <w:rStyle w:val="10"/>
                <w:lang w:val="en-US" w:eastAsia="zh-CN"/>
              </w:rPr>
              <w:t>分。</w:t>
            </w:r>
          </w:p>
        </w:tc>
        <w:tc>
          <w:tcPr>
            <w:tcW w:w="2115" w:type="dxa"/>
            <w:tcBorders>
              <w:tl2br w:val="nil"/>
              <w:tr2bl w:val="nil"/>
            </w:tcBorders>
            <w:vAlign w:val="center"/>
          </w:tcPr>
          <w:p>
            <w:pPr>
              <w:jc w:val="left"/>
              <w:rPr>
                <w:rFonts w:hint="eastAsia" w:ascii="宋体" w:hAnsi="宋体" w:eastAsia="宋体" w:cs="宋体"/>
                <w:i w:val="0"/>
                <w:iCs w:val="0"/>
                <w:color w:val="000000"/>
                <w:sz w:val="18"/>
                <w:szCs w:val="18"/>
                <w:u w:val="none"/>
              </w:rPr>
            </w:pPr>
            <w:bookmarkStart w:id="0" w:name="_GoBack"/>
            <w:bookmarkEnd w:id="0"/>
          </w:p>
        </w:tc>
        <w:tc>
          <w:tcPr>
            <w:tcW w:w="586" w:type="dxa"/>
            <w:tcBorders>
              <w:tl2br w:val="nil"/>
              <w:tr2bl w:val="nil"/>
            </w:tcBorders>
            <w:vAlign w:val="center"/>
          </w:tcPr>
          <w:p>
            <w:pPr>
              <w:jc w:val="left"/>
              <w:rPr>
                <w:rFonts w:hint="default" w:ascii="Times New Roman" w:hAnsi="Times New Roman" w:eastAsia="宋体" w:cs="Times New Roman"/>
                <w:i w:val="0"/>
                <w:iCs w:val="0"/>
                <w:color w:val="000000"/>
                <w:sz w:val="18"/>
                <w:szCs w:val="18"/>
                <w:u w:val="none"/>
                <w:lang w:val="en-US" w:eastAsia="zh-CN"/>
              </w:rPr>
            </w:pPr>
            <w:r>
              <w:rPr>
                <w:rFonts w:hint="eastAsia" w:ascii="Times New Roman" w:hAnsi="Times New Roman" w:cs="Times New Roman"/>
                <w:i w:val="0"/>
                <w:iCs w:val="0"/>
                <w:color w:val="000000"/>
                <w:sz w:val="18"/>
                <w:szCs w:val="18"/>
                <w:u w:val="none"/>
                <w:lang w:val="en-US" w:eastAsia="zh-CN"/>
              </w:rPr>
              <w:t>7.6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60" w:hRule="atLeast"/>
          <w:jc w:val="center"/>
        </w:trPr>
        <w:tc>
          <w:tcPr>
            <w:tcW w:w="0" w:type="auto"/>
            <w:gridSpan w:val="3"/>
            <w:tcBorders>
              <w:tl2br w:val="nil"/>
              <w:tr2bl w:val="nil"/>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Style w:val="12"/>
                <w:lang w:val="en-US" w:eastAsia="zh-CN"/>
              </w:rPr>
              <w:t>合</w:t>
            </w:r>
            <w:r>
              <w:rPr>
                <w:rStyle w:val="13"/>
                <w:rFonts w:eastAsia="宋体"/>
                <w:lang w:val="en-US" w:eastAsia="zh-CN"/>
              </w:rPr>
              <w:t xml:space="preserve">  </w:t>
            </w:r>
            <w:r>
              <w:rPr>
                <w:rStyle w:val="12"/>
                <w:lang w:val="en-US" w:eastAsia="zh-CN"/>
              </w:rPr>
              <w:t>计</w:t>
            </w:r>
          </w:p>
        </w:tc>
        <w:tc>
          <w:tcPr>
            <w:tcW w:w="0" w:type="auto"/>
            <w:tcBorders>
              <w:tl2br w:val="nil"/>
              <w:tr2bl w:val="nil"/>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rPr>
              <w:t>100</w:t>
            </w:r>
          </w:p>
        </w:tc>
        <w:tc>
          <w:tcPr>
            <w:tcW w:w="0" w:type="auto"/>
            <w:tcBorders>
              <w:tl2br w:val="nil"/>
              <w:tr2bl w:val="nil"/>
            </w:tcBorders>
            <w:noWrap/>
            <w:vAlign w:val="center"/>
          </w:tcPr>
          <w:p>
            <w:pPr>
              <w:rPr>
                <w:rFonts w:hint="default" w:ascii="Times New Roman" w:hAnsi="Times New Roman" w:eastAsia="宋体" w:cs="Times New Roman"/>
                <w:i w:val="0"/>
                <w:iCs w:val="0"/>
                <w:color w:val="000000"/>
                <w:sz w:val="18"/>
                <w:szCs w:val="18"/>
                <w:u w:val="none"/>
              </w:rPr>
            </w:pPr>
          </w:p>
        </w:tc>
        <w:tc>
          <w:tcPr>
            <w:tcW w:w="0" w:type="auto"/>
            <w:tcBorders>
              <w:tl2br w:val="nil"/>
              <w:tr2bl w:val="nil"/>
            </w:tcBorders>
            <w:noWrap/>
            <w:vAlign w:val="center"/>
          </w:tcPr>
          <w:p>
            <w:pPr>
              <w:jc w:val="both"/>
              <w:rPr>
                <w:rFonts w:hint="default" w:ascii="Times New Roman" w:hAnsi="Times New Roman" w:eastAsia="宋体" w:cs="Times New Roman"/>
                <w:i w:val="0"/>
                <w:iCs w:val="0"/>
                <w:color w:val="000000"/>
                <w:sz w:val="18"/>
                <w:szCs w:val="18"/>
                <w:u w:val="none"/>
              </w:rPr>
            </w:pPr>
          </w:p>
        </w:tc>
        <w:tc>
          <w:tcPr>
            <w:tcW w:w="0" w:type="auto"/>
            <w:tcBorders>
              <w:tl2br w:val="nil"/>
              <w:tr2bl w:val="nil"/>
            </w:tcBorders>
            <w:noWrap/>
            <w:vAlign w:val="center"/>
          </w:tcPr>
          <w:p>
            <w:pPr>
              <w:jc w:val="both"/>
              <w:rPr>
                <w:rFonts w:hint="default" w:ascii="Times New Roman" w:hAnsi="Times New Roman" w:eastAsia="宋体" w:cs="Times New Roman"/>
                <w:i w:val="0"/>
                <w:iCs w:val="0"/>
                <w:color w:val="000000"/>
                <w:sz w:val="18"/>
                <w:szCs w:val="18"/>
                <w:u w:val="none"/>
              </w:rPr>
            </w:pPr>
          </w:p>
        </w:tc>
        <w:tc>
          <w:tcPr>
            <w:tcW w:w="0" w:type="auto"/>
            <w:tcBorders>
              <w:tl2br w:val="nil"/>
              <w:tr2bl w:val="nil"/>
            </w:tcBorders>
            <w:noWrap/>
            <w:vAlign w:val="center"/>
          </w:tcPr>
          <w:p>
            <w:pPr>
              <w:jc w:val="both"/>
              <w:rPr>
                <w:rFonts w:hint="default"/>
                <w:lang w:val="en-US" w:eastAsia="zh-CN"/>
              </w:rPr>
            </w:pPr>
            <w:r>
              <w:rPr>
                <w:rFonts w:hint="eastAsia" w:ascii="Times New Roman" w:hAnsi="Times New Roman" w:cs="Times New Roman"/>
                <w:i w:val="0"/>
                <w:iCs w:val="0"/>
                <w:color w:val="000000"/>
                <w:sz w:val="18"/>
                <w:szCs w:val="18"/>
                <w:u w:val="none"/>
                <w:lang w:val="en-US" w:eastAsia="zh-CN"/>
              </w:rPr>
              <w:t>98.8</w:t>
            </w:r>
          </w:p>
        </w:tc>
      </w:tr>
    </w:tbl>
    <w:p>
      <w:pPr>
        <w:adjustRightInd w:val="0"/>
        <w:spacing w:line="600" w:lineRule="exact"/>
        <w:ind w:right="641"/>
        <w:rPr>
          <w:rFonts w:hint="eastAsia" w:ascii="黑体" w:eastAsia="黑体"/>
          <w:sz w:val="32"/>
          <w:szCs w:val="32"/>
        </w:rPr>
        <w:sectPr>
          <w:pgSz w:w="16837" w:h="11905" w:orient="landscape"/>
          <w:pgMar w:top="1417" w:right="1417" w:bottom="1417" w:left="1417" w:header="0" w:footer="0" w:gutter="0"/>
          <w:pgNumType w:start="1"/>
          <w:cols w:space="0" w:num="1"/>
          <w:rtlGutter w:val="0"/>
          <w:docGrid w:linePitch="636" w:charSpace="0"/>
        </w:sectPr>
      </w:pPr>
    </w:p>
    <w:p>
      <w:pPr>
        <w:tabs>
          <w:tab w:val="left" w:pos="3207"/>
        </w:tabs>
        <w:bidi w:val="0"/>
        <w:jc w:val="left"/>
        <w:rPr>
          <w:lang w:val="en-US" w:eastAsia="zh-CN"/>
        </w:rPr>
      </w:pPr>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7A"/>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000010101"/>
    <w:charset w:val="86"/>
    <w:family w:val="modern"/>
    <w:pitch w:val="default"/>
    <w:sig w:usb0="00000000" w:usb1="00000000" w:usb2="00000000" w:usb3="00000000" w:csb0="00040000" w:csb1="00000000"/>
  </w:font>
  <w:font w:name="方正小标宋简体">
    <w:altName w:val="黑体"/>
    <w:panose1 w:val="03000509000000000000"/>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liN2E0NDU4NTE1M2MwMmJhYzdiZGI4YzMzY2ZmZjQifQ=="/>
    <w:docVar w:name="KSO_WPS_MARK_KEY" w:val="2369e29f-b346-4d8f-ad02-66ade5fbc1fd"/>
  </w:docVars>
  <w:rsids>
    <w:rsidRoot w:val="5B242C77"/>
    <w:rsid w:val="06624721"/>
    <w:rsid w:val="26D66A8B"/>
    <w:rsid w:val="28C36E49"/>
    <w:rsid w:val="33287ED6"/>
    <w:rsid w:val="38E5105E"/>
    <w:rsid w:val="53EA4E40"/>
    <w:rsid w:val="5B242C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7">
    <w:name w:val="Default Paragraph Font"/>
    <w:semiHidden/>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First Indent 2"/>
    <w:basedOn w:val="3"/>
    <w:qFormat/>
    <w:uiPriority w:val="0"/>
    <w:pPr>
      <w:ind w:firstLine="420" w:firstLineChars="200"/>
    </w:pPr>
  </w:style>
  <w:style w:type="paragraph" w:styleId="3">
    <w:name w:val="Body Text Indent"/>
    <w:basedOn w:val="1"/>
    <w:qFormat/>
    <w:uiPriority w:val="0"/>
    <w:pPr>
      <w:ind w:firstLine="640"/>
    </w:pPr>
    <w:rPr>
      <w:rFonts w:ascii="仿宋_GB2312" w:eastAsia="仿宋_GB2312"/>
      <w:bCs/>
      <w:sz w:val="32"/>
      <w:szCs w:val="32"/>
    </w:rPr>
  </w:style>
  <w:style w:type="paragraph" w:styleId="4">
    <w:name w:val="footer"/>
    <w:basedOn w:val="1"/>
    <w:qFormat/>
    <w:uiPriority w:val="99"/>
    <w:pPr>
      <w:tabs>
        <w:tab w:val="center" w:pos="4153"/>
        <w:tab w:val="right" w:pos="8306"/>
      </w:tabs>
      <w:snapToGrid w:val="0"/>
      <w:jc w:val="left"/>
    </w:pPr>
    <w:rPr>
      <w:sz w:val="18"/>
      <w:szCs w:val="18"/>
    </w:rPr>
  </w:style>
  <w:style w:type="paragraph" w:styleId="5">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customStyle="1" w:styleId="8">
    <w:name w:val="font41"/>
    <w:basedOn w:val="7"/>
    <w:qFormat/>
    <w:uiPriority w:val="0"/>
    <w:rPr>
      <w:rFonts w:hint="eastAsia" w:ascii="宋体" w:hAnsi="宋体" w:eastAsia="宋体" w:cs="宋体"/>
      <w:color w:val="000000"/>
      <w:sz w:val="18"/>
      <w:szCs w:val="18"/>
      <w:u w:val="none"/>
    </w:rPr>
  </w:style>
  <w:style w:type="character" w:customStyle="1" w:styleId="9">
    <w:name w:val="font51"/>
    <w:basedOn w:val="7"/>
    <w:qFormat/>
    <w:uiPriority w:val="0"/>
    <w:rPr>
      <w:rFonts w:hint="default" w:ascii="Times New Roman" w:hAnsi="Times New Roman" w:cs="Times New Roman"/>
      <w:color w:val="000000"/>
      <w:sz w:val="18"/>
      <w:szCs w:val="18"/>
      <w:u w:val="none"/>
    </w:rPr>
  </w:style>
  <w:style w:type="character" w:customStyle="1" w:styleId="10">
    <w:name w:val="font71"/>
    <w:basedOn w:val="7"/>
    <w:qFormat/>
    <w:uiPriority w:val="0"/>
    <w:rPr>
      <w:rFonts w:hint="eastAsia" w:ascii="宋体" w:hAnsi="宋体" w:eastAsia="宋体" w:cs="宋体"/>
      <w:color w:val="000000"/>
      <w:sz w:val="18"/>
      <w:szCs w:val="18"/>
      <w:u w:val="none"/>
    </w:rPr>
  </w:style>
  <w:style w:type="character" w:customStyle="1" w:styleId="11">
    <w:name w:val="font61"/>
    <w:basedOn w:val="7"/>
    <w:qFormat/>
    <w:uiPriority w:val="0"/>
    <w:rPr>
      <w:rFonts w:hint="default" w:ascii="Times New Roman" w:hAnsi="Times New Roman" w:cs="Times New Roman"/>
      <w:color w:val="000000"/>
      <w:sz w:val="18"/>
      <w:szCs w:val="18"/>
      <w:u w:val="none"/>
    </w:rPr>
  </w:style>
  <w:style w:type="character" w:customStyle="1" w:styleId="12">
    <w:name w:val="font11"/>
    <w:basedOn w:val="7"/>
    <w:qFormat/>
    <w:uiPriority w:val="0"/>
    <w:rPr>
      <w:rFonts w:hint="eastAsia" w:ascii="宋体" w:hAnsi="宋体" w:eastAsia="宋体" w:cs="宋体"/>
      <w:color w:val="000000"/>
      <w:sz w:val="18"/>
      <w:szCs w:val="18"/>
      <w:u w:val="none"/>
    </w:rPr>
  </w:style>
  <w:style w:type="character" w:customStyle="1" w:styleId="13">
    <w:name w:val="font81"/>
    <w:basedOn w:val="7"/>
    <w:qFormat/>
    <w:uiPriority w:val="0"/>
    <w:rPr>
      <w:rFonts w:hint="default" w:ascii="Times New Roman" w:hAnsi="Times New Roman" w:cs="Times New Roman"/>
      <w:color w:val="000000"/>
      <w:sz w:val="18"/>
      <w:szCs w:val="18"/>
      <w:u w:val="non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5521</Words>
  <Characters>5725</Characters>
  <Lines>0</Lines>
  <Paragraphs>0</Paragraphs>
  <TotalTime>4</TotalTime>
  <ScaleCrop>false</ScaleCrop>
  <LinksUpToDate>false</LinksUpToDate>
  <CharactersWithSpaces>5760</CharactersWithSpaces>
  <Application>WPS Office_11.1.0.15319_F1E327BC-269C-435d-A152-05C5408002CA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2024-03-14T08:09:00Z</dcterms:created>
  <dc:creator>甲乙丙钉</dc:creator>
  <cp:lastModifiedBy>Nice</cp:lastModifiedBy>
  <dcterms:modified xsi:type="dcterms:W3CDTF">2024-07-20T01:59:17Z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2052-11.1.0.15319</vt:lpwstr>
  </property>
  <property fmtid="{D5CDD505-2E9C-101B-9397-08002B2CF9AE}" pid="3" name="ICV">
    <vt:lpwstr>1796E726164146A7ACE6FA16E72C2505_11</vt:lpwstr>
  </property>
</Properties>
</file>