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4"/>
        </w:rPr>
      </w:pPr>
    </w:p>
    <w:p>
      <w:pPr>
        <w:jc w:val="center"/>
        <w:rPr>
          <w:rFonts w:hint="eastAsia"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lang w:val="en-US" w:eastAsia="zh-CN"/>
        </w:rPr>
        <w:t>21</w:t>
      </w:r>
      <w:r>
        <w:rPr>
          <w:rFonts w:hint="eastAsia" w:ascii="宋体" w:hAnsi="宋体"/>
          <w:sz w:val="44"/>
          <w:szCs w:val="44"/>
        </w:rPr>
        <w:t xml:space="preserve">年度部门整体支出绩效自评报告   </w:t>
      </w:r>
    </w:p>
    <w:p>
      <w:pPr>
        <w:jc w:val="center"/>
        <w:rPr>
          <w:rFonts w:hint="eastAsia" w:ascii="宋体" w:hAnsi="宋体"/>
          <w:sz w:val="44"/>
          <w:szCs w:val="44"/>
        </w:rPr>
      </w:pPr>
      <w:r>
        <w:rPr>
          <w:rFonts w:hint="eastAsia" w:ascii="宋体" w:hAnsi="宋体"/>
          <w:sz w:val="44"/>
          <w:szCs w:val="44"/>
        </w:rPr>
        <w:t>（封面）</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sz w:val="36"/>
          <w:lang w:val="en-US" w:eastAsia="zh-CN"/>
        </w:rPr>
        <w:t xml:space="preserve">    </w:t>
      </w:r>
      <w:r>
        <w:rPr>
          <w:rFonts w:hint="eastAsia"/>
          <w:b/>
          <w:bCs/>
          <w:sz w:val="32"/>
          <w:szCs w:val="32"/>
        </w:rPr>
        <w:t xml:space="preserve">自评单位：  </w:t>
      </w:r>
      <w:r>
        <w:rPr>
          <w:rFonts w:hint="eastAsia"/>
          <w:b/>
          <w:bCs/>
          <w:sz w:val="32"/>
          <w:szCs w:val="32"/>
          <w:u w:val="single"/>
          <w:lang w:eastAsia="zh-CN"/>
        </w:rPr>
        <w:t>邵阳县黄亭市镇人民政府</w:t>
      </w:r>
      <w:r>
        <w:rPr>
          <w:rFonts w:hint="eastAsia"/>
          <w:bCs/>
          <w:sz w:val="32"/>
          <w:szCs w:val="32"/>
        </w:rPr>
        <w:t>（单位公章）</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　</w:t>
      </w:r>
      <w:r>
        <w:rPr>
          <w:rFonts w:hint="eastAsia" w:ascii="楷体" w:hAnsi="楷体" w:eastAsia="楷体" w:cs="楷体"/>
          <w:sz w:val="36"/>
          <w:lang w:val="en-US" w:eastAsia="zh-CN"/>
        </w:rPr>
        <w:t>2022</w:t>
      </w:r>
      <w:r>
        <w:rPr>
          <w:rFonts w:hint="eastAsia" w:ascii="楷体" w:hAnsi="楷体" w:eastAsia="楷体" w:cs="楷体"/>
          <w:sz w:val="36"/>
        </w:rPr>
        <w:t>　年　</w:t>
      </w:r>
      <w:r>
        <w:rPr>
          <w:rFonts w:hint="eastAsia" w:ascii="楷体" w:hAnsi="楷体" w:eastAsia="楷体" w:cs="楷体"/>
          <w:sz w:val="36"/>
          <w:lang w:val="en-US" w:eastAsia="zh-CN"/>
        </w:rPr>
        <w:t>02</w:t>
      </w:r>
      <w:r>
        <w:rPr>
          <w:rFonts w:hint="eastAsia" w:ascii="楷体" w:hAnsi="楷体" w:eastAsia="楷体" w:cs="楷体"/>
          <w:sz w:val="36"/>
        </w:rPr>
        <w:t>　月　</w:t>
      </w:r>
      <w:r>
        <w:rPr>
          <w:rFonts w:hint="eastAsia" w:ascii="楷体" w:hAnsi="楷体" w:eastAsia="楷体" w:cs="楷体"/>
          <w:sz w:val="36"/>
          <w:lang w:val="en-US" w:eastAsia="zh-CN"/>
        </w:rPr>
        <w:t>18</w:t>
      </w:r>
      <w:r>
        <w:rPr>
          <w:rFonts w:hint="eastAsia" w:ascii="楷体" w:hAnsi="楷体" w:eastAsia="楷体" w:cs="楷体"/>
          <w:sz w:val="36"/>
        </w:rPr>
        <w:t>　日</w:t>
      </w:r>
    </w:p>
    <w:p>
      <w:pPr>
        <w:jc w:val="left"/>
        <w:rPr>
          <w:rFonts w:hint="eastAsia" w:ascii="黑体" w:hAnsi="黑体" w:eastAsia="黑体" w:cs="黑体"/>
          <w:sz w:val="32"/>
          <w:szCs w:val="32"/>
        </w:rPr>
      </w:pPr>
    </w:p>
    <w:p/>
    <w:p/>
    <w:p/>
    <w:p/>
    <w:p/>
    <w:p/>
    <w:p/>
    <w:p/>
    <w:p>
      <w:pPr>
        <w:adjustRightInd w:val="0"/>
        <w:spacing w:line="600" w:lineRule="exact"/>
        <w:ind w:right="641"/>
        <w:jc w:val="center"/>
        <w:rPr>
          <w:rFonts w:eastAsia="方正小标宋_GBK"/>
          <w:sz w:val="36"/>
          <w:szCs w:val="36"/>
        </w:rPr>
      </w:pPr>
      <w:r>
        <w:rPr>
          <w:rFonts w:hint="eastAsia" w:eastAsia="方正小标宋_GBK"/>
          <w:sz w:val="36"/>
          <w:szCs w:val="36"/>
          <w:lang w:val="en-US" w:eastAsia="zh-CN"/>
        </w:rPr>
        <w:t>2021年黄亭市镇</w:t>
      </w:r>
      <w:r>
        <w:rPr>
          <w:rFonts w:hint="eastAsia" w:eastAsia="方正小标宋_GBK"/>
          <w:sz w:val="36"/>
          <w:szCs w:val="36"/>
        </w:rPr>
        <w:t>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部门</w:t>
      </w:r>
      <w:r>
        <w:rPr>
          <w:rFonts w:eastAsia="仿宋_GB2312"/>
          <w:sz w:val="32"/>
          <w:szCs w:val="32"/>
        </w:rPr>
        <w:t>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根据《宪法》和《预算》规定，邵阳县黄亭市镇人民政府依法履行下列职能职责：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（1）执行上级国家行政机关的决定，命令和国家制定的法令，法规，接受同级党委的领导，执行本级人民代表大会的各项决议，并报告执行决议、决定和命令的情况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（2）制定并落实本行政区域的经济计划和措施，促进产业结构调整及其他经济保持平衡发展，全面提高人民群众的生活水平和生活质量.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（3）加强镇级财政的监督和管理，按计划组织，管理镇财政收入和支出，执行国家有关财经纪律和政策，保证国家财政收入的完成；做好统计工作。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（4）协助和支持设置在本行政区域内不隶属于镇的国家机关和企事业单位工作，监督其遵守和执行国家的法律、法规和政策。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（5）承办县人民政府交办的其他事项。</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eastAsia="zh-CN"/>
        </w:rPr>
        <w:t>目前黄亭市镇人民政府编制数</w:t>
      </w:r>
      <w:r>
        <w:rPr>
          <w:rFonts w:hint="eastAsia" w:eastAsia="仿宋_GB2312"/>
          <w:sz w:val="32"/>
          <w:szCs w:val="32"/>
          <w:lang w:val="en-US" w:eastAsia="zh-CN"/>
        </w:rPr>
        <w:t>122人，实有人数129人，其中：行政编制42人，实有在编42人；综合行政执法大队编制数18名、实有在编18名；社会事务综合服务中心编制数23名、实有在编23名；政务（便民）服务中心编制数11名、实有在编11名；农业综合服务中心编制数25名、实有在编25名；退役军人服务站编制数3名、实有在编3名；临聘人员（原劳服站、财政所）4人，临时工（安监站）3人。</w:t>
      </w:r>
    </w:p>
    <w:p>
      <w:pPr>
        <w:numPr>
          <w:ilvl w:val="0"/>
          <w:numId w:val="1"/>
        </w:numPr>
        <w:adjustRightInd w:val="0"/>
        <w:snapToGrid w:val="0"/>
        <w:spacing w:line="600" w:lineRule="exact"/>
        <w:ind w:firstLine="640" w:firstLineChars="200"/>
        <w:rPr>
          <w:rFonts w:eastAsia="仿宋_GB2312"/>
          <w:sz w:val="32"/>
          <w:szCs w:val="32"/>
        </w:rPr>
      </w:pPr>
      <w:r>
        <w:rPr>
          <w:rFonts w:hint="eastAsia" w:eastAsia="仿宋_GB2312"/>
          <w:sz w:val="32"/>
          <w:szCs w:val="32"/>
        </w:rPr>
        <w:t>部门整体支出规模、使用方向</w:t>
      </w:r>
      <w:r>
        <w:rPr>
          <w:rFonts w:eastAsia="仿宋_GB2312"/>
          <w:sz w:val="32"/>
          <w:szCs w:val="32"/>
        </w:rPr>
        <w:t>和主要内容、涉及范围等。</w:t>
      </w:r>
    </w:p>
    <w:p>
      <w:pPr>
        <w:widowControl w:val="0"/>
        <w:numPr>
          <w:ilvl w:val="0"/>
          <w:numId w:val="0"/>
        </w:numPr>
        <w:adjustRightInd w:val="0"/>
        <w:snapToGrid w:val="0"/>
        <w:spacing w:line="600" w:lineRule="exact"/>
        <w:ind w:firstLine="640" w:firstLineChars="200"/>
        <w:jc w:val="both"/>
        <w:rPr>
          <w:rFonts w:eastAsia="仿宋_GB2312"/>
          <w:sz w:val="32"/>
          <w:szCs w:val="32"/>
        </w:rPr>
      </w:pPr>
      <w:r>
        <w:rPr>
          <w:rFonts w:hint="eastAsia" w:eastAsia="仿宋_GB2312"/>
          <w:sz w:val="32"/>
          <w:szCs w:val="32"/>
          <w:lang w:eastAsia="zh-CN"/>
        </w:rPr>
        <w:t>黄亭市镇</w:t>
      </w:r>
      <w:r>
        <w:rPr>
          <w:rFonts w:hint="eastAsia" w:eastAsia="仿宋_GB2312"/>
          <w:sz w:val="32"/>
          <w:szCs w:val="32"/>
          <w:lang w:val="en-US" w:eastAsia="zh-CN"/>
        </w:rPr>
        <w:t>2021年整体支出2739.18万元，其中工资性支出1458.58万元、商品及服务支出1238.95万元、对个人及家庭补助支出41.65万元。</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（一）预算执行情况</w:t>
      </w:r>
    </w:p>
    <w:p>
      <w:pPr>
        <w:spacing w:line="560" w:lineRule="exact"/>
        <w:ind w:firstLine="614" w:firstLineChars="192"/>
        <w:rPr>
          <w:rFonts w:hint="eastAsia" w:ascii="宋体" w:hAnsi="宋体" w:cs="宋体"/>
          <w:sz w:val="32"/>
          <w:szCs w:val="32"/>
        </w:rPr>
      </w:pPr>
      <w:r>
        <w:rPr>
          <w:rFonts w:hint="eastAsia" w:eastAsia="仿宋_GB2312"/>
          <w:sz w:val="32"/>
          <w:szCs w:val="32"/>
          <w:lang w:eastAsia="zh-CN"/>
        </w:rPr>
        <w:t>黄亭市镇202</w:t>
      </w:r>
      <w:r>
        <w:rPr>
          <w:rFonts w:hint="eastAsia" w:eastAsia="仿宋_GB2312"/>
          <w:sz w:val="32"/>
          <w:szCs w:val="32"/>
          <w:lang w:val="en-US" w:eastAsia="zh-CN"/>
        </w:rPr>
        <w:t>1</w:t>
      </w:r>
      <w:r>
        <w:rPr>
          <w:rFonts w:hint="eastAsia" w:eastAsia="仿宋_GB2312"/>
          <w:sz w:val="32"/>
          <w:szCs w:val="32"/>
          <w:lang w:eastAsia="zh-CN"/>
        </w:rPr>
        <w:t>年年初预算为</w:t>
      </w:r>
      <w:r>
        <w:rPr>
          <w:rFonts w:hint="eastAsia" w:eastAsia="仿宋_GB2312"/>
          <w:sz w:val="32"/>
          <w:szCs w:val="32"/>
          <w:lang w:val="en-US" w:eastAsia="zh-CN"/>
        </w:rPr>
        <w:t>1592.21</w:t>
      </w:r>
      <w:r>
        <w:rPr>
          <w:rFonts w:hint="eastAsia" w:eastAsia="仿宋_GB2312"/>
          <w:sz w:val="32"/>
          <w:szCs w:val="32"/>
          <w:lang w:eastAsia="zh-CN"/>
        </w:rPr>
        <w:t>万元，其中基本支出：工资福利支出</w:t>
      </w:r>
      <w:r>
        <w:rPr>
          <w:rFonts w:hint="eastAsia" w:eastAsia="仿宋_GB2312"/>
          <w:sz w:val="32"/>
          <w:szCs w:val="32"/>
          <w:lang w:val="en-US" w:eastAsia="zh-CN"/>
        </w:rPr>
        <w:t>1030.52</w:t>
      </w:r>
      <w:r>
        <w:rPr>
          <w:rFonts w:hint="eastAsia" w:eastAsia="仿宋_GB2312"/>
          <w:sz w:val="32"/>
          <w:szCs w:val="32"/>
          <w:lang w:eastAsia="zh-CN"/>
        </w:rPr>
        <w:t>万元，商品和服务支出</w:t>
      </w:r>
      <w:r>
        <w:rPr>
          <w:rFonts w:hint="eastAsia" w:eastAsia="仿宋_GB2312"/>
          <w:sz w:val="32"/>
          <w:szCs w:val="32"/>
          <w:lang w:val="en-US" w:eastAsia="zh-CN"/>
        </w:rPr>
        <w:t>428.71</w:t>
      </w:r>
      <w:r>
        <w:rPr>
          <w:rFonts w:hint="eastAsia" w:eastAsia="仿宋_GB2312"/>
          <w:sz w:val="32"/>
          <w:szCs w:val="32"/>
          <w:lang w:eastAsia="zh-CN"/>
        </w:rPr>
        <w:t>万元，对个人和家庭的补助</w:t>
      </w:r>
      <w:r>
        <w:rPr>
          <w:rFonts w:hint="eastAsia" w:eastAsia="仿宋_GB2312"/>
          <w:sz w:val="32"/>
          <w:szCs w:val="32"/>
          <w:lang w:val="en-US" w:eastAsia="zh-CN"/>
        </w:rPr>
        <w:t>42.98</w:t>
      </w:r>
      <w:r>
        <w:rPr>
          <w:rFonts w:hint="eastAsia" w:eastAsia="仿宋_GB2312"/>
          <w:sz w:val="32"/>
          <w:szCs w:val="32"/>
          <w:lang w:eastAsia="zh-CN"/>
        </w:rPr>
        <w:t>万元，专项经费支出</w:t>
      </w:r>
      <w:r>
        <w:rPr>
          <w:rFonts w:hint="eastAsia" w:eastAsia="仿宋_GB2312"/>
          <w:sz w:val="32"/>
          <w:szCs w:val="32"/>
          <w:lang w:val="en-US" w:eastAsia="zh-CN"/>
        </w:rPr>
        <w:t>0</w:t>
      </w:r>
      <w:r>
        <w:rPr>
          <w:rFonts w:hint="eastAsia" w:eastAsia="仿宋_GB2312"/>
          <w:sz w:val="32"/>
          <w:szCs w:val="32"/>
          <w:lang w:eastAsia="zh-CN"/>
        </w:rPr>
        <w:t>万元，</w:t>
      </w:r>
      <w:r>
        <w:rPr>
          <w:rFonts w:hint="eastAsia" w:eastAsia="仿宋_GB2312"/>
          <w:sz w:val="32"/>
          <w:szCs w:val="32"/>
          <w:lang w:val="en-US" w:eastAsia="zh-CN"/>
        </w:rPr>
        <w:t>非税收入返回90万元</w:t>
      </w:r>
      <w:r>
        <w:rPr>
          <w:rFonts w:hint="eastAsia" w:eastAsia="仿宋_GB2312"/>
          <w:sz w:val="32"/>
          <w:szCs w:val="32"/>
          <w:lang w:eastAsia="zh-CN"/>
        </w:rPr>
        <w:t>。</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（二）基本支出</w:t>
      </w:r>
    </w:p>
    <w:p>
      <w:pPr>
        <w:widowControl w:val="0"/>
        <w:numPr>
          <w:ilvl w:val="0"/>
          <w:numId w:val="0"/>
        </w:numPr>
        <w:adjustRightInd w:val="0"/>
        <w:snapToGrid w:val="0"/>
        <w:spacing w:line="600" w:lineRule="exact"/>
        <w:ind w:firstLine="640" w:firstLineChars="200"/>
        <w:jc w:val="both"/>
        <w:rPr>
          <w:rFonts w:eastAsia="仿宋_GB2312"/>
          <w:sz w:val="32"/>
          <w:szCs w:val="32"/>
        </w:rPr>
      </w:pPr>
      <w:r>
        <w:rPr>
          <w:rFonts w:hint="eastAsia" w:eastAsia="仿宋_GB2312"/>
          <w:sz w:val="32"/>
          <w:szCs w:val="32"/>
          <w:lang w:eastAsia="zh-CN"/>
        </w:rPr>
        <w:t>黄亭市镇</w:t>
      </w:r>
      <w:r>
        <w:rPr>
          <w:rFonts w:hint="eastAsia" w:eastAsia="仿宋_GB2312"/>
          <w:sz w:val="32"/>
          <w:szCs w:val="32"/>
          <w:lang w:val="en-US" w:eastAsia="zh-CN"/>
        </w:rPr>
        <w:t>2021年整体支出2739.18万元，其中工资性支出1458.58万元、商品及服务支出1238.95万元、对个人及家庭补助支出41.65万元。</w:t>
      </w:r>
    </w:p>
    <w:p>
      <w:pPr>
        <w:adjustRightInd w:val="0"/>
        <w:snapToGrid w:val="0"/>
        <w:spacing w:line="600" w:lineRule="exact"/>
        <w:rPr>
          <w:rFonts w:hint="default" w:eastAsia="仿宋_GB2312"/>
          <w:sz w:val="32"/>
          <w:szCs w:val="32"/>
          <w:lang w:val="en-US" w:eastAsia="zh-CN"/>
        </w:rPr>
      </w:pPr>
      <w:r>
        <w:rPr>
          <w:rFonts w:hint="eastAsia" w:ascii="楷体_GB2312" w:eastAsia="楷体_GB2312"/>
          <w:b/>
          <w:sz w:val="32"/>
          <w:szCs w:val="32"/>
          <w:lang w:val="en-US" w:eastAsia="zh-CN"/>
        </w:rPr>
        <w:t xml:space="preserve">   </w:t>
      </w:r>
      <w:r>
        <w:rPr>
          <w:rFonts w:hint="eastAsia" w:eastAsia="仿宋_GB2312"/>
          <w:sz w:val="32"/>
          <w:szCs w:val="32"/>
          <w:lang w:val="en-US" w:eastAsia="zh-CN"/>
        </w:rPr>
        <w:t>三公经费开支：公务接待经费</w:t>
      </w:r>
      <w:bookmarkStart w:id="0" w:name="_GoBack"/>
      <w:bookmarkEnd w:id="0"/>
      <w:r>
        <w:rPr>
          <w:rFonts w:hint="eastAsia" w:eastAsia="仿宋_GB2312"/>
          <w:sz w:val="32"/>
          <w:szCs w:val="32"/>
          <w:lang w:val="en-US" w:eastAsia="zh-CN"/>
        </w:rPr>
        <w:t>13.97万元、公车运行维护费0元、公务出国经费0元。严把三公经费开支，做到只减不增，逐年下降。</w:t>
      </w:r>
    </w:p>
    <w:p>
      <w:pPr>
        <w:numPr>
          <w:ilvl w:val="0"/>
          <w:numId w:val="1"/>
        </w:numPr>
        <w:adjustRightInd w:val="0"/>
        <w:snapToGrid w:val="0"/>
        <w:spacing w:line="600" w:lineRule="exact"/>
        <w:ind w:left="0" w:leftChars="0" w:firstLine="643" w:firstLineChars="200"/>
        <w:rPr>
          <w:rFonts w:hint="eastAsia" w:ascii="楷体_GB2312" w:eastAsia="楷体_GB2312"/>
          <w:b/>
          <w:sz w:val="32"/>
          <w:szCs w:val="32"/>
        </w:rPr>
      </w:pPr>
      <w:r>
        <w:rPr>
          <w:rFonts w:hint="eastAsia" w:ascii="楷体_GB2312" w:eastAsia="楷体_GB2312"/>
          <w:b/>
          <w:sz w:val="32"/>
          <w:szCs w:val="32"/>
        </w:rPr>
        <w:t>专项支出</w:t>
      </w:r>
    </w:p>
    <w:p>
      <w:pPr>
        <w:adjustRightInd w:val="0"/>
        <w:snapToGrid w:val="0"/>
        <w:spacing w:line="600" w:lineRule="exact"/>
        <w:ind w:firstLine="640" w:firstLineChars="200"/>
        <w:rPr>
          <w:rFonts w:hint="default" w:ascii="Calibri" w:hAnsi="Calibri" w:eastAsia="仿宋_GB2312" w:cs="Times New Roman"/>
          <w:sz w:val="32"/>
          <w:szCs w:val="32"/>
          <w:lang w:val="en-US" w:eastAsia="zh-CN"/>
        </w:rPr>
      </w:pPr>
      <w:r>
        <w:rPr>
          <w:rFonts w:hint="eastAsia" w:ascii="Calibri" w:hAnsi="Calibri" w:eastAsia="仿宋_GB2312" w:cs="Times New Roman"/>
          <w:sz w:val="32"/>
          <w:szCs w:val="32"/>
          <w:lang w:eastAsia="zh-CN"/>
        </w:rPr>
        <w:t>黄亭市镇无专项支出</w:t>
      </w:r>
      <w:r>
        <w:rPr>
          <w:rFonts w:hint="eastAsia" w:eastAsia="仿宋_GB2312" w:cs="Times New Roman"/>
          <w:sz w:val="32"/>
          <w:szCs w:val="32"/>
          <w:lang w:eastAsia="zh-CN"/>
        </w:rPr>
        <w:t>。</w:t>
      </w:r>
    </w:p>
    <w:p>
      <w:pPr>
        <w:adjustRightInd w:val="0"/>
        <w:snapToGrid w:val="0"/>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、资产管理情况</w:t>
      </w:r>
    </w:p>
    <w:p>
      <w:pPr>
        <w:numPr>
          <w:ilvl w:val="0"/>
          <w:numId w:val="0"/>
        </w:numPr>
        <w:adjustRightInd w:val="0"/>
        <w:snapToGrid w:val="0"/>
        <w:spacing w:line="600" w:lineRule="exact"/>
        <w:ind w:firstLine="960" w:firstLineChars="3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1、建立资产管理长效机制，严格落实职责分离政策，增强财务管理人员的责任意识，使管理人员和记账人员分工明确、责任清晰；</w:t>
      </w:r>
    </w:p>
    <w:p>
      <w:pPr>
        <w:numPr>
          <w:ilvl w:val="0"/>
          <w:numId w:val="0"/>
        </w:numPr>
        <w:adjustRightInd w:val="0"/>
        <w:snapToGrid w:val="0"/>
        <w:spacing w:line="600" w:lineRule="exact"/>
        <w:ind w:firstLine="960" w:firstLineChars="3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2、运用信息技术进行资产管理，以计算机等现代化工具加强对资产监控，把单位的资产管理和财务管理，资产的价值管理和实物管量结合起来，及时反映单位的资金动态，资产存量和变量情况，实现由静态管理向动态管理的转变。</w:t>
      </w:r>
    </w:p>
    <w:p>
      <w:pPr>
        <w:adjustRightInd w:val="0"/>
        <w:snapToGrid w:val="0"/>
        <w:spacing w:line="600" w:lineRule="exact"/>
        <w:ind w:firstLine="640" w:firstLineChars="200"/>
        <w:rPr>
          <w:rFonts w:hint="eastAsia" w:eastAsia="黑体"/>
          <w:sz w:val="32"/>
          <w:szCs w:val="32"/>
        </w:rPr>
      </w:pPr>
      <w:r>
        <w:rPr>
          <w:rFonts w:hint="eastAsia" w:eastAsia="黑体"/>
          <w:sz w:val="32"/>
          <w:szCs w:val="32"/>
          <w:lang w:eastAsia="zh-CN"/>
        </w:rPr>
        <w:t>四</w:t>
      </w:r>
      <w:r>
        <w:rPr>
          <w:rFonts w:eastAsia="黑体"/>
          <w:sz w:val="32"/>
          <w:szCs w:val="32"/>
        </w:rPr>
        <w:t>、</w:t>
      </w:r>
      <w:r>
        <w:rPr>
          <w:rFonts w:hint="eastAsia" w:eastAsia="黑体"/>
          <w:sz w:val="32"/>
          <w:szCs w:val="32"/>
        </w:rPr>
        <w:t>绩效评价工作情况</w:t>
      </w:r>
    </w:p>
    <w:p>
      <w:pPr>
        <w:adjustRightInd w:val="0"/>
        <w:snapToGrid w:val="0"/>
        <w:spacing w:line="600" w:lineRule="exact"/>
        <w:ind w:firstLine="640" w:firstLineChars="200"/>
        <w:rPr>
          <w:rFonts w:hint="eastAsia" w:ascii="Calibri" w:hAnsi="Calibri" w:eastAsia="仿宋_GB2312" w:cs="Times New Roman"/>
          <w:sz w:val="32"/>
          <w:szCs w:val="32"/>
          <w:lang w:eastAsia="zh-CN"/>
        </w:rPr>
      </w:pPr>
      <w:r>
        <w:rPr>
          <w:rFonts w:hint="eastAsia" w:ascii="Calibri" w:hAnsi="Calibri" w:eastAsia="仿宋_GB2312" w:cs="Times New Roman"/>
          <w:sz w:val="32"/>
          <w:szCs w:val="32"/>
          <w:lang w:eastAsia="zh-CN"/>
        </w:rPr>
        <w:t>严格按照规定使用资金，把好“支出关”，单位经费开支按预算和单位财务管理制度执行，基本支出做到不铺张浪费，开源节流，三公经费一年比一年下降。</w:t>
      </w:r>
    </w:p>
    <w:p>
      <w:pPr>
        <w:adjustRightInd w:val="0"/>
        <w:snapToGrid w:val="0"/>
        <w:spacing w:line="600" w:lineRule="exact"/>
        <w:ind w:firstLine="640" w:firstLineChars="200"/>
        <w:rPr>
          <w:rFonts w:hint="eastAsia" w:eastAsia="黑体"/>
          <w:sz w:val="32"/>
          <w:szCs w:val="32"/>
        </w:rPr>
      </w:pPr>
      <w:r>
        <w:rPr>
          <w:rFonts w:hint="eastAsia" w:ascii="Calibri" w:hAnsi="Calibri" w:eastAsia="仿宋_GB2312" w:cs="Times New Roman"/>
          <w:sz w:val="32"/>
          <w:szCs w:val="32"/>
          <w:lang w:eastAsia="zh-CN"/>
        </w:rPr>
        <w:t>严格按照规定公开预决算，主动接受社会公众监督，20</w:t>
      </w:r>
      <w:r>
        <w:rPr>
          <w:rFonts w:hint="eastAsia" w:ascii="Calibri" w:hAnsi="Calibri" w:eastAsia="仿宋_GB2312" w:cs="Times New Roman"/>
          <w:sz w:val="32"/>
          <w:szCs w:val="32"/>
          <w:lang w:val="en-US" w:eastAsia="zh-CN"/>
        </w:rPr>
        <w:t>21</w:t>
      </w:r>
      <w:r>
        <w:rPr>
          <w:rFonts w:hint="eastAsia" w:ascii="Calibri" w:hAnsi="Calibri" w:eastAsia="仿宋_GB2312" w:cs="Times New Roman"/>
          <w:sz w:val="32"/>
          <w:szCs w:val="32"/>
          <w:lang w:eastAsia="zh-CN"/>
        </w:rPr>
        <w:t>年度在网站上公开部门预算信息及单位整体财务情况，推进预决算等重要信息的公开透明。</w:t>
      </w:r>
    </w:p>
    <w:p>
      <w:pPr>
        <w:numPr>
          <w:ilvl w:val="0"/>
          <w:numId w:val="2"/>
        </w:numPr>
        <w:adjustRightInd w:val="0"/>
        <w:snapToGrid w:val="0"/>
        <w:spacing w:line="600" w:lineRule="exact"/>
        <w:ind w:firstLine="640" w:firstLineChars="200"/>
        <w:rPr>
          <w:rFonts w:hint="eastAsia" w:eastAsia="黑体"/>
          <w:sz w:val="32"/>
          <w:szCs w:val="32"/>
        </w:rPr>
      </w:pPr>
      <w:r>
        <w:rPr>
          <w:rFonts w:hint="eastAsia" w:eastAsia="黑体"/>
          <w:sz w:val="32"/>
          <w:szCs w:val="32"/>
        </w:rPr>
        <w:t>综合评价情况及评价结论</w:t>
      </w:r>
    </w:p>
    <w:p>
      <w:pPr>
        <w:numPr>
          <w:ilvl w:val="0"/>
          <w:numId w:val="0"/>
        </w:numPr>
        <w:adjustRightInd w:val="0"/>
        <w:snapToGrid w:val="0"/>
        <w:spacing w:line="600" w:lineRule="exact"/>
        <w:ind w:firstLine="640" w:firstLineChars="200"/>
        <w:rPr>
          <w:rFonts w:hint="eastAsia" w:eastAsia="黑体"/>
          <w:sz w:val="32"/>
          <w:szCs w:val="32"/>
        </w:rPr>
      </w:pPr>
      <w:r>
        <w:rPr>
          <w:rFonts w:hint="eastAsia" w:ascii="Calibri" w:hAnsi="Calibri" w:eastAsia="仿宋_GB2312" w:cs="Times New Roman"/>
          <w:sz w:val="32"/>
          <w:szCs w:val="32"/>
          <w:lang w:val="en-US" w:eastAsia="zh-CN"/>
        </w:rPr>
        <w:t>根据《部门整体支出绩效评价指标》规定的内容，经综合评价，2021年度整体支出绩效评为“良好”。</w:t>
      </w:r>
    </w:p>
    <w:p>
      <w:pPr>
        <w:numPr>
          <w:ilvl w:val="0"/>
          <w:numId w:val="2"/>
        </w:numPr>
        <w:adjustRightInd w:val="0"/>
        <w:snapToGrid w:val="0"/>
        <w:spacing w:line="600" w:lineRule="exact"/>
        <w:ind w:left="0" w:leftChars="0" w:firstLine="640" w:firstLineChars="200"/>
        <w:rPr>
          <w:rFonts w:eastAsia="黑体"/>
          <w:sz w:val="32"/>
          <w:szCs w:val="32"/>
        </w:rPr>
      </w:pPr>
      <w:r>
        <w:rPr>
          <w:rFonts w:hint="eastAsia" w:eastAsia="黑体"/>
          <w:sz w:val="32"/>
          <w:szCs w:val="32"/>
        </w:rPr>
        <w:t>部门整体支出主要</w:t>
      </w:r>
      <w:r>
        <w:rPr>
          <w:rFonts w:eastAsia="黑体"/>
          <w:sz w:val="32"/>
          <w:szCs w:val="32"/>
        </w:rPr>
        <w:t>绩效</w:t>
      </w:r>
    </w:p>
    <w:p>
      <w:pPr>
        <w:adjustRightInd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从部门整体支出绩效评价结果来看，单位预算编制科学，民主理财，重大财务事项经由集体研究决策，财务制度健全</w:t>
      </w:r>
      <w:r>
        <w:rPr>
          <w:rFonts w:hint="eastAsia" w:ascii="仿宋" w:hAnsi="仿宋" w:eastAsia="仿宋" w:cs="仿宋"/>
          <w:sz w:val="30"/>
          <w:szCs w:val="30"/>
          <w:lang w:eastAsia="zh-CN"/>
        </w:rPr>
        <w:t>；</w:t>
      </w:r>
      <w:r>
        <w:rPr>
          <w:rFonts w:hint="eastAsia" w:ascii="Calibri" w:hAnsi="Calibri" w:eastAsia="仿宋_GB2312" w:cs="Times New Roman"/>
          <w:sz w:val="32"/>
          <w:szCs w:val="32"/>
          <w:lang w:eastAsia="zh-CN"/>
        </w:rPr>
        <w:t>严把收支两条线，绝不坐支。</w:t>
      </w:r>
    </w:p>
    <w:p>
      <w:pPr>
        <w:adjustRightInd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1、进一步规范财务管理制度，狠抓“收入关”.全</w:t>
      </w:r>
      <w:r>
        <w:rPr>
          <w:rFonts w:hint="eastAsia" w:ascii="仿宋" w:hAnsi="仿宋" w:eastAsia="仿宋" w:cs="仿宋"/>
          <w:sz w:val="30"/>
          <w:szCs w:val="30"/>
          <w:lang w:eastAsia="zh-CN"/>
        </w:rPr>
        <w:t>场</w:t>
      </w:r>
      <w:r>
        <w:rPr>
          <w:rFonts w:hint="eastAsia" w:ascii="仿宋" w:hAnsi="仿宋" w:eastAsia="仿宋" w:cs="仿宋"/>
          <w:sz w:val="30"/>
          <w:szCs w:val="30"/>
        </w:rPr>
        <w:t>职工在单位领导的带领下，</w:t>
      </w:r>
      <w:r>
        <w:rPr>
          <w:rFonts w:hint="eastAsia" w:ascii="仿宋" w:hAnsi="仿宋" w:eastAsia="仿宋" w:cs="仿宋"/>
          <w:sz w:val="30"/>
          <w:szCs w:val="30"/>
          <w:lang w:eastAsia="zh-CN"/>
        </w:rPr>
        <w:t>以</w:t>
      </w:r>
      <w:r>
        <w:rPr>
          <w:rFonts w:hint="eastAsia" w:ascii="仿宋" w:hAnsi="仿宋" w:eastAsia="仿宋" w:cs="仿宋"/>
          <w:sz w:val="30"/>
          <w:szCs w:val="30"/>
        </w:rPr>
        <w:t>服务为中心，全心全意地投入到工作中，</w:t>
      </w:r>
      <w:r>
        <w:rPr>
          <w:rFonts w:hint="eastAsia" w:ascii="仿宋" w:hAnsi="仿宋" w:eastAsia="仿宋" w:cs="仿宋"/>
          <w:sz w:val="30"/>
          <w:szCs w:val="30"/>
          <w:lang w:eastAsia="zh-CN"/>
        </w:rPr>
        <w:t>各项收入</w:t>
      </w:r>
      <w:r>
        <w:rPr>
          <w:rFonts w:hint="eastAsia" w:ascii="仿宋" w:hAnsi="仿宋" w:eastAsia="仿宋" w:cs="仿宋"/>
          <w:sz w:val="30"/>
          <w:szCs w:val="30"/>
        </w:rPr>
        <w:t>有了很大的起色。</w:t>
      </w:r>
    </w:p>
    <w:p>
      <w:pPr>
        <w:adjustRightInd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2、进一步规范资金使用，把好“支出关”。单位经费开支按预算和单位财务管理制度执行，基本支出做到不铺张浪费，开源节流，20</w:t>
      </w:r>
      <w:r>
        <w:rPr>
          <w:rFonts w:hint="eastAsia" w:ascii="仿宋" w:hAnsi="仿宋" w:eastAsia="仿宋" w:cs="仿宋"/>
          <w:sz w:val="30"/>
          <w:szCs w:val="30"/>
          <w:lang w:val="en-US" w:eastAsia="zh-CN"/>
        </w:rPr>
        <w:t>21</w:t>
      </w:r>
      <w:r>
        <w:rPr>
          <w:rFonts w:hint="eastAsia" w:ascii="仿宋" w:hAnsi="仿宋" w:eastAsia="仿宋" w:cs="仿宋"/>
          <w:sz w:val="30"/>
          <w:szCs w:val="30"/>
        </w:rPr>
        <w:t>年度没有出国出境考察的情况，廉政建设情况良好。</w:t>
      </w:r>
    </w:p>
    <w:p>
      <w:pPr>
        <w:adjustRightInd w:val="0"/>
        <w:snapToGrid w:val="0"/>
        <w:spacing w:line="600" w:lineRule="exact"/>
        <w:ind w:firstLine="600" w:firstLineChars="200"/>
        <w:rPr>
          <w:rFonts w:hint="eastAsia" w:eastAsia="黑体"/>
          <w:sz w:val="32"/>
          <w:szCs w:val="32"/>
        </w:rPr>
      </w:pPr>
      <w:r>
        <w:rPr>
          <w:rFonts w:hint="eastAsia" w:ascii="仿宋" w:hAnsi="仿宋" w:eastAsia="仿宋" w:cs="仿宋"/>
          <w:sz w:val="30"/>
          <w:szCs w:val="30"/>
        </w:rPr>
        <w:t>3、进一步推进预决算等重要信息的公开透明。20</w:t>
      </w:r>
      <w:r>
        <w:rPr>
          <w:rFonts w:hint="eastAsia" w:ascii="仿宋" w:hAnsi="仿宋" w:eastAsia="仿宋" w:cs="仿宋"/>
          <w:sz w:val="30"/>
          <w:szCs w:val="30"/>
          <w:lang w:val="en-US" w:eastAsia="zh-CN"/>
        </w:rPr>
        <w:t>21</w:t>
      </w:r>
      <w:r>
        <w:rPr>
          <w:rFonts w:hint="eastAsia" w:ascii="仿宋" w:hAnsi="仿宋" w:eastAsia="仿宋" w:cs="仿宋"/>
          <w:sz w:val="30"/>
          <w:szCs w:val="30"/>
        </w:rPr>
        <w:t>年度在网站上公开部门预算信息及单位整体财务情况，做到主动接受社会公众的监督。</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、存在的问题</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乡镇中心工作量大，配套的资金往往存在缺口，导致乡镇需要拆东墙补西墙调度其他资金弥补缺口，长此以上，缺口越来越大，导致工作越来越难开展。</w:t>
      </w:r>
    </w:p>
    <w:p>
      <w:pPr>
        <w:adjustRightInd w:val="0"/>
        <w:snapToGrid w:val="0"/>
        <w:spacing w:line="600" w:lineRule="exact"/>
        <w:ind w:firstLine="640" w:firstLineChars="200"/>
        <w:rPr>
          <w:rFonts w:hint="eastAsia" w:eastAsia="黑体"/>
          <w:sz w:val="32"/>
          <w:szCs w:val="32"/>
        </w:rPr>
      </w:pPr>
      <w:r>
        <w:rPr>
          <w:rFonts w:hint="eastAsia" w:eastAsia="黑体"/>
          <w:sz w:val="32"/>
          <w:szCs w:val="32"/>
          <w:lang w:eastAsia="zh-CN"/>
        </w:rPr>
        <w:t>八</w:t>
      </w:r>
      <w:r>
        <w:rPr>
          <w:rFonts w:eastAsia="黑体"/>
          <w:sz w:val="32"/>
          <w:szCs w:val="32"/>
        </w:rPr>
        <w:t>、</w:t>
      </w:r>
      <w:r>
        <w:rPr>
          <w:rFonts w:hint="eastAsia" w:eastAsia="黑体"/>
          <w:sz w:val="32"/>
          <w:szCs w:val="32"/>
        </w:rPr>
        <w:t>改进措施和有关建议</w:t>
      </w:r>
    </w:p>
    <w:p>
      <w:pPr>
        <w:spacing w:line="560" w:lineRule="exact"/>
        <w:ind w:firstLine="629"/>
        <w:rPr>
          <w:rFonts w:hint="eastAsia" w:ascii="仿宋" w:hAnsi="仿宋" w:eastAsia="仿宋" w:cs="仿宋"/>
          <w:sz w:val="30"/>
          <w:szCs w:val="30"/>
          <w:lang w:eastAsia="zh-CN"/>
        </w:rPr>
      </w:pPr>
      <w:r>
        <w:rPr>
          <w:rFonts w:hint="eastAsia" w:ascii="仿宋" w:hAnsi="仿宋" w:eastAsia="仿宋" w:cs="仿宋"/>
          <w:sz w:val="30"/>
          <w:szCs w:val="30"/>
        </w:rPr>
        <w:t>进一步完善、明确和细化各项费用支出管理制度，严格控制各项费用</w:t>
      </w:r>
      <w:r>
        <w:rPr>
          <w:rFonts w:hint="eastAsia" w:ascii="仿宋" w:hAnsi="仿宋" w:eastAsia="仿宋" w:cs="仿宋"/>
          <w:sz w:val="30"/>
          <w:szCs w:val="30"/>
          <w:lang w:eastAsia="zh-CN"/>
        </w:rPr>
        <w:t>；</w:t>
      </w:r>
      <w:r>
        <w:rPr>
          <w:rFonts w:hint="eastAsia" w:eastAsia="仿宋_GB2312"/>
          <w:sz w:val="32"/>
          <w:szCs w:val="32"/>
          <w:lang w:eastAsia="zh-CN"/>
        </w:rPr>
        <w:t>多配套工作经费。</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ACB09"/>
    <w:multiLevelType w:val="singleLevel"/>
    <w:tmpl w:val="878ACB09"/>
    <w:lvl w:ilvl="0" w:tentative="0">
      <w:start w:val="5"/>
      <w:numFmt w:val="chineseCounting"/>
      <w:suff w:val="nothing"/>
      <w:lvlText w:val="%1、"/>
      <w:lvlJc w:val="left"/>
      <w:rPr>
        <w:rFonts w:hint="eastAsia"/>
      </w:rPr>
    </w:lvl>
  </w:abstractNum>
  <w:abstractNum w:abstractNumId="1">
    <w:nsid w:val="D6A761CD"/>
    <w:multiLevelType w:val="singleLevel"/>
    <w:tmpl w:val="D6A761C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GI3ZjFlOWNhOWY5Mzc2YTA4MWQ2NWFkMDAzZjIifQ=="/>
  </w:docVars>
  <w:rsids>
    <w:rsidRoot w:val="62D4064B"/>
    <w:rsid w:val="011600C6"/>
    <w:rsid w:val="05F30076"/>
    <w:rsid w:val="0A7D517F"/>
    <w:rsid w:val="13820C99"/>
    <w:rsid w:val="3DF812BE"/>
    <w:rsid w:val="4D323148"/>
    <w:rsid w:val="4F2E3A42"/>
    <w:rsid w:val="62D4064B"/>
    <w:rsid w:val="772A5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1648</Words>
  <Characters>1764</Characters>
  <Lines>0</Lines>
  <Paragraphs>0</Paragraphs>
  <TotalTime>0</TotalTime>
  <ScaleCrop>false</ScaleCrop>
  <LinksUpToDate>false</LinksUpToDate>
  <CharactersWithSpaces>1797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2022-04-27T06:42:00Z</dcterms:created>
  <dc:creator>刘李</dc:creator>
  <cp:lastModifiedBy>Administrator</cp:lastModifiedBy>
  <dcterms:modified xsi:type="dcterms:W3CDTF">2022-12-13T02:42:35Z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BC87908923CA415EA7E27D865D64FB79</vt:lpwstr>
  </property>
</Properties>
</file>