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黄亭市镇人民政府</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29</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jc w:val="center"/>
        <w:rPr>
          <w:rFonts w:eastAsia="楷体_GB2312"/>
          <w:sz w:val="32"/>
          <w:szCs w:val="32"/>
        </w:rPr>
      </w:pPr>
    </w:p>
    <w:p>
      <w:pPr>
        <w:adjustRightInd w:val="0"/>
        <w:spacing w:line="600" w:lineRule="exact"/>
        <w:ind w:right="641"/>
        <w:rPr>
          <w:rFonts w:eastAsia="仿宋_GB2312"/>
          <w:sz w:val="32"/>
          <w:szCs w:val="32"/>
        </w:rPr>
      </w:pPr>
    </w:p>
    <w:p>
      <w:pPr>
        <w:widowControl/>
        <w:spacing w:line="600" w:lineRule="exact"/>
        <w:ind w:firstLine="645"/>
        <w:jc w:val="left"/>
        <w:rPr>
          <w:rFonts w:hint="eastAsia" w:eastAsia="黑体"/>
          <w:sz w:val="32"/>
          <w:szCs w:val="32"/>
        </w:rPr>
      </w:pPr>
      <w:r>
        <w:rPr>
          <w:rFonts w:hint="eastAsia" w:eastAsia="黑体"/>
          <w:sz w:val="32"/>
          <w:szCs w:val="32"/>
        </w:rPr>
        <w:t>一、部门、单位基本情况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根据三定方案，黄亭市镇人民政府内设11个股室，分别是：党政办、党建办、社会治安和应急管理办、社会事务办、经济发展办、生态环境中心、政务和社会事务中心、农业综合服务中心、自然资源和村镇建设中心、综合执法大队、退役军人事务。</w:t>
      </w:r>
    </w:p>
    <w:p>
      <w:pPr>
        <w:widowControl/>
        <w:numPr>
          <w:ilvl w:val="0"/>
          <w:numId w:val="1"/>
        </w:numPr>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目前黄亭市镇人民政府编制数</w:t>
      </w:r>
      <w:r>
        <w:rPr>
          <w:rFonts w:hint="eastAsia" w:eastAsia="仿宋_GB2312"/>
          <w:sz w:val="32"/>
          <w:szCs w:val="32"/>
          <w:lang w:val="en-US" w:eastAsia="zh-CN"/>
        </w:rPr>
        <w:t>128人，实有人数123人，其中：行政编制49人，实有在编46人；事业编制89人，实有在编77人。</w:t>
      </w:r>
    </w:p>
    <w:p>
      <w:pPr>
        <w:widowControl/>
        <w:numPr>
          <w:ilvl w:val="0"/>
          <w:numId w:val="1"/>
        </w:numPr>
        <w:spacing w:line="600" w:lineRule="exact"/>
        <w:ind w:left="0" w:leftChars="0" w:firstLine="645" w:firstLineChars="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根据《宪法》和《预算》规定，邵阳县黄亭市镇人民政府依法履行下列职能职责：</w:t>
      </w:r>
    </w:p>
    <w:p>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执行上级国家行政机关的决定，命令和国家制定的法令，法规，接受同级党委的领导，执行本级人民代表大会的各项决议，并报告执行决议、决定和命令的情况。</w:t>
      </w:r>
    </w:p>
    <w:p>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制定并落实本行政区域的经济计划和措施，促进产业结构调整及其他经济保持平衡发展，全面提高人民群众的生活水平和生活质量。</w:t>
      </w:r>
    </w:p>
    <w:p>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加强镇级财政的监督和管理，按计划组织，管理镇财政收入和支出，执行国家有关财经纪律和政策，保证国家财政收入的完成；做好统计工作。</w:t>
      </w:r>
    </w:p>
    <w:p>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协助和支持设置在本行政区域内不隶属于镇的国家机关和企事业单位工作，监督其遵守和执行国家的法律、法规和政策。</w:t>
      </w:r>
    </w:p>
    <w:p>
      <w:pPr>
        <w:numPr>
          <w:ilvl w:val="0"/>
          <w:numId w:val="2"/>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承办县人民政府交办的其他事项。</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黄亭市镇人民政府绩效目标</w:t>
      </w:r>
      <w:r>
        <w:rPr>
          <w:rFonts w:hint="eastAsia" w:eastAsia="仿宋_GB2312"/>
          <w:sz w:val="32"/>
          <w:szCs w:val="32"/>
          <w:lang w:eastAsia="zh-CN"/>
        </w:rPr>
        <w:t>设定主要围绕着提高政府管理效率和服务水平，促进经济社会发展来进行。具体目标包括以下几个方面：</w:t>
      </w:r>
    </w:p>
    <w:p>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提高政府工作效率：通过优化流程、提高决策效率、加强内部管理等方式，实现政府工作的快速、高效运转。</w:t>
      </w:r>
    </w:p>
    <w:p>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优化资源配置：通过科学的预算和支出管理，确保乡镇资源的合理分配和高效利用，以满足公共服务和社会发展的需要。</w:t>
      </w:r>
    </w:p>
    <w:p>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提升公共服务水平：通过改进服务方式、提高服务质量、加强服务监督等方式，满足居民对公共服务的需求，提高居民满意度。</w:t>
      </w:r>
    </w:p>
    <w:p>
      <w:pPr>
        <w:numPr>
          <w:ilvl w:val="0"/>
          <w:numId w:val="3"/>
        </w:num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增强政府责任意识和服务意识：通过加强政府工作人员的培训和考核，提高政府工作人员的责任意识和服务意识，确保政府工作的公正、透明和有效。</w:t>
      </w:r>
    </w:p>
    <w:p>
      <w:pPr>
        <w:widowControl/>
        <w:spacing w:line="600" w:lineRule="exact"/>
        <w:ind w:firstLine="645"/>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2023年预算基本支出1915.4万元，其中工资福利支出1452.89万元，商品和服务支出355.91万元，对个人及家庭补助支出106.6万元。纳入一般公共预算的非税收入49.5万元，基本支出补充12万元。2023年预算收入合计1976.9元。</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1.基本支出情况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2023年年终决算基本支出3946.53万元，超出预算1969.63万元；工资福利支出1920.68万元，超出预算467.79万元；商品和服务支出1883.96万元，超出预算1528.05；对个人及家庭补助支出141.89万元，超出预算35.29万元。</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2.项目支出情况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无项目支出</w:t>
      </w:r>
      <w:r>
        <w:rPr>
          <w:rFonts w:hint="eastAsia" w:eastAsia="仿宋_GB2312"/>
          <w:sz w:val="32"/>
          <w:szCs w:val="32"/>
          <w:lang w:eastAsia="zh-CN"/>
        </w:rPr>
        <w:t>。</w:t>
      </w:r>
    </w:p>
    <w:p>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"三公"经费使用和管理情况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2023年黄亭市公务接待费13.49万元，公务用车运行维护费0万元，公务出国经费0元。</w:t>
      </w:r>
    </w:p>
    <w:p>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资金结转和结余情况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无资金结转结余。</w:t>
      </w:r>
    </w:p>
    <w:p>
      <w:pPr>
        <w:widowControl/>
        <w:spacing w:line="600" w:lineRule="exact"/>
        <w:ind w:firstLine="645"/>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（五）部门整体支出管理与制度建设情况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黄亭市镇人民政府</w:t>
      </w:r>
      <w:r>
        <w:rPr>
          <w:rFonts w:hint="eastAsia" w:eastAsia="仿宋_GB2312"/>
          <w:sz w:val="32"/>
          <w:szCs w:val="32"/>
          <w:lang w:eastAsia="zh-CN"/>
        </w:rPr>
        <w:t>整体支出管理与制度建设是确保政府财政资源有效使用、提高公共服务效率、促进乡镇经济和社会发展的重要环节。</w:t>
      </w:r>
      <w:r>
        <w:rPr>
          <w:rFonts w:hint="eastAsia" w:eastAsia="仿宋_GB2312"/>
          <w:sz w:val="32"/>
          <w:szCs w:val="32"/>
          <w:lang w:val="en-US" w:eastAsia="zh-CN"/>
        </w:rPr>
        <w:t>按年</w:t>
      </w:r>
      <w:r>
        <w:rPr>
          <w:rFonts w:hint="eastAsia" w:eastAsia="仿宋_GB2312"/>
          <w:sz w:val="32"/>
          <w:szCs w:val="32"/>
          <w:lang w:eastAsia="zh-CN"/>
        </w:rPr>
        <w:t>制定年度预算，明确各项支出的用途和金额。预算制定过程中，会充分考虑</w:t>
      </w:r>
      <w:r>
        <w:rPr>
          <w:rFonts w:hint="eastAsia" w:eastAsia="仿宋_GB2312"/>
          <w:sz w:val="32"/>
          <w:szCs w:val="32"/>
          <w:lang w:val="en-US" w:eastAsia="zh-CN"/>
        </w:rPr>
        <w:t>本镇</w:t>
      </w:r>
      <w:r>
        <w:rPr>
          <w:rFonts w:hint="eastAsia" w:eastAsia="仿宋_GB2312"/>
          <w:sz w:val="32"/>
          <w:szCs w:val="32"/>
          <w:lang w:eastAsia="zh-CN"/>
        </w:rPr>
        <w:t>的实际情况和发展需求，确保预算的合理性和可行性。预算执行过程中，会加强监督和管理，确保预算资金按照既定用途使用，避免出现挪用、浪费等现象。</w:t>
      </w:r>
    </w:p>
    <w:p>
      <w:pPr>
        <w:widowControl/>
        <w:numPr>
          <w:ilvl w:val="0"/>
          <w:numId w:val="4"/>
        </w:numPr>
        <w:spacing w:line="600" w:lineRule="exact"/>
        <w:ind w:firstLine="645"/>
        <w:jc w:val="left"/>
        <w:rPr>
          <w:rFonts w:hint="eastAsia" w:eastAsia="黑体"/>
          <w:sz w:val="32"/>
          <w:szCs w:val="32"/>
        </w:rPr>
      </w:pPr>
      <w:r>
        <w:rPr>
          <w:rFonts w:hint="eastAsia" w:eastAsia="黑体"/>
          <w:sz w:val="32"/>
          <w:szCs w:val="32"/>
        </w:rPr>
        <w:t>政府性基金预算支出情况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黄亭市镇无政府性基金预算支出。</w:t>
      </w:r>
    </w:p>
    <w:p>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国有资本经营预算支出情况</w:t>
      </w:r>
    </w:p>
    <w:p>
      <w:pPr>
        <w:adjustRightInd w:val="0"/>
        <w:snapToGrid w:val="0"/>
        <w:spacing w:line="60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黄亭市镇无资本经营预算支出</w:t>
      </w:r>
    </w:p>
    <w:p>
      <w:pPr>
        <w:widowControl/>
        <w:numPr>
          <w:ilvl w:val="0"/>
          <w:numId w:val="4"/>
        </w:numPr>
        <w:spacing w:line="600" w:lineRule="exact"/>
        <w:ind w:left="0" w:leftChars="0" w:firstLine="645" w:firstLineChars="0"/>
        <w:jc w:val="left"/>
        <w:rPr>
          <w:rFonts w:hint="eastAsia" w:eastAsia="黑体"/>
          <w:sz w:val="32"/>
          <w:szCs w:val="32"/>
        </w:rPr>
      </w:pPr>
      <w:r>
        <w:rPr>
          <w:rFonts w:hint="eastAsia" w:eastAsia="黑体"/>
          <w:sz w:val="32"/>
          <w:szCs w:val="32"/>
        </w:rPr>
        <w:t>社会保险基金预算支出情况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val="en-US" w:eastAsia="zh-CN"/>
        </w:rPr>
        <w:t>黄亭市镇无</w:t>
      </w:r>
      <w:r>
        <w:rPr>
          <w:rFonts w:hint="eastAsia" w:eastAsia="仿宋_GB2312"/>
          <w:sz w:val="32"/>
          <w:szCs w:val="32"/>
          <w:lang w:eastAsia="zh-CN"/>
        </w:rPr>
        <w:t>社会保险基金预算支出</w:t>
      </w:r>
    </w:p>
    <w:p>
      <w:pPr>
        <w:widowControl/>
        <w:spacing w:line="600" w:lineRule="exact"/>
        <w:ind w:firstLine="645"/>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（一）综合评价结论。</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从部门整体支出绩效评价结果来看，单位预算编制科学，民主理财，重大财务事项经由集体研究决策，财务制度健全；严把收支两条线，绝不坐支。</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1、进一步规范财务管理制度，狠抓“收入关”.全场职工在单位领导的带领下，以服务为中心，全心全意地投入到工作中，各项收入有了很大的起色。</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2、进一步规范资金使用，把好“支出关”。单位经费开支按预算和单位财务管理制度执行，基本支出做到不铺张浪费，开源节流，202</w:t>
      </w:r>
      <w:r>
        <w:rPr>
          <w:rFonts w:hint="eastAsia" w:eastAsia="仿宋_GB2312"/>
          <w:sz w:val="32"/>
          <w:szCs w:val="32"/>
          <w:lang w:val="en-US" w:eastAsia="zh-CN"/>
        </w:rPr>
        <w:t>3</w:t>
      </w:r>
      <w:r>
        <w:rPr>
          <w:rFonts w:hint="eastAsia" w:eastAsia="仿宋_GB2312"/>
          <w:sz w:val="32"/>
          <w:szCs w:val="32"/>
          <w:lang w:eastAsia="zh-CN"/>
        </w:rPr>
        <w:t>年度没有出国出境考察的情况，廉政建设情况良好。</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3、进一步推进预决算等重要信息的公开透明。202</w:t>
      </w:r>
      <w:r>
        <w:rPr>
          <w:rFonts w:hint="eastAsia" w:eastAsia="仿宋_GB2312"/>
          <w:sz w:val="32"/>
          <w:szCs w:val="32"/>
          <w:lang w:val="en-US" w:eastAsia="zh-CN"/>
        </w:rPr>
        <w:t>3</w:t>
      </w:r>
      <w:r>
        <w:rPr>
          <w:rFonts w:hint="eastAsia" w:eastAsia="仿宋_GB2312"/>
          <w:sz w:val="32"/>
          <w:szCs w:val="32"/>
          <w:lang w:eastAsia="zh-CN"/>
        </w:rPr>
        <w:t>年度在网站上公开部门预算信息及单位整体财务情况，做到主动接受社会公众的监督。</w:t>
      </w:r>
    </w:p>
    <w:p>
      <w:pPr>
        <w:widowControl/>
        <w:spacing w:line="600" w:lineRule="exact"/>
        <w:ind w:firstLine="645"/>
        <w:jc w:val="left"/>
        <w:rPr>
          <w:rFonts w:hint="eastAsia" w:ascii="楷体" w:hAnsi="楷体" w:eastAsia="楷体" w:cs="楷体"/>
          <w:b/>
          <w:bCs/>
          <w:sz w:val="32"/>
          <w:szCs w:val="32"/>
        </w:rPr>
      </w:pPr>
      <w:r>
        <w:rPr>
          <w:rFonts w:hint="eastAsia" w:ascii="楷体" w:hAnsi="楷体" w:eastAsia="楷体" w:cs="楷体"/>
          <w:b/>
          <w:bCs/>
          <w:sz w:val="32"/>
          <w:szCs w:val="32"/>
        </w:rPr>
        <w:t>（二）评价指标分析（或综合评价情况）。</w:t>
      </w:r>
    </w:p>
    <w:p>
      <w:pPr>
        <w:widowControl/>
        <w:spacing w:line="600" w:lineRule="exact"/>
        <w:ind w:firstLine="645"/>
        <w:jc w:val="left"/>
        <w:rPr>
          <w:rFonts w:hint="eastAsia" w:eastAsia="仿宋_GB2312"/>
          <w:sz w:val="32"/>
          <w:szCs w:val="32"/>
          <w:lang w:eastAsia="zh-CN"/>
        </w:rPr>
      </w:pPr>
      <w:r>
        <w:rPr>
          <w:rFonts w:hint="eastAsia" w:eastAsia="仿宋_GB2312"/>
          <w:sz w:val="32"/>
          <w:szCs w:val="32"/>
          <w:lang w:eastAsia="zh-CN"/>
        </w:rPr>
        <w:t>在预算资金管理上，遵循“量入为出、收支平衡”的原则，科学合理地安排各项支出。绩效目标的设定应紧密围绕政府部门的职责和行业发展规划，具有明确、可量化、可实现的特点。</w:t>
      </w:r>
    </w:p>
    <w:p>
      <w:pPr>
        <w:widowControl/>
        <w:spacing w:line="600" w:lineRule="exact"/>
        <w:ind w:firstLine="645"/>
        <w:jc w:val="left"/>
        <w:rPr>
          <w:rFonts w:hint="eastAsia" w:eastAsia="仿宋_GB2312"/>
          <w:sz w:val="32"/>
          <w:szCs w:val="32"/>
          <w:lang w:eastAsia="zh-CN"/>
        </w:rPr>
      </w:pPr>
      <w:r>
        <w:rPr>
          <w:rFonts w:hint="eastAsia" w:eastAsia="仿宋_GB2312"/>
          <w:sz w:val="32"/>
          <w:szCs w:val="32"/>
          <w:lang w:val="en-US" w:eastAsia="zh-CN"/>
        </w:rPr>
        <w:t>在</w:t>
      </w:r>
      <w:r>
        <w:rPr>
          <w:rFonts w:hint="eastAsia" w:eastAsia="仿宋_GB2312"/>
          <w:sz w:val="32"/>
          <w:szCs w:val="32"/>
          <w:lang w:eastAsia="zh-CN"/>
        </w:rPr>
        <w:t>预算配置</w:t>
      </w:r>
      <w:r>
        <w:rPr>
          <w:rFonts w:hint="eastAsia" w:eastAsia="仿宋_GB2312"/>
          <w:sz w:val="32"/>
          <w:szCs w:val="32"/>
          <w:lang w:val="en-US" w:eastAsia="zh-CN"/>
        </w:rPr>
        <w:t>上，</w:t>
      </w:r>
      <w:r>
        <w:rPr>
          <w:rFonts w:hint="eastAsia" w:eastAsia="仿宋_GB2312"/>
          <w:sz w:val="32"/>
          <w:szCs w:val="32"/>
          <w:lang w:eastAsia="zh-CN"/>
        </w:rPr>
        <w:t>应根据各项工作的轻重缓急和实际需求，合理分配预算资金。预算执行过程中，应严格按照预算安排进行，确保资金使用的合规性和有效性。同时，要加强对预算执行情况的监督和检查，及时发现和纠正问题。</w:t>
      </w:r>
    </w:p>
    <w:p>
      <w:pPr>
        <w:widowControl/>
        <w:spacing w:line="600" w:lineRule="exact"/>
        <w:ind w:firstLine="645"/>
        <w:jc w:val="left"/>
        <w:rPr>
          <w:rFonts w:hint="eastAsia" w:eastAsia="黑体"/>
          <w:sz w:val="32"/>
          <w:szCs w:val="32"/>
        </w:rPr>
      </w:pPr>
      <w:r>
        <w:rPr>
          <w:rFonts w:hint="eastAsia" w:eastAsia="黑体"/>
          <w:sz w:val="32"/>
          <w:szCs w:val="32"/>
        </w:rPr>
        <w:t>七、存在的问题及原因分析</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eastAsia="zh-CN"/>
        </w:rPr>
        <w:t>乡镇中心工作量大，配套的资金往往存在缺口，导致乡镇需要拆东墙补西墙调度其他资金弥补缺口，长此以上，缺口越来越大，导致工作越来越难开展。</w:t>
      </w:r>
    </w:p>
    <w:p>
      <w:pPr>
        <w:widowControl/>
        <w:numPr>
          <w:ilvl w:val="0"/>
          <w:numId w:val="5"/>
        </w:numPr>
        <w:spacing w:line="600" w:lineRule="exact"/>
        <w:ind w:firstLine="645"/>
        <w:jc w:val="left"/>
        <w:rPr>
          <w:rFonts w:hint="eastAsia" w:eastAsia="黑体"/>
          <w:sz w:val="32"/>
          <w:szCs w:val="32"/>
        </w:rPr>
      </w:pPr>
      <w:r>
        <w:rPr>
          <w:rFonts w:hint="eastAsia" w:eastAsia="黑体"/>
          <w:sz w:val="32"/>
          <w:szCs w:val="32"/>
        </w:rPr>
        <w:t>下一步改进措施</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进一步完善、明确和细化各项费用支出管理制度，严格控制各项费用；多配套工作经费。</w:t>
      </w: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投入</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目标</w:t>
            </w:r>
            <w:r>
              <w:rPr>
                <w:rStyle w:val="14"/>
                <w:rFonts w:eastAsia="宋体"/>
                <w:lang w:val="en-US" w:eastAsia="zh-CN" w:bidi="ar"/>
              </w:rPr>
              <w:br w:type="textWrapping"/>
            </w:r>
            <w:r>
              <w:rPr>
                <w:rStyle w:val="13"/>
                <w:lang w:val="en-US" w:eastAsia="zh-CN" w:bidi="ar"/>
              </w:rPr>
              <w:t>设定</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w:t>
            </w:r>
            <w:r>
              <w:rPr>
                <w:rStyle w:val="14"/>
                <w:rFonts w:eastAsia="宋体"/>
                <w:lang w:val="en-US" w:eastAsia="zh-CN" w:bidi="ar"/>
              </w:rPr>
              <w:br w:type="textWrapping"/>
            </w:r>
            <w:r>
              <w:rPr>
                <w:rStyle w:val="13"/>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①是否符合国家法律法规、国民经济和社会发展总体规划；</w:t>
            </w:r>
            <w:r>
              <w:rPr>
                <w:rStyle w:val="14"/>
                <w:rFonts w:eastAsia="宋体"/>
                <w:lang w:val="en-US" w:eastAsia="zh-CN" w:bidi="ar"/>
              </w:rPr>
              <w:br w:type="textWrapping"/>
            </w: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r>
              <w:rPr>
                <w:rStyle w:val="14"/>
                <w:rFonts w:eastAsia="宋体"/>
                <w:lang w:val="en-US" w:eastAsia="zh-CN" w:bidi="ar"/>
              </w:rPr>
              <w:br w:type="textWrapping"/>
            </w:r>
            <w:r>
              <w:rPr>
                <w:rStyle w:val="13"/>
                <w:lang w:val="en-US" w:eastAsia="zh-CN" w:bidi="ar"/>
              </w:rPr>
              <w:t>③是否符合部门制定的中长期实施规划。</w:t>
            </w:r>
            <w:r>
              <w:rPr>
                <w:rStyle w:val="14"/>
                <w:rFonts w:eastAsia="宋体"/>
                <w:lang w:val="en-US" w:eastAsia="zh-CN" w:bidi="ar"/>
              </w:rPr>
              <w:br w:type="textWrapping"/>
            </w: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绩效指标</w:t>
            </w:r>
            <w:r>
              <w:rPr>
                <w:rStyle w:val="14"/>
                <w:rFonts w:eastAsia="宋体"/>
                <w:lang w:val="en-US" w:eastAsia="zh-CN" w:bidi="ar"/>
              </w:rPr>
              <w:br w:type="textWrapping"/>
            </w:r>
            <w:r>
              <w:rPr>
                <w:rStyle w:val="13"/>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r>
              <w:rPr>
                <w:rStyle w:val="14"/>
                <w:rFonts w:eastAsia="宋体"/>
                <w:lang w:val="en-US" w:eastAsia="zh-CN" w:bidi="ar"/>
              </w:rPr>
              <w:br w:type="textWrapping"/>
            </w: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r>
              <w:rPr>
                <w:rStyle w:val="14"/>
                <w:rFonts w:eastAsia="宋体"/>
                <w:lang w:val="en-US" w:eastAsia="zh-CN" w:bidi="ar"/>
              </w:rPr>
              <w:br w:type="textWrapping"/>
            </w: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配置</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人员</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r>
              <w:rPr>
                <w:rStyle w:val="14"/>
                <w:rFonts w:eastAsia="宋体"/>
                <w:lang w:val="en-US" w:eastAsia="zh-CN" w:bidi="ar"/>
              </w:rPr>
              <w:br w:type="textWrapping"/>
            </w:r>
            <w:r>
              <w:rPr>
                <w:rStyle w:val="13"/>
                <w:lang w:val="en-US" w:eastAsia="zh-CN" w:bidi="ar"/>
              </w:rPr>
              <w:t>编制数：机构编制部门核定批复的部门（单位）人员编制数。</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r>
              <w:rPr>
                <w:rStyle w:val="14"/>
                <w:rFonts w:eastAsia="宋体"/>
                <w:lang w:val="en-US" w:eastAsia="zh-CN" w:bidi="ar"/>
              </w:rPr>
              <w:br w:type="textWrapping"/>
            </w: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w:t>
            </w:r>
            <w:r>
              <w:rPr>
                <w:rStyle w:val="14"/>
                <w:rFonts w:eastAsia="宋体"/>
                <w:lang w:val="en-US" w:eastAsia="zh-CN" w:bidi="ar"/>
              </w:rPr>
              <w:br w:type="textWrapping"/>
            </w:r>
            <w:r>
              <w:rPr>
                <w:rStyle w:val="13"/>
                <w:lang w:val="en-US" w:eastAsia="zh-CN" w:bidi="ar"/>
              </w:rPr>
              <w:t>支出</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w:t>
            </w:r>
            <w:r>
              <w:rPr>
                <w:rStyle w:val="14"/>
                <w:rFonts w:eastAsia="宋体"/>
                <w:lang w:val="en-US" w:eastAsia="zh-CN" w:bidi="ar"/>
              </w:rPr>
              <w:br w:type="textWrapping"/>
            </w:r>
            <w:r>
              <w:rPr>
                <w:rStyle w:val="13"/>
                <w:lang w:val="en-US" w:eastAsia="zh-CN" w:bidi="ar"/>
              </w:rPr>
              <w:t>收入</w:t>
            </w:r>
            <w:r>
              <w:rPr>
                <w:rStyle w:val="14"/>
                <w:rFonts w:eastAsia="宋体"/>
                <w:lang w:val="en-US" w:eastAsia="zh-CN" w:bidi="ar"/>
              </w:rPr>
              <w:br w:type="textWrapping"/>
            </w: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r>
              <w:rPr>
                <w:rStyle w:val="14"/>
                <w:rFonts w:eastAsia="宋体"/>
                <w:lang w:val="en-US" w:eastAsia="zh-CN" w:bidi="ar"/>
              </w:rPr>
              <w:br w:type="textWrapping"/>
            </w: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过程</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w:t>
            </w:r>
            <w:r>
              <w:rPr>
                <w:rStyle w:val="14"/>
                <w:rFonts w:eastAsia="宋体"/>
                <w:lang w:val="en-US" w:eastAsia="zh-CN" w:bidi="ar"/>
              </w:rPr>
              <w:br w:type="textWrapping"/>
            </w: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预算执行数：部门（单位）本年度实际完成的预算数。</w:t>
            </w:r>
            <w:r>
              <w:rPr>
                <w:rStyle w:val="14"/>
                <w:rFonts w:eastAsia="宋体"/>
                <w:lang w:val="en-US" w:eastAsia="zh-CN" w:bidi="ar"/>
              </w:rPr>
              <w:br w:type="textWrapping"/>
            </w:r>
            <w:r>
              <w:rPr>
                <w:rStyle w:val="13"/>
                <w:lang w:val="en-US" w:eastAsia="zh-CN" w:bidi="ar"/>
              </w:rPr>
              <w:t>预算数：财政部门批复的本年度部门（单位）预算数及追加的预算数。</w:t>
            </w:r>
            <w:r>
              <w:rPr>
                <w:rStyle w:val="14"/>
                <w:rFonts w:eastAsia="宋体"/>
                <w:lang w:val="en-US" w:eastAsia="zh-CN" w:bidi="ar"/>
              </w:rPr>
              <w:br w:type="textWrapping"/>
            </w: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r>
              <w:rPr>
                <w:rStyle w:val="14"/>
                <w:rFonts w:eastAsia="宋体"/>
                <w:lang w:val="en-US" w:eastAsia="zh-CN" w:bidi="ar"/>
              </w:rPr>
              <w:br w:type="textWrapping"/>
            </w:r>
            <w:r>
              <w:rPr>
                <w:rStyle w:val="13"/>
                <w:lang w:val="en-US" w:eastAsia="zh-CN" w:bidi="ar"/>
              </w:rPr>
              <w:t>②绩效目标执行监控是否按要求完成。</w:t>
            </w:r>
            <w:r>
              <w:rPr>
                <w:rStyle w:val="14"/>
                <w:rFonts w:eastAsia="宋体"/>
                <w:lang w:val="en-US" w:eastAsia="zh-CN" w:bidi="ar"/>
              </w:rPr>
              <w:br w:type="textWrapping"/>
            </w: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4"/>
                <w:rFonts w:eastAsia="宋体"/>
                <w:lang w:val="en-US" w:eastAsia="zh-CN" w:bidi="ar"/>
              </w:rPr>
              <w:br w:type="textWrapping"/>
            </w: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结转</w:t>
            </w:r>
            <w:r>
              <w:rPr>
                <w:rStyle w:val="14"/>
                <w:rFonts w:eastAsia="宋体"/>
                <w:lang w:val="en-US" w:eastAsia="zh-CN" w:bidi="ar"/>
              </w:rPr>
              <w:br w:type="textWrapping"/>
            </w:r>
            <w:r>
              <w:rPr>
                <w:rStyle w:val="13"/>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r>
              <w:rPr>
                <w:rStyle w:val="14"/>
                <w:rFonts w:eastAsia="宋体"/>
                <w:lang w:val="en-US" w:eastAsia="zh-CN" w:bidi="ar"/>
              </w:rPr>
              <w:br w:type="textWrapping"/>
            </w: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公用经费</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4"/>
                <w:rFonts w:eastAsia="宋体"/>
                <w:lang w:val="en-US" w:eastAsia="zh-CN" w:bidi="ar"/>
              </w:rPr>
              <w:br w:type="textWrapping"/>
            </w: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政府采购</w:t>
            </w:r>
            <w:r>
              <w:rPr>
                <w:rStyle w:val="14"/>
                <w:rFonts w:eastAsia="宋体"/>
                <w:lang w:val="en-US" w:eastAsia="zh-CN" w:bidi="ar"/>
              </w:rPr>
              <w:br w:type="textWrapping"/>
            </w:r>
            <w:r>
              <w:rPr>
                <w:rStyle w:val="13"/>
                <w:lang w:val="en-US" w:eastAsia="zh-CN" w:bidi="ar"/>
              </w:rPr>
              <w:t>执行率和</w:t>
            </w:r>
            <w:r>
              <w:rPr>
                <w:rStyle w:val="14"/>
                <w:rFonts w:eastAsia="宋体"/>
                <w:lang w:val="en-US" w:eastAsia="zh-CN" w:bidi="ar"/>
              </w:rPr>
              <w:br w:type="textWrapping"/>
            </w:r>
            <w:r>
              <w:rPr>
                <w:rStyle w:val="13"/>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r>
              <w:rPr>
                <w:rStyle w:val="14"/>
                <w:rFonts w:eastAsia="宋体"/>
                <w:lang w:val="en-US" w:eastAsia="zh-CN" w:bidi="ar"/>
              </w:rPr>
              <w:br w:type="textWrapping"/>
            </w:r>
            <w:r>
              <w:rPr>
                <w:rStyle w:val="13"/>
                <w:lang w:val="en-US" w:eastAsia="zh-CN" w:bidi="ar"/>
              </w:rPr>
              <w:t>政府采购预算：采购机关根据事业发展计划和行政任务编制的、并经过规定程序批准的年度政府采购计划。</w:t>
            </w:r>
            <w:r>
              <w:rPr>
                <w:rStyle w:val="14"/>
                <w:rFonts w:eastAsia="宋体"/>
                <w:lang w:val="en-US" w:eastAsia="zh-CN" w:bidi="ar"/>
              </w:rPr>
              <w:br w:type="textWrapping"/>
            </w: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②所有项目依法采购，无规避政府采购或化整为零进行政府采购的行为，并履行验收手续，计0.5分，否则不得分；</w:t>
            </w:r>
            <w:r>
              <w:rPr>
                <w:rStyle w:val="14"/>
                <w:rFonts w:eastAsia="宋体"/>
                <w:lang w:val="en-US" w:eastAsia="zh-CN" w:bidi="ar"/>
              </w:rPr>
              <w:br w:type="textWrapping"/>
            </w:r>
            <w:r>
              <w:rPr>
                <w:rStyle w:val="13"/>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预算</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管理制度</w:t>
            </w:r>
            <w:r>
              <w:rPr>
                <w:rStyle w:val="14"/>
                <w:rFonts w:eastAsia="宋体"/>
                <w:lang w:val="en-US" w:eastAsia="zh-CN" w:bidi="ar"/>
              </w:rPr>
              <w:br w:type="textWrapping"/>
            </w:r>
            <w:r>
              <w:rPr>
                <w:rStyle w:val="13"/>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①是否已制定或具有预算资金管理办法、内部财务管理制度、会计核算制度等管理制度；</w:t>
            </w:r>
            <w:r>
              <w:rPr>
                <w:rStyle w:val="14"/>
                <w:rFonts w:eastAsia="宋体"/>
                <w:lang w:val="en-US" w:eastAsia="zh-CN" w:bidi="ar"/>
              </w:rPr>
              <w:br w:type="textWrapping"/>
            </w:r>
            <w:r>
              <w:rPr>
                <w:rStyle w:val="13"/>
                <w:lang w:val="en-US" w:eastAsia="zh-CN" w:bidi="ar"/>
              </w:rPr>
              <w:t>②相关管理制度是否合法、合规、完整；</w:t>
            </w:r>
            <w:r>
              <w:rPr>
                <w:rStyle w:val="14"/>
                <w:rFonts w:eastAsia="宋体"/>
                <w:lang w:val="en-US" w:eastAsia="zh-CN" w:bidi="ar"/>
              </w:rPr>
              <w:br w:type="textWrapping"/>
            </w:r>
            <w:r>
              <w:rPr>
                <w:rStyle w:val="13"/>
                <w:lang w:val="en-US" w:eastAsia="zh-CN" w:bidi="ar"/>
              </w:rPr>
              <w:t>③相关管理制度是否得到有效执行。</w:t>
            </w:r>
            <w:r>
              <w:rPr>
                <w:rStyle w:val="14"/>
                <w:rFonts w:eastAsia="宋体"/>
                <w:lang w:val="en-US" w:eastAsia="zh-CN" w:bidi="ar"/>
              </w:rPr>
              <w:br w:type="textWrapping"/>
            </w:r>
            <w:r>
              <w:rPr>
                <w:rStyle w:val="13"/>
                <w:lang w:val="en-US" w:eastAsia="zh-CN" w:bidi="ar"/>
              </w:rPr>
              <w:t>④会计人员、机构是否按规定设置；</w:t>
            </w:r>
            <w:r>
              <w:rPr>
                <w:rStyle w:val="14"/>
                <w:rFonts w:eastAsia="宋体"/>
                <w:lang w:val="en-US" w:eastAsia="zh-CN" w:bidi="ar"/>
              </w:rPr>
              <w:br w:type="textWrapping"/>
            </w:r>
            <w:r>
              <w:rPr>
                <w:rStyle w:val="13"/>
                <w:lang w:val="en-US" w:eastAsia="zh-CN" w:bidi="ar"/>
              </w:rPr>
              <w:t>⑤会计基础工作是否健全；</w:t>
            </w:r>
            <w:r>
              <w:rPr>
                <w:rStyle w:val="14"/>
                <w:rFonts w:eastAsia="宋体"/>
                <w:lang w:val="en-US" w:eastAsia="zh-CN" w:bidi="ar"/>
              </w:rPr>
              <w:br w:type="textWrapping"/>
            </w:r>
            <w:r>
              <w:rPr>
                <w:rStyle w:val="13"/>
                <w:lang w:val="en-US" w:eastAsia="zh-CN" w:bidi="ar"/>
              </w:rPr>
              <w:t>⑥会计档案是否符合规定要求；</w:t>
            </w:r>
            <w:r>
              <w:rPr>
                <w:rStyle w:val="14"/>
                <w:rFonts w:eastAsia="宋体"/>
                <w:lang w:val="en-US" w:eastAsia="zh-CN" w:bidi="ar"/>
              </w:rPr>
              <w:br w:type="textWrapping"/>
            </w:r>
            <w:r>
              <w:rPr>
                <w:rStyle w:val="13"/>
                <w:lang w:val="en-US" w:eastAsia="zh-CN" w:bidi="ar"/>
              </w:rPr>
              <w:t>⑦项目管理是否规范（包括项目立项、申报、招投标、合同或协议要素、制度建立、按时完工等）。</w:t>
            </w:r>
            <w:r>
              <w:rPr>
                <w:rStyle w:val="14"/>
                <w:rFonts w:eastAsia="宋体"/>
                <w:lang w:val="en-US" w:eastAsia="zh-CN" w:bidi="ar"/>
              </w:rPr>
              <w:br w:type="textWrapping"/>
            </w: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w:t>
            </w:r>
            <w:r>
              <w:rPr>
                <w:rStyle w:val="14"/>
                <w:rFonts w:eastAsia="宋体"/>
                <w:lang w:val="en-US" w:eastAsia="zh-CN" w:bidi="ar"/>
              </w:rPr>
              <w:br w:type="textWrapping"/>
            </w:r>
            <w:r>
              <w:rPr>
                <w:rStyle w:val="13"/>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r>
              <w:rPr>
                <w:rStyle w:val="14"/>
                <w:rFonts w:eastAsia="宋体"/>
                <w:lang w:val="en-US" w:eastAsia="zh-CN" w:bidi="ar"/>
              </w:rPr>
              <w:br w:type="textWrapping"/>
            </w: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4"/>
                <w:rFonts w:eastAsia="宋体"/>
                <w:lang w:val="en-US" w:eastAsia="zh-CN" w:bidi="ar"/>
              </w:rPr>
              <w:br w:type="textWrapping"/>
            </w: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r>
              <w:rPr>
                <w:rStyle w:val="13"/>
                <w:lang w:val="en-US" w:eastAsia="zh-CN" w:bidi="ar"/>
              </w:rPr>
              <w:br w:type="textWrapping"/>
            </w: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信息</w:t>
            </w:r>
            <w:r>
              <w:rPr>
                <w:rStyle w:val="14"/>
                <w:rFonts w:eastAsia="宋体"/>
                <w:lang w:val="en-US" w:eastAsia="zh-CN" w:bidi="ar"/>
              </w:rPr>
              <w:br w:type="textWrapping"/>
            </w:r>
            <w:r>
              <w:rPr>
                <w:rStyle w:val="13"/>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r>
              <w:rPr>
                <w:rStyle w:val="14"/>
                <w:rFonts w:eastAsia="宋体"/>
                <w:lang w:val="en-US" w:eastAsia="zh-CN" w:bidi="ar"/>
              </w:rPr>
              <w:br w:type="textWrapping"/>
            </w: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r>
              <w:rPr>
                <w:rStyle w:val="13"/>
                <w:lang w:val="en-US" w:eastAsia="zh-CN" w:bidi="ar"/>
              </w:rPr>
              <w:br w:type="textWrapping"/>
            </w: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非税收入</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r>
              <w:rPr>
                <w:rStyle w:val="14"/>
                <w:rFonts w:eastAsia="宋体"/>
                <w:lang w:val="en-US" w:eastAsia="zh-CN" w:bidi="ar"/>
              </w:rPr>
              <w:br w:type="textWrapping"/>
            </w: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绩效自评</w:t>
            </w:r>
            <w:r>
              <w:rPr>
                <w:rStyle w:val="14"/>
                <w:rFonts w:eastAsia="宋体"/>
                <w:lang w:val="en-US" w:eastAsia="zh-CN" w:bidi="ar"/>
              </w:rPr>
              <w:br w:type="textWrapping"/>
            </w:r>
            <w:r>
              <w:rPr>
                <w:rStyle w:val="13"/>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rFonts w:eastAsia="宋体"/>
                <w:lang w:val="en-US" w:eastAsia="zh-CN" w:bidi="ar"/>
              </w:rPr>
              <w:br w:type="textWrapping"/>
            </w:r>
            <w:r>
              <w:rPr>
                <w:rStyle w:val="13"/>
                <w:lang w:val="en-US" w:eastAsia="zh-CN" w:bidi="ar"/>
              </w:rPr>
              <w:t>①是否按要求开展部门（单位）整体支出绩效自评和专项资金支出自评工作。</w:t>
            </w:r>
            <w:r>
              <w:rPr>
                <w:rStyle w:val="14"/>
                <w:rFonts w:eastAsia="宋体"/>
                <w:lang w:val="en-US" w:eastAsia="zh-CN" w:bidi="ar"/>
              </w:rPr>
              <w:br w:type="textWrapping"/>
            </w:r>
            <w:r>
              <w:rPr>
                <w:rStyle w:val="13"/>
                <w:lang w:val="en-US" w:eastAsia="zh-CN" w:bidi="ar"/>
              </w:rPr>
              <w:t>②是否及时报送绩效自评报告；</w:t>
            </w:r>
            <w:r>
              <w:rPr>
                <w:rStyle w:val="14"/>
                <w:rFonts w:eastAsia="宋体"/>
                <w:lang w:val="en-US" w:eastAsia="zh-CN" w:bidi="ar"/>
              </w:rPr>
              <w:br w:type="textWrapping"/>
            </w:r>
            <w:r>
              <w:rPr>
                <w:rStyle w:val="13"/>
                <w:lang w:val="en-US" w:eastAsia="zh-CN" w:bidi="ar"/>
              </w:rPr>
              <w:t>③绩效自评报告是否完整，数据是否全面、真实、准确，绩效指标是否细化量化和科学合理；</w:t>
            </w:r>
            <w:r>
              <w:rPr>
                <w:rStyle w:val="14"/>
                <w:rFonts w:eastAsia="宋体"/>
                <w:lang w:val="en-US" w:eastAsia="zh-CN" w:bidi="ar"/>
              </w:rPr>
              <w:br w:type="textWrapping"/>
            </w:r>
            <w:r>
              <w:rPr>
                <w:rStyle w:val="13"/>
                <w:lang w:val="en-US" w:eastAsia="zh-CN" w:bidi="ar"/>
              </w:rPr>
              <w:t>④绩效自评反映的问题是否具体，意见是否可行，自评发现的问题是否整改；</w:t>
            </w:r>
            <w:r>
              <w:rPr>
                <w:rStyle w:val="14"/>
                <w:rFonts w:eastAsia="宋体"/>
                <w:lang w:val="en-US" w:eastAsia="zh-CN" w:bidi="ar"/>
              </w:rPr>
              <w:br w:type="textWrapping"/>
            </w: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重点绩效</w:t>
            </w:r>
            <w:r>
              <w:rPr>
                <w:rStyle w:val="14"/>
                <w:rFonts w:eastAsia="宋体"/>
                <w:lang w:val="en-US" w:eastAsia="zh-CN" w:bidi="ar"/>
              </w:rPr>
              <w:br w:type="textWrapping"/>
            </w:r>
            <w:r>
              <w:rPr>
                <w:rStyle w:val="13"/>
                <w:lang w:val="en-US" w:eastAsia="zh-CN" w:bidi="ar"/>
              </w:rPr>
              <w:t>评价整改</w:t>
            </w:r>
            <w:r>
              <w:rPr>
                <w:rStyle w:val="14"/>
                <w:rFonts w:eastAsia="宋体"/>
                <w:lang w:val="en-US" w:eastAsia="zh-CN" w:bidi="ar"/>
              </w:rPr>
              <w:br w:type="textWrapping"/>
            </w:r>
            <w:r>
              <w:rPr>
                <w:rStyle w:val="13"/>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资产</w:t>
            </w:r>
            <w:r>
              <w:rPr>
                <w:rStyle w:val="14"/>
                <w:rFonts w:eastAsia="宋体"/>
                <w:lang w:val="en-US" w:eastAsia="zh-CN" w:bidi="ar"/>
              </w:rPr>
              <w:br w:type="textWrapping"/>
            </w:r>
            <w:r>
              <w:rPr>
                <w:rStyle w:val="13"/>
                <w:lang w:val="en-US" w:eastAsia="zh-CN" w:bidi="ar"/>
              </w:rPr>
              <w:t>管理</w:t>
            </w:r>
            <w:r>
              <w:rPr>
                <w:rStyle w:val="14"/>
                <w:rFonts w:eastAsia="宋体"/>
                <w:lang w:val="en-US" w:eastAsia="zh-CN" w:bidi="ar"/>
              </w:rPr>
              <w:br w:type="textWrapping"/>
            </w:r>
            <w:r>
              <w:rPr>
                <w:rStyle w:val="13"/>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资产管理</w:t>
            </w:r>
            <w:r>
              <w:rPr>
                <w:rStyle w:val="14"/>
                <w:rFonts w:eastAsia="宋体"/>
                <w:lang w:val="en-US" w:eastAsia="zh-CN" w:bidi="ar"/>
              </w:rPr>
              <w:br w:type="textWrapping"/>
            </w:r>
            <w:r>
              <w:rPr>
                <w:rStyle w:val="13"/>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r>
              <w:rPr>
                <w:rStyle w:val="14"/>
                <w:rFonts w:eastAsia="宋体"/>
                <w:lang w:val="en-US" w:eastAsia="zh-CN" w:bidi="ar"/>
              </w:rPr>
              <w:br w:type="textWrapping"/>
            </w: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r>
              <w:rPr>
                <w:rStyle w:val="14"/>
                <w:rFonts w:eastAsia="宋体"/>
                <w:lang w:val="en-US" w:eastAsia="zh-CN" w:bidi="ar"/>
              </w:rPr>
              <w:br w:type="textWrapping"/>
            </w: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固定资产</w:t>
            </w:r>
            <w:r>
              <w:rPr>
                <w:rStyle w:val="14"/>
                <w:rFonts w:eastAsia="宋体"/>
                <w:lang w:val="en-US" w:eastAsia="zh-CN" w:bidi="ar"/>
              </w:rPr>
              <w:br w:type="textWrapping"/>
            </w:r>
            <w:r>
              <w:rPr>
                <w:rStyle w:val="13"/>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r>
              <w:rPr>
                <w:rStyle w:val="14"/>
                <w:rFonts w:eastAsia="宋体"/>
                <w:lang w:val="en-US" w:eastAsia="zh-CN" w:bidi="ar"/>
              </w:rPr>
              <w:br w:type="textWrapping"/>
            </w:r>
            <w:r>
              <w:rPr>
                <w:rStyle w:val="13"/>
                <w:lang w:val="en-US" w:eastAsia="zh-CN" w:bidi="ar"/>
              </w:rPr>
              <w:t>②建立了固定资产增减变化审批程序的计0.5分，否则不得分；</w:t>
            </w:r>
            <w:r>
              <w:rPr>
                <w:rStyle w:val="14"/>
                <w:rFonts w:eastAsia="宋体"/>
                <w:lang w:val="en-US" w:eastAsia="zh-CN" w:bidi="ar"/>
              </w:rPr>
              <w:br w:type="textWrapping"/>
            </w: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产出</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部门整体</w:t>
            </w:r>
            <w:r>
              <w:rPr>
                <w:rStyle w:val="14"/>
                <w:rFonts w:eastAsia="宋体"/>
                <w:lang w:val="en-US" w:eastAsia="zh-CN" w:bidi="ar"/>
              </w:rPr>
              <w:t xml:space="preserve"> </w:t>
            </w:r>
            <w:r>
              <w:rPr>
                <w:rStyle w:val="14"/>
                <w:rFonts w:eastAsia="宋体"/>
                <w:lang w:val="en-US" w:eastAsia="zh-CN" w:bidi="ar"/>
              </w:rPr>
              <w:br w:type="textWrapping"/>
            </w:r>
            <w:r>
              <w:rPr>
                <w:rStyle w:val="13"/>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br w:type="textWrapping"/>
            </w: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实际</w:t>
            </w:r>
            <w:r>
              <w:rPr>
                <w:rStyle w:val="16"/>
                <w:rFonts w:eastAsia="宋体"/>
                <w:lang w:val="en-US" w:eastAsia="zh-CN" w:bidi="ar"/>
              </w:rPr>
              <w:br w:type="textWrapping"/>
            </w:r>
            <w:r>
              <w:rPr>
                <w:rStyle w:val="15"/>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w:t>
            </w:r>
            <w:r>
              <w:rPr>
                <w:rStyle w:val="16"/>
                <w:rFonts w:eastAsia="宋体"/>
                <w:lang w:val="en-US" w:eastAsia="zh-CN" w:bidi="ar"/>
              </w:rPr>
              <w:br w:type="textWrapping"/>
            </w:r>
            <w:r>
              <w:rPr>
                <w:rStyle w:val="15"/>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质量</w:t>
            </w:r>
            <w:r>
              <w:rPr>
                <w:rStyle w:val="16"/>
                <w:rFonts w:eastAsia="宋体"/>
                <w:lang w:val="en-US" w:eastAsia="zh-CN" w:bidi="ar"/>
              </w:rPr>
              <w:br w:type="textWrapping"/>
            </w:r>
            <w:r>
              <w:rPr>
                <w:rStyle w:val="15"/>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6"/>
                <w:rFonts w:eastAsia="宋体"/>
                <w:lang w:val="en-US" w:eastAsia="zh-CN" w:bidi="ar"/>
              </w:rPr>
              <w:br w:type="textWrapping"/>
            </w: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center"/>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w:t>
            </w:r>
            <w:r>
              <w:rPr>
                <w:rStyle w:val="16"/>
                <w:rFonts w:eastAsia="宋体"/>
                <w:lang w:val="en-US" w:eastAsia="zh-CN" w:bidi="ar"/>
              </w:rPr>
              <w:br w:type="textWrapping"/>
            </w:r>
            <w:r>
              <w:rPr>
                <w:rStyle w:val="15"/>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r>
              <w:rPr>
                <w:rStyle w:val="16"/>
                <w:rFonts w:eastAsia="宋体"/>
                <w:lang w:val="en-US" w:eastAsia="zh-CN" w:bidi="ar"/>
              </w:rPr>
              <w:br w:type="textWrapping"/>
            </w:r>
            <w:r>
              <w:rPr>
                <w:rStyle w:val="15"/>
                <w:lang w:val="en-US" w:eastAsia="zh-CN" w:bidi="ar"/>
              </w:rPr>
              <w:t>重点工作是指党委、政府、人大、相关部门交办或下达的工作任务。</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效果</w:t>
            </w:r>
            <w:r>
              <w:rPr>
                <w:rStyle w:val="14"/>
                <w:rFonts w:eastAsia="宋体"/>
                <w:lang w:val="en-US" w:eastAsia="zh-CN" w:bidi="ar"/>
              </w:rPr>
              <w:br w:type="textWrapping"/>
            </w: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经济</w:t>
            </w:r>
            <w:r>
              <w:rPr>
                <w:rStyle w:val="16"/>
                <w:rFonts w:eastAsia="宋体"/>
                <w:lang w:val="en-US" w:eastAsia="zh-CN" w:bidi="ar"/>
              </w:rPr>
              <w:br w:type="textWrapping"/>
            </w:r>
            <w:r>
              <w:rPr>
                <w:rStyle w:val="15"/>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此三项指标可根据部门实际并结合部门整体支出绩效目标设立情况有选择的进行评价。</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生态</w:t>
            </w:r>
            <w:r>
              <w:rPr>
                <w:rStyle w:val="16"/>
                <w:rFonts w:eastAsia="宋体"/>
                <w:lang w:val="en-US" w:eastAsia="zh-CN" w:bidi="ar"/>
              </w:rPr>
              <w:br w:type="textWrapping"/>
            </w: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br w:type="textWrapping"/>
            </w: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r>
              <w:rPr>
                <w:rStyle w:val="16"/>
                <w:rFonts w:eastAsia="宋体"/>
                <w:lang w:val="en-US" w:eastAsia="zh-CN" w:bidi="ar"/>
              </w:rPr>
              <w:br w:type="textWrapping"/>
            </w: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2115" w:type="dxa"/>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95</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06"/>
        <w:gridCol w:w="1280"/>
        <w:gridCol w:w="1371"/>
        <w:gridCol w:w="2064"/>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123</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135975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134933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135975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134933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20400078.79</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4054100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18839553.26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279965.04</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353530.65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158736.3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234569.01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255275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670571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25030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17403.8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sz w:val="20"/>
                <w:szCs w:val="20"/>
                <w:u w:val="none"/>
              </w:rPr>
              <w:t>2632123.98</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3771698.55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仿宋" w:hAnsi="仿宋" w:eastAsia="仿宋" w:cs="仿宋"/>
                <w:i w:val="0"/>
                <w:iCs w:val="0"/>
                <w:color w:val="000000"/>
                <w:kern w:val="0"/>
                <w:sz w:val="20"/>
                <w:szCs w:val="20"/>
                <w:u w:val="none"/>
                <w:lang w:val="en-US" w:eastAsia="zh-CN" w:bidi="ar"/>
              </w:rPr>
              <w:t>严格节能降耗；严控差旅费；严控公务接待</w:t>
            </w:r>
          </w:p>
        </w:tc>
      </w:tr>
    </w:tbl>
    <w:p>
      <w:pPr>
        <w:pStyle w:val="6"/>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6"/>
        <w:ind w:left="0" w:leftChars="0" w:firstLine="0" w:firstLineChars="0"/>
        <w:rPr>
          <w:rFonts w:hint="eastAsia" w:ascii="仿宋" w:hAnsi="仿宋" w:eastAsia="仿宋" w:cs="仿宋"/>
          <w:sz w:val="24"/>
          <w:szCs w:val="24"/>
          <w:lang w:val="en-US" w:eastAsia="zh-CN"/>
        </w:rPr>
      </w:pPr>
    </w:p>
    <w:p>
      <w:pPr>
        <w:pStyle w:val="6"/>
        <w:ind w:left="0" w:leftChars="0" w:firstLine="0" w:firstLineChars="0"/>
        <w:rPr>
          <w:rFonts w:hint="eastAsia" w:ascii="仿宋" w:hAnsi="仿宋" w:eastAsia="仿宋" w:cs="仿宋"/>
          <w:sz w:val="22"/>
          <w:szCs w:val="22"/>
          <w:lang w:val="en-US" w:eastAsia="zh-CN"/>
        </w:rPr>
      </w:pPr>
      <w:r>
        <w:rPr>
          <w:rFonts w:hint="eastAsia" w:ascii="仿宋" w:hAnsi="仿宋" w:eastAsia="仿宋" w:cs="仿宋"/>
          <w:sz w:val="24"/>
          <w:szCs w:val="24"/>
          <w:lang w:val="en-US" w:eastAsia="zh-CN"/>
        </w:rPr>
        <w:t>填表人：</w:t>
      </w:r>
      <w:r>
        <w:rPr>
          <w:rFonts w:hint="eastAsia" w:ascii="仿宋" w:hAnsi="仿宋" w:eastAsia="仿宋" w:cs="仿宋"/>
          <w:sz w:val="22"/>
          <w:szCs w:val="22"/>
          <w:lang w:val="en-US" w:eastAsia="zh-CN"/>
        </w:rPr>
        <w:t xml:space="preserve">莫湘粤                                         </w:t>
      </w:r>
      <w:r>
        <w:rPr>
          <w:rFonts w:hint="eastAsia" w:ascii="仿宋" w:hAnsi="仿宋" w:eastAsia="仿宋" w:cs="仿宋"/>
          <w:sz w:val="24"/>
          <w:szCs w:val="24"/>
          <w:lang w:val="en-US" w:eastAsia="zh-CN"/>
        </w:rPr>
        <w:t>填报日期：</w:t>
      </w:r>
      <w:r>
        <w:rPr>
          <w:rFonts w:hint="eastAsia" w:ascii="仿宋" w:hAnsi="仿宋" w:eastAsia="仿宋" w:cs="仿宋"/>
          <w:sz w:val="22"/>
          <w:szCs w:val="22"/>
          <w:lang w:val="en-US" w:eastAsia="zh-CN"/>
        </w:rPr>
        <w:t xml:space="preserve">2024年2月29日 </w:t>
      </w:r>
    </w:p>
    <w:p>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联系电话：13762860246                              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244F4F-88A7-4891-9750-FD2A6B23BD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1B68ACA-D352-41D4-BE20-2BBCD5544718}"/>
  </w:font>
  <w:font w:name="方正小标宋简体">
    <w:panose1 w:val="02000000000000000000"/>
    <w:charset w:val="86"/>
    <w:family w:val="auto"/>
    <w:pitch w:val="default"/>
    <w:sig w:usb0="00000001" w:usb1="08000000" w:usb2="00000000" w:usb3="00000000" w:csb0="00040000" w:csb1="00000000"/>
    <w:embedRegular r:id="rId3" w:fontKey="{1415C0CE-CA16-413D-8B29-5D3592A702F3}"/>
  </w:font>
  <w:font w:name="楷体">
    <w:panose1 w:val="02010609060101010101"/>
    <w:charset w:val="86"/>
    <w:family w:val="modern"/>
    <w:pitch w:val="default"/>
    <w:sig w:usb0="800002BF" w:usb1="38CF7CFA" w:usb2="00000016" w:usb3="00000000" w:csb0="00040001" w:csb1="00000000"/>
    <w:embedRegular r:id="rId4" w:fontKey="{6903E814-B43B-46A0-B069-BC53A5426C94}"/>
  </w:font>
  <w:font w:name="方正小标宋_GBK">
    <w:panose1 w:val="02000000000000000000"/>
    <w:charset w:val="86"/>
    <w:family w:val="script"/>
    <w:pitch w:val="default"/>
    <w:sig w:usb0="A00002BF" w:usb1="38CF7CFA" w:usb2="00082016" w:usb3="00000000" w:csb0="00040001" w:csb1="00000000"/>
    <w:embedRegular r:id="rId5" w:fontKey="{B3E98F2A-A1A8-4B50-83A5-E484CA909109}"/>
  </w:font>
  <w:font w:name="楷体_GB2312">
    <w:panose1 w:val="02010609030101010101"/>
    <w:charset w:val="86"/>
    <w:family w:val="modern"/>
    <w:pitch w:val="default"/>
    <w:sig w:usb0="00000001" w:usb1="080E0000" w:usb2="00000000" w:usb3="00000000" w:csb0="00040000" w:csb1="00000000"/>
    <w:embedRegular r:id="rId6" w:fontKey="{D979C76C-DF5E-406C-A3D6-A42E7AEED487}"/>
  </w:font>
  <w:font w:name="仿宋">
    <w:panose1 w:val="02010609060101010101"/>
    <w:charset w:val="86"/>
    <w:family w:val="modern"/>
    <w:pitch w:val="default"/>
    <w:sig w:usb0="800002BF" w:usb1="38CF7CFA" w:usb2="00000016" w:usb3="00000000" w:csb0="00040001" w:csb1="00000000"/>
    <w:embedRegular r:id="rId7" w:fontKey="{4CF4342A-B06B-4C4A-A004-CAC314C16F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F55A3"/>
    <w:multiLevelType w:val="singleLevel"/>
    <w:tmpl w:val="AD4F55A3"/>
    <w:lvl w:ilvl="0" w:tentative="0">
      <w:start w:val="3"/>
      <w:numFmt w:val="chineseCounting"/>
      <w:suff w:val="nothing"/>
      <w:lvlText w:val="%1、"/>
      <w:lvlJc w:val="left"/>
      <w:rPr>
        <w:rFonts w:hint="eastAsia"/>
      </w:rPr>
    </w:lvl>
  </w:abstractNum>
  <w:abstractNum w:abstractNumId="1">
    <w:nsid w:val="C0ACF089"/>
    <w:multiLevelType w:val="singleLevel"/>
    <w:tmpl w:val="C0ACF089"/>
    <w:lvl w:ilvl="0" w:tentative="0">
      <w:start w:val="2"/>
      <w:numFmt w:val="chineseCounting"/>
      <w:suff w:val="nothing"/>
      <w:lvlText w:val="（%1）"/>
      <w:lvlJc w:val="left"/>
      <w:rPr>
        <w:rFonts w:hint="eastAsia"/>
      </w:rPr>
    </w:lvl>
  </w:abstractNum>
  <w:abstractNum w:abstractNumId="2">
    <w:nsid w:val="015441A4"/>
    <w:multiLevelType w:val="singleLevel"/>
    <w:tmpl w:val="015441A4"/>
    <w:lvl w:ilvl="0" w:tentative="0">
      <w:start w:val="1"/>
      <w:numFmt w:val="decimal"/>
      <w:suff w:val="space"/>
      <w:lvlText w:val="%1."/>
      <w:lvlJc w:val="left"/>
    </w:lvl>
  </w:abstractNum>
  <w:abstractNum w:abstractNumId="3">
    <w:nsid w:val="5E2DB3CE"/>
    <w:multiLevelType w:val="singleLevel"/>
    <w:tmpl w:val="5E2DB3CE"/>
    <w:lvl w:ilvl="0" w:tentative="0">
      <w:start w:val="1"/>
      <w:numFmt w:val="decimal"/>
      <w:lvlText w:val="%1."/>
      <w:lvlJc w:val="left"/>
      <w:pPr>
        <w:tabs>
          <w:tab w:val="left" w:pos="312"/>
        </w:tabs>
      </w:pPr>
    </w:lvl>
  </w:abstractNum>
  <w:abstractNum w:abstractNumId="4">
    <w:nsid w:val="680C6C34"/>
    <w:multiLevelType w:val="singleLevel"/>
    <w:tmpl w:val="680C6C34"/>
    <w:lvl w:ilvl="0" w:tentative="0">
      <w:start w:val="8"/>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DU4NmQ3MmQ5Y2Y5NTdkMmMwMTQzN2IxNmYxMTg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8A5515"/>
    <w:rsid w:val="0FA4224E"/>
    <w:rsid w:val="10125033"/>
    <w:rsid w:val="13063EC3"/>
    <w:rsid w:val="194621AC"/>
    <w:rsid w:val="1A835925"/>
    <w:rsid w:val="1C96001A"/>
    <w:rsid w:val="1CC15AD3"/>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BA09D7"/>
    <w:rsid w:val="2BD440AE"/>
    <w:rsid w:val="2BD575BF"/>
    <w:rsid w:val="2C6944DC"/>
    <w:rsid w:val="2DB2495A"/>
    <w:rsid w:val="2EF0518E"/>
    <w:rsid w:val="2F373F0A"/>
    <w:rsid w:val="2F465CE9"/>
    <w:rsid w:val="30133FEC"/>
    <w:rsid w:val="301467A7"/>
    <w:rsid w:val="319E58AE"/>
    <w:rsid w:val="32E672DE"/>
    <w:rsid w:val="33173320"/>
    <w:rsid w:val="33F47CCB"/>
    <w:rsid w:val="367E6347"/>
    <w:rsid w:val="36B74B2C"/>
    <w:rsid w:val="376A7251"/>
    <w:rsid w:val="38FF20BA"/>
    <w:rsid w:val="3B4A4976"/>
    <w:rsid w:val="3D6A788A"/>
    <w:rsid w:val="3E1C6CCE"/>
    <w:rsid w:val="3F07230B"/>
    <w:rsid w:val="401A4DB7"/>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44E62B5"/>
    <w:rsid w:val="54D83964"/>
    <w:rsid w:val="551E5284"/>
    <w:rsid w:val="569958AC"/>
    <w:rsid w:val="57965D12"/>
    <w:rsid w:val="587F7BAB"/>
    <w:rsid w:val="590B7824"/>
    <w:rsid w:val="598A0134"/>
    <w:rsid w:val="59BA41A7"/>
    <w:rsid w:val="5B0867B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57A4758"/>
    <w:rsid w:val="693B1A2C"/>
    <w:rsid w:val="6BDD159D"/>
    <w:rsid w:val="70561C9A"/>
    <w:rsid w:val="70BE3DCD"/>
    <w:rsid w:val="71AF52DC"/>
    <w:rsid w:val="71C15269"/>
    <w:rsid w:val="752D41F9"/>
    <w:rsid w:val="77F770D8"/>
    <w:rsid w:val="783F1A66"/>
    <w:rsid w:val="786A32D4"/>
    <w:rsid w:val="788155F2"/>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44</TotalTime>
  <ScaleCrop>false</ScaleCrop>
  <LinksUpToDate>false</LinksUpToDate>
  <CharactersWithSpaces>7985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WPS_1656493562</cp:lastModifiedBy>
  <cp:lastPrinted>2024-02-29T01:34:00Z</cp:lastPrinted>
  <dcterms:modified xsi:type="dcterms:W3CDTF">2024-03-25T01:45:45Z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4E6F3025C2F94D07864CA67D4A006AE1_13</vt:lpwstr>
  </property>
</Properties>
</file>