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80" w:lineRule="exact"/>
        <w:jc w:val="left"/>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r>
        <w:rPr>
          <w:rFonts w:hint="default" w:ascii="Times New Roman" w:hAnsi="Times New Roman" w:eastAsia="黑体" w:cs="Times New Roman"/>
          <w:i w:val="0"/>
          <w:iCs w:val="0"/>
          <w:color w:val="000000"/>
          <w:kern w:val="0"/>
          <w:sz w:val="32"/>
          <w:szCs w:val="32"/>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after="157" w:afterLines="50" w:line="680" w:lineRule="exact"/>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邵阳县人民政府决定继续有效的规范性文件目录</w:t>
      </w:r>
    </w:p>
    <w:tbl>
      <w:tblPr>
        <w:tblStyle w:val="8"/>
        <w:tblW w:w="147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4"/>
        <w:gridCol w:w="7020"/>
        <w:gridCol w:w="2815"/>
        <w:gridCol w:w="2434"/>
        <w:gridCol w:w="1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blHeader/>
          <w:jc w:val="center"/>
        </w:trPr>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w w:val="100"/>
                <w:sz w:val="24"/>
                <w:szCs w:val="24"/>
                <w:u w:val="none"/>
              </w:rPr>
            </w:pPr>
            <w:r>
              <w:rPr>
                <w:rFonts w:hint="eastAsia" w:ascii="黑体" w:hAnsi="黑体" w:eastAsia="黑体" w:cs="黑体"/>
                <w:i w:val="0"/>
                <w:iCs w:val="0"/>
                <w:color w:val="000000"/>
                <w:w w:val="100"/>
                <w:kern w:val="0"/>
                <w:sz w:val="24"/>
                <w:szCs w:val="24"/>
                <w:u w:val="none"/>
                <w:lang w:val="en-US" w:eastAsia="zh-CN" w:bidi="ar"/>
              </w:rPr>
              <w:t>序号</w:t>
            </w:r>
          </w:p>
        </w:tc>
        <w:tc>
          <w:tcPr>
            <w:tcW w:w="7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w w:val="100"/>
                <w:sz w:val="24"/>
                <w:szCs w:val="24"/>
                <w:u w:val="none"/>
              </w:rPr>
            </w:pPr>
            <w:r>
              <w:rPr>
                <w:rFonts w:hint="eastAsia" w:ascii="黑体" w:hAnsi="黑体" w:eastAsia="黑体" w:cs="黑体"/>
                <w:i w:val="0"/>
                <w:iCs w:val="0"/>
                <w:color w:val="000000"/>
                <w:w w:val="100"/>
                <w:kern w:val="0"/>
                <w:sz w:val="24"/>
                <w:szCs w:val="24"/>
                <w:u w:val="none"/>
                <w:lang w:val="en-US" w:eastAsia="zh-CN" w:bidi="ar"/>
              </w:rPr>
              <w:t>文件标题</w:t>
            </w:r>
          </w:p>
        </w:tc>
        <w:tc>
          <w:tcPr>
            <w:tcW w:w="2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w w:val="100"/>
                <w:sz w:val="24"/>
                <w:szCs w:val="24"/>
                <w:u w:val="none"/>
              </w:rPr>
            </w:pPr>
            <w:r>
              <w:rPr>
                <w:rFonts w:hint="eastAsia" w:ascii="黑体" w:hAnsi="黑体" w:eastAsia="黑体" w:cs="黑体"/>
                <w:i w:val="0"/>
                <w:iCs w:val="0"/>
                <w:color w:val="000000"/>
                <w:w w:val="100"/>
                <w:kern w:val="0"/>
                <w:sz w:val="24"/>
                <w:szCs w:val="24"/>
                <w:u w:val="none"/>
                <w:lang w:val="en-US" w:eastAsia="zh-CN" w:bidi="ar"/>
              </w:rPr>
              <w:t>文  号</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w w:val="100"/>
                <w:sz w:val="24"/>
                <w:szCs w:val="24"/>
                <w:u w:val="none"/>
              </w:rPr>
            </w:pPr>
            <w:r>
              <w:rPr>
                <w:rFonts w:hint="eastAsia" w:ascii="黑体" w:hAnsi="黑体" w:eastAsia="黑体" w:cs="黑体"/>
                <w:i w:val="0"/>
                <w:iCs w:val="0"/>
                <w:color w:val="000000"/>
                <w:w w:val="100"/>
                <w:kern w:val="0"/>
                <w:sz w:val="24"/>
                <w:szCs w:val="24"/>
                <w:u w:val="none"/>
                <w:lang w:val="en-US" w:eastAsia="zh-CN" w:bidi="ar"/>
              </w:rPr>
              <w:t>登记号</w:t>
            </w:r>
          </w:p>
        </w:tc>
        <w:tc>
          <w:tcPr>
            <w:tcW w:w="1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w w:val="100"/>
                <w:sz w:val="24"/>
                <w:szCs w:val="24"/>
                <w:u w:val="none"/>
              </w:rPr>
            </w:pPr>
            <w:r>
              <w:rPr>
                <w:rFonts w:hint="eastAsia" w:ascii="黑体" w:hAnsi="黑体" w:eastAsia="黑体" w:cs="黑体"/>
                <w:i w:val="0"/>
                <w:iCs w:val="0"/>
                <w:color w:val="000000"/>
                <w:w w:val="100"/>
                <w:kern w:val="0"/>
                <w:sz w:val="24"/>
                <w:szCs w:val="24"/>
                <w:u w:val="none"/>
                <w:lang w:val="en-US" w:eastAsia="zh-CN" w:bidi="ar"/>
              </w:rPr>
              <w:t>失效日期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blHeader/>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w w:val="100"/>
                <w:sz w:val="24"/>
                <w:szCs w:val="24"/>
                <w:u w:val="none"/>
              </w:rPr>
            </w:pPr>
          </w:p>
        </w:tc>
        <w:tc>
          <w:tcPr>
            <w:tcW w:w="7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w w:val="100"/>
                <w:sz w:val="24"/>
                <w:szCs w:val="24"/>
                <w:u w:val="none"/>
              </w:rPr>
            </w:pPr>
          </w:p>
        </w:tc>
        <w:tc>
          <w:tcPr>
            <w:tcW w:w="2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w w:val="100"/>
                <w:sz w:val="24"/>
                <w:szCs w:val="24"/>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w w:val="1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w w:val="1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关于加强邵阳天子湖国家湿地公园保护管理的通告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29</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00034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spacing w:val="-6"/>
                <w:w w:val="100"/>
                <w:kern w:val="0"/>
                <w:sz w:val="24"/>
                <w:szCs w:val="24"/>
                <w:u w:val="none"/>
                <w:lang w:val="en-US" w:eastAsia="zh-CN" w:bidi="ar"/>
              </w:rPr>
              <w:t>关于第二批清理规范</w:t>
            </w:r>
            <w:r>
              <w:rPr>
                <w:rFonts w:hint="default" w:ascii="Times New Roman" w:hAnsi="Times New Roman" w:eastAsia="仿宋_GB2312" w:cs="Times New Roman"/>
                <w:i w:val="0"/>
                <w:iCs w:val="0"/>
                <w:color w:val="000000"/>
                <w:spacing w:val="-6"/>
                <w:w w:val="100"/>
                <w:kern w:val="0"/>
                <w:sz w:val="24"/>
                <w:szCs w:val="24"/>
                <w:u w:val="none"/>
                <w:lang w:val="en-US" w:eastAsia="zh-CN" w:bidi="ar"/>
              </w:rPr>
              <w:t>17</w:t>
            </w:r>
            <w:r>
              <w:rPr>
                <w:rFonts w:hint="eastAsia" w:ascii="仿宋_GB2312" w:hAnsi="仿宋_GB2312" w:eastAsia="仿宋_GB2312" w:cs="仿宋_GB2312"/>
                <w:i w:val="0"/>
                <w:iCs w:val="0"/>
                <w:color w:val="000000"/>
                <w:spacing w:val="-6"/>
                <w:w w:val="100"/>
                <w:kern w:val="0"/>
                <w:sz w:val="24"/>
                <w:szCs w:val="24"/>
                <w:u w:val="none"/>
                <w:lang w:val="en-US" w:eastAsia="zh-CN" w:bidi="ar"/>
              </w:rPr>
              <w:t>项县政府部门行政审批中介服务事项的决定</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26</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00035</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spacing w:val="-6"/>
                <w:w w:val="100"/>
                <w:kern w:val="0"/>
                <w:sz w:val="24"/>
                <w:szCs w:val="24"/>
                <w:u w:val="none"/>
                <w:lang w:val="en-US" w:eastAsia="zh-CN" w:bidi="ar"/>
              </w:rPr>
              <w:t>关于第二批清理规范</w:t>
            </w:r>
            <w:r>
              <w:rPr>
                <w:rFonts w:hint="default" w:ascii="Times New Roman" w:hAnsi="Times New Roman" w:eastAsia="仿宋_GB2312" w:cs="Times New Roman"/>
                <w:i w:val="0"/>
                <w:iCs w:val="0"/>
                <w:color w:val="000000"/>
                <w:spacing w:val="-6"/>
                <w:w w:val="100"/>
                <w:kern w:val="0"/>
                <w:sz w:val="24"/>
                <w:szCs w:val="24"/>
                <w:u w:val="none"/>
                <w:lang w:val="en-US" w:eastAsia="zh-CN" w:bidi="ar"/>
              </w:rPr>
              <w:t>5</w:t>
            </w:r>
            <w:r>
              <w:rPr>
                <w:rFonts w:hint="eastAsia" w:ascii="仿宋_GB2312" w:hAnsi="仿宋_GB2312" w:eastAsia="仿宋_GB2312" w:cs="仿宋_GB2312"/>
                <w:i w:val="0"/>
                <w:iCs w:val="0"/>
                <w:color w:val="000000"/>
                <w:spacing w:val="-6"/>
                <w:w w:val="100"/>
                <w:kern w:val="0"/>
                <w:sz w:val="24"/>
                <w:szCs w:val="24"/>
                <w:u w:val="none"/>
                <w:lang w:val="en-US" w:eastAsia="zh-CN" w:bidi="ar"/>
              </w:rPr>
              <w:t>项县政府部门行政审批中介服务事项的决定</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00036</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关于印发《湖南邵阳天子湖国家湿地公园保护管理办法》的通知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142</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01015</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关于取消和承接一批行政许可事项的通知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157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01016</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关于在全县实行农药经营许可证制度的通告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4</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关于保护水产资源维护渔业生产秩序的通告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5</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8</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spacing w:val="-6"/>
                <w:w w:val="100"/>
                <w:kern w:val="0"/>
                <w:sz w:val="24"/>
                <w:szCs w:val="24"/>
                <w:u w:val="none"/>
                <w:lang w:val="en-US" w:eastAsia="zh-CN" w:bidi="ar"/>
              </w:rPr>
              <w:t>关</w:t>
            </w:r>
            <w:bookmarkStart w:id="0" w:name="_GoBack"/>
            <w:r>
              <w:rPr>
                <w:rFonts w:hint="eastAsia" w:ascii="仿宋_GB2312" w:hAnsi="仿宋_GB2312" w:eastAsia="仿宋_GB2312" w:cs="仿宋_GB2312"/>
                <w:i w:val="0"/>
                <w:iCs w:val="0"/>
                <w:color w:val="000000"/>
                <w:spacing w:val="-6"/>
                <w:w w:val="100"/>
                <w:kern w:val="0"/>
                <w:sz w:val="24"/>
                <w:szCs w:val="24"/>
                <w:u w:val="none"/>
                <w:lang w:val="en-US" w:eastAsia="zh-CN" w:bidi="ar"/>
              </w:rPr>
              <w:t>于邵阳县思源双合实验学校及配</w:t>
            </w:r>
            <w:bookmarkEnd w:id="0"/>
            <w:r>
              <w:rPr>
                <w:rFonts w:hint="eastAsia" w:ascii="仿宋_GB2312" w:hAnsi="仿宋_GB2312" w:eastAsia="仿宋_GB2312" w:cs="仿宋_GB2312"/>
                <w:i w:val="0"/>
                <w:iCs w:val="0"/>
                <w:color w:val="000000"/>
                <w:spacing w:val="-6"/>
                <w:w w:val="100"/>
                <w:kern w:val="0"/>
                <w:sz w:val="24"/>
                <w:szCs w:val="24"/>
                <w:u w:val="none"/>
                <w:lang w:val="en-US" w:eastAsia="zh-CN" w:bidi="ar"/>
              </w:rPr>
              <w:t>套道路建设项目征收土地的通告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6</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00005</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9</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关于邵阳县塘渡口镇第五完全小学扩建工程预征收土地的通告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00006</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10</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年第六批次建设用地项目征收土地的通告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8</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00007</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11</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关于邵阳县永民冷冻品及腊制品交易市场与农副产品交易中心建设项目征收土地的通告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9</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00008</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12</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关于划定怀邵衡铁路邵阳县行政区内铁路线路安全保护区的通告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10</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00009</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06</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13</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关于取消一批行政审批中介服务和证明材料的通知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00010</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14</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关于启用公路治超非现场执法系统的通告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25</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15</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关于印发《邵阳县原农机局棚户区改造工程国有土地上房屋征收与补偿方案》的通知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10</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16</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关于县原农机局棚户区改造工程国有土地上房屋征收范围的通告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19</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00016</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17</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关于县原农机局棚户区改造工程国有土地上房屋征收决定的通告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23</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00018</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18</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关于进一步加强餐厨剩余物管理的通告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00020</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19</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关于公布邵阳县本级“马上办网上办就近办一次办”事项清单的通知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13</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00021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关于划定高污染燃料禁燃区的通告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30</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00022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21</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关于印发《邵阳县大型群众性活动安全管理办法》的通知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36</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22</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关于印发《邵阳县政府投资项目审批及概算管理办法》的通知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28</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23</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关于印发《邵阳县道路运输安全“隐患清零”实施细则》的通知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24</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关于印发《邵阳县电商综合服务站运营管理办法》的通知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65</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01006</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06</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25</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关于印发《邵阳县不动产登记工作中有关遗留问题的处理意见》的通知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82</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01007</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26</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spacing w:val="-6"/>
                <w:w w:val="100"/>
                <w:kern w:val="0"/>
                <w:sz w:val="24"/>
                <w:szCs w:val="24"/>
                <w:u w:val="none"/>
                <w:lang w:val="en-US" w:eastAsia="zh-CN" w:bidi="ar"/>
              </w:rPr>
              <w:t>关于印发《邵阳县防治慢性病中长期规划（</w:t>
            </w:r>
            <w:r>
              <w:rPr>
                <w:rFonts w:hint="default" w:ascii="Times New Roman" w:hAnsi="Times New Roman" w:eastAsia="仿宋_GB2312" w:cs="Times New Roman"/>
                <w:i w:val="0"/>
                <w:iCs w:val="0"/>
                <w:color w:val="000000"/>
                <w:spacing w:val="-6"/>
                <w:w w:val="100"/>
                <w:kern w:val="0"/>
                <w:sz w:val="24"/>
                <w:szCs w:val="24"/>
                <w:u w:val="none"/>
                <w:lang w:val="en-US" w:eastAsia="zh-CN" w:bidi="ar"/>
              </w:rPr>
              <w:t>2018</w:t>
            </w:r>
            <w:r>
              <w:rPr>
                <w:rFonts w:hint="eastAsia" w:ascii="仿宋_GB2312" w:hAnsi="仿宋_GB2312" w:eastAsia="仿宋_GB2312" w:cs="仿宋_GB2312"/>
                <w:i w:val="0"/>
                <w:iCs w:val="0"/>
                <w:color w:val="000000"/>
                <w:spacing w:val="-6"/>
                <w:w w:val="100"/>
                <w:kern w:val="0"/>
                <w:sz w:val="24"/>
                <w:szCs w:val="24"/>
                <w:u w:val="none"/>
                <w:lang w:val="en-US" w:eastAsia="zh-CN" w:bidi="ar"/>
              </w:rPr>
              <w:t>-</w:t>
            </w:r>
            <w:r>
              <w:rPr>
                <w:rFonts w:hint="default" w:ascii="Times New Roman" w:hAnsi="Times New Roman" w:eastAsia="仿宋_GB2312" w:cs="Times New Roman"/>
                <w:i w:val="0"/>
                <w:iCs w:val="0"/>
                <w:color w:val="000000"/>
                <w:spacing w:val="-6"/>
                <w:w w:val="100"/>
                <w:kern w:val="0"/>
                <w:sz w:val="24"/>
                <w:szCs w:val="24"/>
                <w:u w:val="none"/>
                <w:lang w:val="en-US" w:eastAsia="zh-CN" w:bidi="ar"/>
              </w:rPr>
              <w:t>2025</w:t>
            </w:r>
            <w:r>
              <w:rPr>
                <w:rFonts w:hint="eastAsia" w:ascii="仿宋_GB2312" w:hAnsi="仿宋_GB2312" w:eastAsia="仿宋_GB2312" w:cs="仿宋_GB2312"/>
                <w:i w:val="0"/>
                <w:iCs w:val="0"/>
                <w:color w:val="000000"/>
                <w:spacing w:val="-6"/>
                <w:w w:val="100"/>
                <w:kern w:val="0"/>
                <w:sz w:val="24"/>
                <w:szCs w:val="24"/>
                <w:u w:val="none"/>
                <w:lang w:val="en-US" w:eastAsia="zh-CN" w:bidi="ar"/>
              </w:rPr>
              <w:t>年）》的通知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96</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01008</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27</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关于印发《邵阳县新建商品房预售资金监管办法》的通知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107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01010</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28</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关于印发《邵阳县船舶污染物接收转运处置联单管理和联合监管制度》的通知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98</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01011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29</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关于印发《邵阳县殡葬管理实施办法》的通知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109</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01013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30</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关于设立洛湛铁路（邵永段）线路安全保护区的通告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31</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关于邵阳县福源老年公寓建设项目征收土地的通告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32</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w:t>
            </w:r>
            <w:r>
              <w:rPr>
                <w:rFonts w:hint="default" w:ascii="Times New Roman" w:hAnsi="Times New Roman" w:eastAsia="仿宋_GB2312" w:cs="Times New Roman"/>
                <w:i w:val="0"/>
                <w:iCs w:val="0"/>
                <w:color w:val="000000"/>
                <w:w w:val="100"/>
                <w:kern w:val="0"/>
                <w:sz w:val="24"/>
                <w:szCs w:val="24"/>
                <w:u w:val="none"/>
                <w:lang w:val="en-US" w:eastAsia="zh-CN" w:bidi="ar"/>
              </w:rPr>
              <w:t>2017</w:t>
            </w:r>
            <w:r>
              <w:rPr>
                <w:rFonts w:hint="eastAsia" w:ascii="仿宋_GB2312" w:hAnsi="仿宋_GB2312" w:eastAsia="仿宋_GB2312" w:cs="仿宋_GB2312"/>
                <w:i w:val="0"/>
                <w:iCs w:val="0"/>
                <w:color w:val="000000"/>
                <w:w w:val="100"/>
                <w:kern w:val="0"/>
                <w:sz w:val="24"/>
                <w:szCs w:val="24"/>
                <w:u w:val="none"/>
                <w:lang w:val="en-US" w:eastAsia="zh-CN" w:bidi="ar"/>
              </w:rPr>
              <w:t>年第四批次建设用地项目征收土地的通告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33</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关于邵阳县塘渡口镇第五完全小学扩建项目征收土地的通告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4</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34</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关于邵阳县白仓镇金穗摇篮幼儿园建设项目征收土地的通告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6</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00007</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35</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spacing w:val="-6"/>
                <w:w w:val="100"/>
                <w:kern w:val="0"/>
                <w:sz w:val="24"/>
                <w:szCs w:val="24"/>
                <w:u w:val="none"/>
                <w:lang w:val="en-US" w:eastAsia="zh-CN" w:bidi="ar"/>
              </w:rPr>
              <w:t>关于邵阳县五峰铺镇弄子生态旅游接待点建设项目征收土地的通告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00008</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36</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关于邵阳县黄荆加油站建设项目征收土地的通告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8</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00009</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37</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关于邵阳县中心敬老院项目征收土地的通告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9</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00010</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38</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年第五批次建设用地项目征收土地的通告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10</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39</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年第二批次建设用地项目征收土地的通告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40</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年第三批次建设用地项目征收土地的通告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41</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spacing w:val="-6"/>
                <w:w w:val="100"/>
                <w:kern w:val="0"/>
                <w:sz w:val="24"/>
                <w:szCs w:val="24"/>
                <w:u w:val="none"/>
                <w:lang w:val="en-US" w:eastAsia="zh-CN" w:bidi="ar"/>
              </w:rPr>
              <w:t>关于邵阳县国家基准气候观测站业务用房建设项目征收土地的通告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13</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00015</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42</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关于严厉打击违规弃置病死畜禽违法行为的通告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15</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00017</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43</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年第一批次建设用地项目征收土地的通告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16</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00018</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44</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关于邵阳县</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年第四批次建设用地项目征收土地的通告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18</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00019</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45</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关于规范房地产开发管理促进房地产市场健康发展的意见</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00022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46</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邵阳县人民政府关于邵阳县岩口铺镇中心完全小学扩建项目征收土地的通告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00026</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47</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邵阳县人民政府关于邵阳县振羽体育生态公园春华路项目国有土地上房屋征收范围的通告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00028</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48</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关于印发《邵阳县县级储备粮管理办法》的通知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49</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关于印发《邵阳县举报毒品违法犯罪行为奖励办法》的通知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8</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50</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关于印发《邵阳县打击涉毒违法犯罪奖励办法》的通知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9</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51</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关于印发《邵阳县残疾儿童康复救助制度实施细则》的通知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23</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52</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关于印发《邵阳县“一件事一次办”改革工作实施方案》的通知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41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01007</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53</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关于印发《邵阳县房地产税收一体化征收管理办法》的通知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60</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01008</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54</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邵阳县人民政府办公室关于印发《邵阳县不动产登记遗留问题处理的补充意见》的通知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88</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01013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55</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邵阳县人民政府关于继续实行封山育林全面禁伐的通告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56</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邵阳县人民政府关于雅中-江西±</w:t>
            </w:r>
            <w:r>
              <w:rPr>
                <w:rFonts w:hint="default" w:ascii="Times New Roman" w:hAnsi="Times New Roman" w:eastAsia="仿宋_GB2312" w:cs="Times New Roman"/>
                <w:i w:val="0"/>
                <w:iCs w:val="0"/>
                <w:color w:val="000000"/>
                <w:w w:val="100"/>
                <w:kern w:val="0"/>
                <w:sz w:val="24"/>
                <w:szCs w:val="24"/>
                <w:u w:val="none"/>
                <w:lang w:val="en-US" w:eastAsia="zh-CN" w:bidi="ar"/>
              </w:rPr>
              <w:t>800</w:t>
            </w:r>
            <w:r>
              <w:rPr>
                <w:rFonts w:hint="eastAsia" w:ascii="仿宋_GB2312" w:hAnsi="仿宋_GB2312" w:eastAsia="仿宋_GB2312" w:cs="仿宋_GB2312"/>
                <w:i w:val="0"/>
                <w:iCs w:val="0"/>
                <w:color w:val="000000"/>
                <w:w w:val="100"/>
                <w:kern w:val="0"/>
                <w:sz w:val="24"/>
                <w:szCs w:val="24"/>
                <w:u w:val="none"/>
                <w:lang w:val="en-US" w:eastAsia="zh-CN" w:bidi="ar"/>
              </w:rPr>
              <w:t>千伏特高压直流工程建设项目拟征收房屋的通告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57</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邵阳县人民政府关于开展农村宅基地和集体建设用地房地一体确权登记发证工作的通告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4</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58</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spacing w:val="-6"/>
                <w:w w:val="100"/>
                <w:kern w:val="0"/>
                <w:sz w:val="24"/>
                <w:szCs w:val="24"/>
                <w:u w:val="none"/>
                <w:lang w:val="en-US" w:eastAsia="zh-CN" w:bidi="ar"/>
              </w:rPr>
              <w:t>邵阳县人民政府关于划定高排放非道路移动机械限制作业区的通告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00008</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59</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邵阳县人民政府禁火令</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00010</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60</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spacing w:val="-6"/>
                <w:w w:val="100"/>
                <w:kern w:val="0"/>
                <w:sz w:val="24"/>
                <w:szCs w:val="24"/>
                <w:u w:val="none"/>
                <w:lang w:val="en-US" w:eastAsia="zh-CN" w:bidi="ar"/>
              </w:rPr>
              <w:t>邵阳县人民政府关于印发《邵阳县政府投资项目管理办法》的通知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61</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spacing w:val="-6"/>
                <w:w w:val="100"/>
                <w:kern w:val="0"/>
                <w:sz w:val="24"/>
                <w:szCs w:val="24"/>
                <w:u w:val="none"/>
                <w:lang w:val="en-US" w:eastAsia="zh-CN" w:bidi="ar"/>
              </w:rPr>
              <w:t>邵阳县人民政府关于调整下放一批行政权力和公共服务事项的通知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14</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62</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邵阳县人民政府关于印发《邵阳县易地扶贫搬迁安置项目资产管理办法》的通知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16</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63</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spacing w:val="-6"/>
                <w:w w:val="100"/>
                <w:kern w:val="0"/>
                <w:sz w:val="24"/>
                <w:szCs w:val="24"/>
                <w:u w:val="none"/>
                <w:lang w:val="en-US" w:eastAsia="zh-CN" w:bidi="ar"/>
              </w:rPr>
              <w:t>邵阳县人民政府关于印发《邵阳县人民政府合同管理办法》的通知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00015</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2026</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64</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邵阳县人民政府关于印发《邵阳县规范性文件管理办法》的通知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18</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00016</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65</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邵阳县人民政府办公室关于妥善处理农村宅基地和集体建设用地房地一体确权登记发证有关问题的通知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Style w:val="11"/>
                <w:rFonts w:hint="eastAsia" w:ascii="仿宋_GB2312" w:hAnsi="仿宋_GB2312" w:eastAsia="仿宋_GB2312" w:cs="仿宋_GB2312"/>
                <w:w w:val="100"/>
                <w:sz w:val="24"/>
                <w:szCs w:val="24"/>
                <w:lang w:val="en-US" w:eastAsia="zh-CN" w:bidi="ar"/>
              </w:rPr>
              <w:t>邵政办发</w:t>
            </w:r>
            <w:r>
              <w:rPr>
                <w:rStyle w:val="12"/>
                <w:rFonts w:hint="eastAsia" w:ascii="仿宋_GB2312" w:hAnsi="仿宋_GB2312" w:eastAsia="仿宋_GB2312" w:cs="仿宋_GB2312"/>
                <w:w w:val="100"/>
                <w:sz w:val="24"/>
                <w:szCs w:val="24"/>
                <w:lang w:val="en-US" w:eastAsia="zh-CN" w:bidi="ar"/>
              </w:rPr>
              <w:t>〔</w:t>
            </w:r>
            <w:r>
              <w:rPr>
                <w:rStyle w:val="12"/>
                <w:rFonts w:hint="default" w:ascii="Times New Roman" w:hAnsi="Times New Roman" w:eastAsia="仿宋_GB2312" w:cs="Times New Roman"/>
                <w:w w:val="100"/>
                <w:sz w:val="24"/>
                <w:szCs w:val="24"/>
                <w:lang w:val="en-US" w:eastAsia="zh-CN" w:bidi="ar"/>
              </w:rPr>
              <w:t>2020</w:t>
            </w:r>
            <w:r>
              <w:rPr>
                <w:rStyle w:val="12"/>
                <w:rFonts w:hint="eastAsia" w:ascii="仿宋_GB2312" w:hAnsi="仿宋_GB2312" w:eastAsia="仿宋_GB2312" w:cs="仿宋_GB2312"/>
                <w:w w:val="100"/>
                <w:sz w:val="24"/>
                <w:szCs w:val="24"/>
                <w:lang w:val="en-US" w:eastAsia="zh-CN" w:bidi="ar"/>
              </w:rPr>
              <w:t>〕</w:t>
            </w:r>
            <w:r>
              <w:rPr>
                <w:rStyle w:val="11"/>
                <w:rFonts w:hint="default" w:ascii="Times New Roman" w:hAnsi="Times New Roman" w:eastAsia="仿宋_GB2312" w:cs="Times New Roman"/>
                <w:w w:val="100"/>
                <w:sz w:val="24"/>
                <w:szCs w:val="24"/>
                <w:lang w:val="en-US" w:eastAsia="zh-CN" w:bidi="ar"/>
              </w:rPr>
              <w:t>22</w:t>
            </w:r>
            <w:r>
              <w:rPr>
                <w:rStyle w:val="11"/>
                <w:rFonts w:hint="eastAsia" w:ascii="仿宋_GB2312" w:hAnsi="仿宋_GB2312" w:eastAsia="仿宋_GB2312" w:cs="仿宋_GB2312"/>
                <w:w w:val="100"/>
                <w:sz w:val="24"/>
                <w:szCs w:val="24"/>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66</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邵阳县人民政府办公室关于进一步规范政府采购工作的通知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67</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邵阳县人民政府办公室关于印发《邵阳县文物保护单位管理办法》的通知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74</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68</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邵阳县人民政府关于切实加强松材线虫病防治工作的通告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2026</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69</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邵阳县人民政府关于规范农村宅基地管理妥善处理有关遗留问题的通知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2021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6</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2026</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70</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邵阳县人民政府关于印发《邵阳县政府投资建设项目审计监督实施办法》的通知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2021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2026</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71</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邵阳县人民政府办公室关于印发《邵阳县县城规划区个人建房管理办法》的通知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2021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46</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2021</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2026</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72</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邵阳县人民政府关于我县城区机动车停放服务收费的通告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73</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关于印发《邵阳县集体土地征收及房屋拆迁补偿安置实施细则》的通知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74</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关于坚决制止违法乱占耕地行为的通告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75</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邵阳县人民政府关于对资江、赧水、夫夷水邵阳县段实行禁渔的通告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9</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00007</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2030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76</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邵阳县人民政府关于开展房屋安全隐患排查专项整治的通告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15</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00008</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77</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邵阳县人民政府关于拆除屋顶违法建筑的通告</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17</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00009</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78</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关于印发《邵阳县农村土地承包经营权流转实施细则》的通知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4</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01001</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79</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关于印发《邵阳县项目工程建设税收征收管理暂行办法》的通知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33</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01002</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2024</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03</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80</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邵阳县人民政府办公室关于印发《邵阳县行政执法与刑事司法衔接工作规定》的通知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55</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01003</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06</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81</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邵阳县人民政府办公室关于印发《邵阳县全面推行行政执法“三项制度”若干意见》的通知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43</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01004</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82</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邵阳县人民政府办公室关于印发《邵阳县人民政府重大行政决策程序规定》的通知</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44</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2022</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01005</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2027</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05</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09</w:t>
            </w:r>
          </w:p>
        </w:tc>
      </w:tr>
    </w:tbl>
    <w:p/>
    <w:p>
      <w:pPr>
        <w:keepNext w:val="0"/>
        <w:keepLines w:val="0"/>
        <w:widowControl/>
        <w:suppressLineNumbers w:val="0"/>
        <w:jc w:val="left"/>
        <w:textAlignment w:val="center"/>
        <w:rPr>
          <w:rFonts w:hint="eastAsia" w:ascii="宋体" w:hAnsi="宋体" w:eastAsia="宋体" w:cs="宋体"/>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p>
    <w:sectPr>
      <w:footerReference r:id="rId3" w:type="default"/>
      <w:pgSz w:w="16838" w:h="11906" w:orient="landscape"/>
      <w:pgMar w:top="1814" w:right="141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3000509000000000000"/>
    <w:charset w:val="86"/>
    <w:family w:val="script"/>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YmIzZTg1YmYzZDVlNWU0NjM4ZTFjNmJjODIyY2YifQ=="/>
  </w:docVars>
  <w:rsids>
    <w:rsidRoot w:val="5506132F"/>
    <w:rsid w:val="022842EE"/>
    <w:rsid w:val="07CC3797"/>
    <w:rsid w:val="0A8306A3"/>
    <w:rsid w:val="19A50702"/>
    <w:rsid w:val="214B4C67"/>
    <w:rsid w:val="2C4B1C63"/>
    <w:rsid w:val="2DAC0619"/>
    <w:rsid w:val="33BF1C54"/>
    <w:rsid w:val="3B6B036B"/>
    <w:rsid w:val="40C12B02"/>
    <w:rsid w:val="451D5DDE"/>
    <w:rsid w:val="54872E37"/>
    <w:rsid w:val="5506132F"/>
    <w:rsid w:val="5A172C14"/>
    <w:rsid w:val="5F27003B"/>
    <w:rsid w:val="63DA503B"/>
    <w:rsid w:val="68C41907"/>
    <w:rsid w:val="6B86284C"/>
    <w:rsid w:val="7A177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8" w:beforeLines="0"/>
      <w:ind w:left="1558"/>
    </w:pPr>
    <w:rPr>
      <w:rFonts w:ascii="方正大标宋_GBK" w:hAnsi="Times New Roman" w:eastAsia="方正大标宋_GBK" w:cs="Times New Roman"/>
      <w:kern w:val="0"/>
      <w:sz w:val="69"/>
      <w:szCs w:val="24"/>
    </w:rPr>
  </w:style>
  <w:style w:type="paragraph" w:styleId="3">
    <w:name w:val="footer"/>
    <w:basedOn w:val="1"/>
    <w:next w:val="4"/>
    <w:qFormat/>
    <w:uiPriority w:val="0"/>
    <w:pPr>
      <w:tabs>
        <w:tab w:val="center" w:pos="4153"/>
        <w:tab w:val="right" w:pos="8306"/>
      </w:tabs>
      <w:snapToGrid w:val="0"/>
      <w:jc w:val="left"/>
    </w:pPr>
    <w:rPr>
      <w:sz w:val="18"/>
    </w:rPr>
  </w:style>
  <w:style w:type="paragraph" w:customStyle="1" w:styleId="4">
    <w:name w:val="UserStyle_0"/>
    <w:basedOn w:val="5"/>
    <w:next w:val="1"/>
    <w:qFormat/>
    <w:uiPriority w:val="0"/>
    <w:pPr>
      <w:spacing w:line="240" w:lineRule="auto"/>
      <w:ind w:left="1680"/>
      <w:jc w:val="both"/>
      <w:textAlignment w:val="baseline"/>
    </w:pPr>
  </w:style>
  <w:style w:type="paragraph" w:customStyle="1" w:styleId="5">
    <w:name w:val="Heading1"/>
    <w:basedOn w:val="1"/>
    <w:next w:val="1"/>
    <w:qFormat/>
    <w:uiPriority w:val="0"/>
    <w:pPr>
      <w:spacing w:beforeAutospacing="1" w:after="100" w:afterAutospacing="1"/>
      <w:ind w:firstLine="880" w:firstLineChars="200"/>
      <w:jc w:val="left"/>
    </w:pPr>
    <w:rPr>
      <w:rFonts w:eastAsia="黑体"/>
      <w:b/>
      <w:kern w:val="44"/>
      <w:sz w:val="32"/>
      <w:szCs w:val="4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3"/>
    <w:qFormat/>
    <w:uiPriority w:val="0"/>
    <w:pPr>
      <w:spacing w:before="0" w:beforeAutospacing="1" w:after="0" w:afterAutospacing="1"/>
      <w:ind w:left="0" w:right="0"/>
      <w:jc w:val="left"/>
    </w:pPr>
    <w:rPr>
      <w:kern w:val="0"/>
      <w:sz w:val="24"/>
      <w:lang w:val="en-US" w:eastAsia="zh-CN" w:bidi="ar"/>
    </w:rPr>
  </w:style>
  <w:style w:type="paragraph" w:customStyle="1" w:styleId="10">
    <w:name w:val="Heading #1|1"/>
    <w:basedOn w:val="1"/>
    <w:qFormat/>
    <w:uiPriority w:val="0"/>
    <w:pPr>
      <w:widowControl w:val="0"/>
      <w:shd w:val="clear" w:color="auto" w:fill="auto"/>
      <w:spacing w:before="410" w:after="320"/>
      <w:jc w:val="center"/>
      <w:outlineLvl w:val="0"/>
    </w:pPr>
    <w:rPr>
      <w:rFonts w:ascii="宋体" w:hAnsi="宋体" w:eastAsia="宋体" w:cs="宋体"/>
      <w:sz w:val="44"/>
      <w:szCs w:val="44"/>
      <w:u w:val="none"/>
      <w:shd w:val="clear" w:color="auto" w:fill="auto"/>
      <w:lang w:val="zh-TW" w:eastAsia="zh-TW" w:bidi="zh-TW"/>
    </w:rPr>
  </w:style>
  <w:style w:type="character" w:customStyle="1" w:styleId="11">
    <w:name w:val="font51"/>
    <w:basedOn w:val="9"/>
    <w:qFormat/>
    <w:uiPriority w:val="0"/>
    <w:rPr>
      <w:rFonts w:hint="eastAsia" w:ascii="方正仿宋简体" w:hAnsi="方正仿宋简体" w:eastAsia="方正仿宋简体" w:cs="方正仿宋简体"/>
      <w:color w:val="000000"/>
      <w:sz w:val="24"/>
      <w:szCs w:val="24"/>
      <w:u w:val="none"/>
    </w:rPr>
  </w:style>
  <w:style w:type="character" w:customStyle="1" w:styleId="12">
    <w:name w:val="font61"/>
    <w:basedOn w:val="9"/>
    <w:qFormat/>
    <w:uiPriority w:val="0"/>
    <w:rPr>
      <w:rFonts w:hint="eastAsia" w:ascii="方正仿宋简体" w:hAnsi="方正仿宋简体" w:eastAsia="方正仿宋简体" w:cs="方正仿宋简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5027</Words>
  <Characters>7843</Characters>
  <Lines>0</Lines>
  <Paragraphs>0</Paragraphs>
  <TotalTime>8</TotalTime>
  <ScaleCrop>false</ScaleCrop>
  <LinksUpToDate>false</LinksUpToDate>
  <CharactersWithSpaces>7919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2022-09-28T03:10:00Z</dcterms:created>
  <dc:creator>追日</dc:creator>
  <cp:lastModifiedBy>WPS_1649850538</cp:lastModifiedBy>
  <cp:lastPrinted>2022-10-08T02:15:00Z</cp:lastPrinted>
  <dcterms:modified xsi:type="dcterms:W3CDTF">2022-12-02T02:23:17Z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C308C2A3EF424576B8DE1A9315D44B4E</vt:lpwstr>
  </property>
</Properties>
</file>