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r>
        <w:rPr>
          <w:rFonts w:hint="eastAsia"/>
        </w:rPr>
        <w:t>部门整体支出绩效评价报告</w:t>
      </w:r>
    </w:p>
    <w:p>
      <w:pPr>
        <w:spacing w:line="560" w:lineRule="exact"/>
        <w:jc w:val="center"/>
        <w:rPr>
          <w:rFonts w:eastAsia="方正小标宋_GBK"/>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tabs>
          <w:tab w:val="left" w:pos="5611"/>
        </w:tabs>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1.在职人员情况及机构设置</w:t>
      </w:r>
    </w:p>
    <w:p>
      <w:pPr>
        <w:tabs>
          <w:tab w:val="left" w:pos="5611"/>
        </w:tabs>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县委政法委是县委领导管理政法工作的职能部门，县社会治安综合治理委员会办公室、县维护稳定领导小组办公室、县防范处理邪教领导小组办公室、县禁毒委员会办公室与县委政法委合署办公。县委政法委担负着社会管理综合治理、国家安全、维护稳定、执法监督、政法队伍、反邪教、禁毒等重要工作任务。</w:t>
      </w:r>
    </w:p>
    <w:p>
      <w:pPr>
        <w:tabs>
          <w:tab w:val="left" w:pos="5611"/>
        </w:tabs>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县委政法委内设办公室、</w:t>
      </w:r>
      <w:r>
        <w:rPr>
          <w:rFonts w:hint="eastAsia" w:eastAsia="仿宋_GB2312"/>
          <w:sz w:val="32"/>
          <w:szCs w:val="32"/>
          <w:lang w:eastAsia="zh-CN"/>
        </w:rPr>
        <w:t>政工室、</w:t>
      </w:r>
      <w:r>
        <w:rPr>
          <w:rFonts w:hint="eastAsia" w:eastAsia="仿宋_GB2312"/>
          <w:sz w:val="32"/>
          <w:szCs w:val="32"/>
        </w:rPr>
        <w:t>执法监督</w:t>
      </w:r>
      <w:r>
        <w:rPr>
          <w:rFonts w:hint="eastAsia" w:eastAsia="仿宋_GB2312"/>
          <w:sz w:val="32"/>
          <w:szCs w:val="32"/>
          <w:lang w:eastAsia="zh-CN"/>
        </w:rPr>
        <w:t>组</w:t>
      </w:r>
      <w:r>
        <w:rPr>
          <w:rFonts w:hint="eastAsia" w:eastAsia="仿宋_GB2312"/>
          <w:sz w:val="32"/>
          <w:szCs w:val="32"/>
        </w:rPr>
        <w:t>、综治指导组、国安办等5个内设机构。</w:t>
      </w:r>
      <w:r>
        <w:rPr>
          <w:rFonts w:hint="eastAsia" w:eastAsia="仿宋_GB2312"/>
          <w:sz w:val="32"/>
          <w:szCs w:val="32"/>
          <w:lang w:val="en-US" w:eastAsia="zh-CN"/>
        </w:rPr>
        <w:t>本</w:t>
      </w:r>
      <w:r>
        <w:rPr>
          <w:rFonts w:hint="eastAsia" w:eastAsia="仿宋_GB2312"/>
          <w:sz w:val="32"/>
          <w:szCs w:val="32"/>
        </w:rPr>
        <w:t>委机关共核定行政编制13名、机关工勤编制1名。现有在编在岗公务员</w:t>
      </w:r>
      <w:r>
        <w:rPr>
          <w:rFonts w:hint="eastAsia" w:eastAsia="仿宋_GB2312"/>
          <w:sz w:val="32"/>
          <w:szCs w:val="32"/>
          <w:lang w:val="en-US" w:eastAsia="zh-CN"/>
        </w:rPr>
        <w:t>12</w:t>
      </w:r>
      <w:r>
        <w:rPr>
          <w:rFonts w:hint="eastAsia" w:eastAsia="仿宋_GB2312"/>
          <w:sz w:val="32"/>
          <w:szCs w:val="32"/>
        </w:rPr>
        <w:t>人，工勤人员1人，退休</w:t>
      </w:r>
      <w:r>
        <w:rPr>
          <w:rFonts w:hint="eastAsia" w:eastAsia="仿宋_GB2312"/>
          <w:sz w:val="32"/>
          <w:szCs w:val="32"/>
          <w:lang w:val="en-US" w:eastAsia="zh-CN"/>
        </w:rPr>
        <w:t>9</w:t>
      </w:r>
      <w:r>
        <w:rPr>
          <w:rFonts w:hint="eastAsia" w:eastAsia="仿宋_GB2312"/>
          <w:sz w:val="32"/>
          <w:szCs w:val="32"/>
        </w:rPr>
        <w:t>人。县委政法委下辖事业单位1个，即县</w:t>
      </w:r>
      <w:r>
        <w:rPr>
          <w:rFonts w:hint="eastAsia" w:eastAsia="仿宋_GB2312"/>
          <w:sz w:val="32"/>
          <w:szCs w:val="32"/>
          <w:lang w:eastAsia="zh-CN"/>
        </w:rPr>
        <w:t>综治中心</w:t>
      </w:r>
      <w:r>
        <w:rPr>
          <w:rFonts w:hint="eastAsia" w:eastAsia="仿宋_GB2312"/>
          <w:sz w:val="32"/>
          <w:szCs w:val="32"/>
        </w:rPr>
        <w:t>，核定事业编制</w:t>
      </w:r>
      <w:r>
        <w:rPr>
          <w:rFonts w:hint="eastAsia" w:eastAsia="仿宋_GB2312"/>
          <w:sz w:val="32"/>
          <w:szCs w:val="32"/>
          <w:lang w:val="en-US" w:eastAsia="zh-CN"/>
        </w:rPr>
        <w:t>10</w:t>
      </w:r>
      <w:r>
        <w:rPr>
          <w:rFonts w:hint="eastAsia" w:eastAsia="仿宋_GB2312"/>
          <w:sz w:val="32"/>
          <w:szCs w:val="32"/>
        </w:rPr>
        <w:t>名，现实有在职人员</w:t>
      </w:r>
      <w:r>
        <w:rPr>
          <w:rFonts w:hint="eastAsia" w:eastAsia="仿宋_GB2312"/>
          <w:sz w:val="32"/>
          <w:szCs w:val="32"/>
          <w:lang w:val="en-US" w:eastAsia="zh-CN"/>
        </w:rPr>
        <w:t>8</w:t>
      </w:r>
      <w:r>
        <w:rPr>
          <w:rFonts w:hint="eastAsia" w:eastAsia="仿宋_GB2312"/>
          <w:sz w:val="32"/>
          <w:szCs w:val="32"/>
        </w:rPr>
        <w:t>人。</w:t>
      </w:r>
      <w:r>
        <w:rPr>
          <w:rFonts w:hint="eastAsia" w:eastAsia="仿宋_GB2312"/>
          <w:sz w:val="32"/>
          <w:szCs w:val="32"/>
          <w:lang w:val="en-US" w:eastAsia="zh-CN"/>
        </w:rPr>
        <w:t>由县委政法委代管的群团自治组织1个，即县法学会，核定事业编2名，现实有在职人员0人。</w:t>
      </w:r>
      <w:r>
        <w:rPr>
          <w:rFonts w:hint="eastAsia" w:eastAsia="仿宋_GB2312"/>
          <w:sz w:val="32"/>
          <w:szCs w:val="32"/>
        </w:rPr>
        <w:t>事业单位未实行独立核算。</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部门整体支出规模、使用方向</w:t>
      </w:r>
      <w:r>
        <w:rPr>
          <w:rFonts w:eastAsia="仿宋_GB2312"/>
          <w:sz w:val="32"/>
          <w:szCs w:val="32"/>
        </w:rPr>
        <w:t>和主要内容、涉及范围等。</w:t>
      </w:r>
    </w:p>
    <w:p>
      <w:pPr>
        <w:tabs>
          <w:tab w:val="left" w:pos="5611"/>
        </w:tabs>
        <w:adjustRightInd w:val="0"/>
        <w:snapToGrid w:val="0"/>
        <w:spacing w:line="600" w:lineRule="exact"/>
        <w:ind w:firstLine="640" w:firstLineChars="200"/>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年实际支出</w:t>
      </w:r>
      <w:r>
        <w:rPr>
          <w:rFonts w:hint="eastAsia" w:eastAsia="仿宋_GB2312" w:cs="Times New Roman"/>
          <w:sz w:val="32"/>
          <w:szCs w:val="32"/>
          <w:lang w:val="en-US" w:eastAsia="zh-CN"/>
        </w:rPr>
        <w:t>651.23</w:t>
      </w:r>
      <w:r>
        <w:rPr>
          <w:rFonts w:hint="eastAsia" w:ascii="Calibri" w:hAnsi="Calibri" w:eastAsia="仿宋_GB2312" w:cs="Times New Roman"/>
          <w:sz w:val="32"/>
          <w:szCs w:val="32"/>
          <w:lang w:val="en-US" w:eastAsia="zh-CN"/>
        </w:rPr>
        <w:t>万元，其中人员经费</w:t>
      </w:r>
      <w:r>
        <w:rPr>
          <w:rFonts w:hint="eastAsia" w:eastAsia="仿宋_GB2312" w:cs="Times New Roman"/>
          <w:sz w:val="32"/>
          <w:szCs w:val="32"/>
          <w:lang w:val="en-US" w:eastAsia="zh-CN"/>
        </w:rPr>
        <w:t>319.71</w:t>
      </w:r>
      <w:r>
        <w:rPr>
          <w:rFonts w:hint="eastAsia" w:ascii="Calibri" w:hAnsi="Calibri" w:eastAsia="仿宋_GB2312" w:cs="Times New Roman"/>
          <w:sz w:val="32"/>
          <w:szCs w:val="32"/>
          <w:lang w:val="en-US" w:eastAsia="zh-CN"/>
        </w:rPr>
        <w:t>万元，公用经费支出</w:t>
      </w:r>
      <w:r>
        <w:rPr>
          <w:rFonts w:hint="eastAsia" w:eastAsia="仿宋_GB2312" w:cs="Times New Roman"/>
          <w:sz w:val="32"/>
          <w:szCs w:val="32"/>
          <w:lang w:val="en-US" w:eastAsia="zh-CN"/>
        </w:rPr>
        <w:t>331.52</w:t>
      </w:r>
      <w:r>
        <w:rPr>
          <w:rFonts w:hint="eastAsia" w:ascii="Calibri" w:hAnsi="Calibri" w:eastAsia="仿宋_GB2312" w:cs="Times New Roman"/>
          <w:sz w:val="32"/>
          <w:szCs w:val="32"/>
          <w:lang w:val="en-US" w:eastAsia="zh-CN"/>
        </w:rPr>
        <w:t>万元。人员经费主要用于保障本委正常运转而发生的各项支出，包括用于基本工资、津贴补贴等人员经费。公用经费主要用于完成日常工作任务而发生的各项支出，包括办公费、印刷费、水电费、办公设备购置等日常公用经费。</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tabs>
          <w:tab w:val="left" w:pos="5611"/>
        </w:tabs>
        <w:adjustRightInd w:val="0"/>
        <w:snapToGrid w:val="0"/>
        <w:spacing w:line="600" w:lineRule="exact"/>
        <w:ind w:firstLine="640" w:firstLineChars="200"/>
        <w:rPr>
          <w:rFonts w:hint="default"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本年度年初预算一般公共预算财政拨款收入预算651.23万元，本年执行支出651.23万元。其中工资福利支出</w:t>
      </w:r>
      <w:r>
        <w:rPr>
          <w:rFonts w:hint="eastAsia" w:eastAsia="仿宋_GB2312" w:cs="Times New Roman"/>
          <w:sz w:val="32"/>
          <w:szCs w:val="32"/>
          <w:highlight w:val="none"/>
          <w:lang w:val="en-US" w:eastAsia="zh-CN"/>
        </w:rPr>
        <w:t>307.22</w:t>
      </w:r>
      <w:r>
        <w:rPr>
          <w:rFonts w:hint="eastAsia" w:ascii="Calibri" w:hAnsi="Calibri" w:eastAsia="仿宋_GB2312" w:cs="Times New Roman"/>
          <w:sz w:val="32"/>
          <w:szCs w:val="32"/>
          <w:highlight w:val="none"/>
          <w:lang w:val="en-US" w:eastAsia="zh-CN"/>
        </w:rPr>
        <w:t>万元，商品和服务支出</w:t>
      </w:r>
      <w:r>
        <w:rPr>
          <w:rFonts w:hint="eastAsia" w:eastAsia="仿宋_GB2312" w:cs="Times New Roman"/>
          <w:sz w:val="32"/>
          <w:szCs w:val="32"/>
          <w:highlight w:val="none"/>
          <w:lang w:val="en-US" w:eastAsia="zh-CN"/>
        </w:rPr>
        <w:t>331.52</w:t>
      </w:r>
      <w:r>
        <w:rPr>
          <w:rFonts w:hint="eastAsia" w:ascii="Calibri" w:hAnsi="Calibri" w:eastAsia="仿宋_GB2312" w:cs="Times New Roman"/>
          <w:sz w:val="32"/>
          <w:szCs w:val="32"/>
          <w:highlight w:val="none"/>
          <w:lang w:val="en-US" w:eastAsia="zh-CN"/>
        </w:rPr>
        <w:t>万元，对个人和家庭的补助</w:t>
      </w:r>
      <w:r>
        <w:rPr>
          <w:rFonts w:hint="eastAsia" w:eastAsia="仿宋_GB2312" w:cs="Times New Roman"/>
          <w:sz w:val="32"/>
          <w:szCs w:val="32"/>
          <w:highlight w:val="none"/>
          <w:lang w:val="en-US" w:eastAsia="zh-CN"/>
        </w:rPr>
        <w:t>12.49</w:t>
      </w:r>
      <w:r>
        <w:rPr>
          <w:rFonts w:hint="eastAsia" w:ascii="Calibri" w:hAnsi="Calibri" w:eastAsia="仿宋_GB2312" w:cs="Times New Roman"/>
          <w:sz w:val="32"/>
          <w:szCs w:val="32"/>
          <w:highlight w:val="none"/>
          <w:lang w:val="en-US" w:eastAsia="zh-CN"/>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adjustRightInd w:val="0"/>
        <w:snapToGrid w:val="0"/>
        <w:spacing w:line="600" w:lineRule="exact"/>
        <w:ind w:firstLine="640" w:firstLineChars="200"/>
        <w:rPr>
          <w:rFonts w:hint="eastAsia" w:ascii="Calibri" w:hAnsi="Calibri" w:eastAsia="仿宋_GB2312" w:cs="Times New Roman"/>
          <w:sz w:val="32"/>
          <w:szCs w:val="32"/>
        </w:rPr>
      </w:pPr>
      <w:r>
        <w:rPr>
          <w:rFonts w:hint="eastAsia" w:ascii="Calibri" w:hAnsi="Calibri" w:eastAsia="仿宋_GB2312" w:cs="Times New Roman"/>
          <w:sz w:val="32"/>
          <w:szCs w:val="32"/>
        </w:rPr>
        <w:t>本年度基本支出</w:t>
      </w:r>
      <w:r>
        <w:rPr>
          <w:rFonts w:hint="eastAsia" w:ascii="Calibri" w:hAnsi="Calibri" w:eastAsia="仿宋_GB2312" w:cs="Times New Roman"/>
          <w:sz w:val="32"/>
          <w:szCs w:val="32"/>
          <w:highlight w:val="none"/>
          <w:lang w:val="en-US" w:eastAsia="zh-CN"/>
        </w:rPr>
        <w:t>651.23</w:t>
      </w:r>
      <w:r>
        <w:rPr>
          <w:rFonts w:hint="eastAsia" w:ascii="Calibri" w:hAnsi="Calibri" w:eastAsia="仿宋_GB2312" w:cs="Times New Roman"/>
          <w:sz w:val="32"/>
          <w:szCs w:val="32"/>
        </w:rPr>
        <w:t>万元，其中人员经费支出</w:t>
      </w:r>
      <w:r>
        <w:rPr>
          <w:rFonts w:hint="eastAsia" w:eastAsia="仿宋_GB2312" w:cs="Times New Roman"/>
          <w:sz w:val="32"/>
          <w:szCs w:val="32"/>
          <w:highlight w:val="none"/>
          <w:lang w:val="en-US" w:eastAsia="zh-CN"/>
        </w:rPr>
        <w:t>307.22</w:t>
      </w:r>
      <w:r>
        <w:rPr>
          <w:rFonts w:hint="eastAsia" w:ascii="Calibri" w:hAnsi="Calibri" w:eastAsia="仿宋_GB2312" w:cs="Times New Roman"/>
          <w:sz w:val="32"/>
          <w:szCs w:val="32"/>
        </w:rPr>
        <w:t>万元，公用经费支出</w:t>
      </w:r>
      <w:r>
        <w:rPr>
          <w:rFonts w:hint="eastAsia" w:eastAsia="仿宋_GB2312" w:cs="Times New Roman"/>
          <w:sz w:val="32"/>
          <w:szCs w:val="32"/>
          <w:highlight w:val="none"/>
          <w:lang w:val="en-US" w:eastAsia="zh-CN"/>
        </w:rPr>
        <w:t>331.52</w:t>
      </w:r>
      <w:r>
        <w:rPr>
          <w:rFonts w:hint="eastAsia" w:ascii="Calibri" w:hAnsi="Calibri" w:eastAsia="仿宋_GB2312" w:cs="Times New Roman"/>
          <w:sz w:val="32"/>
          <w:szCs w:val="32"/>
        </w:rPr>
        <w:t>万元，对个人家庭支出</w:t>
      </w:r>
      <w:r>
        <w:rPr>
          <w:rFonts w:hint="eastAsia" w:eastAsia="仿宋_GB2312" w:cs="Times New Roman"/>
          <w:sz w:val="32"/>
          <w:szCs w:val="32"/>
          <w:highlight w:val="none"/>
          <w:lang w:val="en-US" w:eastAsia="zh-CN"/>
        </w:rPr>
        <w:t>12.49</w:t>
      </w:r>
      <w:r>
        <w:rPr>
          <w:rFonts w:hint="eastAsia" w:ascii="Calibri" w:hAnsi="Calibri" w:eastAsia="仿宋_GB2312" w:cs="Times New Roman"/>
          <w:sz w:val="32"/>
          <w:szCs w:val="32"/>
        </w:rPr>
        <w:t>万元。</w:t>
      </w:r>
    </w:p>
    <w:p>
      <w:pPr>
        <w:adjustRightInd w:val="0"/>
        <w:snapToGrid w:val="0"/>
        <w:spacing w:line="600" w:lineRule="exact"/>
        <w:ind w:firstLine="640" w:firstLineChars="200"/>
        <w:rPr>
          <w:rFonts w:hint="eastAsia" w:ascii="Calibri" w:hAnsi="Calibri" w:eastAsia="仿宋_GB2312" w:cs="Times New Roman"/>
          <w:sz w:val="32"/>
          <w:szCs w:val="32"/>
        </w:rPr>
      </w:pPr>
      <w:r>
        <w:rPr>
          <w:rFonts w:hint="eastAsia" w:ascii="Calibri" w:hAnsi="Calibri" w:eastAsia="仿宋_GB2312" w:cs="Times New Roman"/>
          <w:sz w:val="32"/>
          <w:szCs w:val="32"/>
        </w:rPr>
        <w:t>本年的“三公经费”支出较上年有大幅下降，其中公务接待费1.</w:t>
      </w:r>
      <w:r>
        <w:rPr>
          <w:rFonts w:hint="eastAsia" w:ascii="Calibri" w:hAnsi="Calibri" w:eastAsia="仿宋_GB2312" w:cs="Times New Roman"/>
          <w:sz w:val="32"/>
          <w:szCs w:val="32"/>
          <w:lang w:val="en-US" w:eastAsia="zh-CN"/>
        </w:rPr>
        <w:t>04</w:t>
      </w:r>
      <w:r>
        <w:rPr>
          <w:rFonts w:hint="eastAsia" w:ascii="Calibri" w:hAnsi="Calibri" w:eastAsia="仿宋_GB2312" w:cs="Times New Roman"/>
          <w:sz w:val="32"/>
          <w:szCs w:val="32"/>
        </w:rPr>
        <w:t>万元，较上年下降</w:t>
      </w:r>
      <w:r>
        <w:rPr>
          <w:rFonts w:hint="eastAsia" w:ascii="Calibri" w:hAnsi="Calibri" w:eastAsia="仿宋_GB2312" w:cs="Times New Roman"/>
          <w:sz w:val="32"/>
          <w:szCs w:val="32"/>
          <w:lang w:val="en-US" w:eastAsia="zh-CN"/>
        </w:rPr>
        <w:t>0.95%</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主要用于公务接待</w:t>
      </w:r>
      <w:r>
        <w:rPr>
          <w:rFonts w:hint="eastAsia" w:ascii="Calibri" w:hAnsi="Calibri" w:eastAsia="仿宋_GB2312" w:cs="Times New Roman"/>
          <w:sz w:val="32"/>
          <w:szCs w:val="32"/>
        </w:rPr>
        <w:t>。</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1、专项</w:t>
      </w:r>
      <w:r>
        <w:rPr>
          <w:rFonts w:eastAsia="仿宋_GB2312"/>
          <w:sz w:val="32"/>
          <w:szCs w:val="32"/>
        </w:rPr>
        <w:t>资金（包括财政资金、自筹资金等）安排落实、总投入等情况分析。</w:t>
      </w:r>
    </w:p>
    <w:p>
      <w:pPr>
        <w:adjustRightInd w:val="0"/>
        <w:snapToGrid w:val="0"/>
        <w:spacing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2022年中共邵阳县委政法委员会专项资金年初预算安排为108万元。其中，综治经费19万元；平安邵阳4.5万元；铁路联防3.5万元；国安办4.5万元；矛盾调处中心9万元；维稳工作经费9万元；大走访活动经费8万元；综治民调宣传5.5万元；反邪教工作经费31.5万元；政法专项行动13.5万元。</w:t>
      </w:r>
    </w:p>
    <w:p>
      <w:pPr>
        <w:numPr>
          <w:ilvl w:val="0"/>
          <w:numId w:val="2"/>
        </w:numPr>
        <w:adjustRightInd w:val="0"/>
        <w:snapToGrid w:val="0"/>
        <w:spacing w:line="600" w:lineRule="exact"/>
        <w:ind w:firstLine="640" w:firstLineChars="200"/>
        <w:rPr>
          <w:rFonts w:eastAsia="仿宋_GB2312"/>
          <w:sz w:val="32"/>
          <w:szCs w:val="32"/>
        </w:rPr>
      </w:pPr>
      <w:r>
        <w:rPr>
          <w:rFonts w:hint="eastAsia" w:eastAsia="仿宋_GB2312"/>
          <w:sz w:val="32"/>
          <w:szCs w:val="32"/>
        </w:rPr>
        <w:t>专项</w:t>
      </w:r>
      <w:r>
        <w:rPr>
          <w:rFonts w:eastAsia="仿宋_GB2312"/>
          <w:sz w:val="32"/>
          <w:szCs w:val="32"/>
        </w:rPr>
        <w:t>资金（主要指财政资金）实际使用情况分析。</w:t>
      </w:r>
    </w:p>
    <w:p>
      <w:pPr>
        <w:adjustRightInd w:val="0"/>
        <w:snapToGrid w:val="0"/>
        <w:spacing w:line="600" w:lineRule="exact"/>
        <w:ind w:firstLine="640" w:firstLineChars="200"/>
        <w:rPr>
          <w:rFonts w:hint="default"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2</w:t>
      </w:r>
      <w:r>
        <w:rPr>
          <w:rFonts w:hint="eastAsia" w:ascii="Calibri" w:hAnsi="Calibri" w:eastAsia="仿宋_GB2312" w:cs="Times New Roman"/>
          <w:sz w:val="32"/>
          <w:szCs w:val="32"/>
          <w:highlight w:val="none"/>
          <w:lang w:val="en-US" w:eastAsia="zh-CN"/>
        </w:rPr>
        <w:t>年政法委专项资金共支出108元。其中，综治经费19万元，主要用于全县基层社会治理日常公用经费；平安邵阳4.5万元，主要用于平安邵阳县创建工作日常公用经费；铁路联防3.5万元，主要用于防止人畜上铁路、公路等交通道路发生意外事件的公用费用；国安办4.5万元，主要用于全县政治安全工作日常公用经费；矛盾调处中心9万元，主要用于矛盾调处中心日常运转所需公用经费；维稳工作经费9万元，主要用于全县各类重大会议、节日等重要节点以及突发事件维稳工作日常公用经费；大走访活动经费8万元，主要用于202</w:t>
      </w:r>
      <w:r>
        <w:rPr>
          <w:rFonts w:hint="eastAsia" w:eastAsia="仿宋_GB2312" w:cs="Times New Roman"/>
          <w:sz w:val="32"/>
          <w:szCs w:val="32"/>
          <w:highlight w:val="none"/>
          <w:lang w:val="en-US" w:eastAsia="zh-CN"/>
        </w:rPr>
        <w:t>2</w:t>
      </w:r>
      <w:r>
        <w:rPr>
          <w:rFonts w:hint="eastAsia" w:ascii="Calibri" w:hAnsi="Calibri" w:eastAsia="仿宋_GB2312" w:cs="Times New Roman"/>
          <w:sz w:val="32"/>
          <w:szCs w:val="32"/>
          <w:highlight w:val="none"/>
          <w:lang w:val="en-US" w:eastAsia="zh-CN"/>
        </w:rPr>
        <w:t>年上半年及下半年全县大走访活动的公用经费；综治民调宣传5.5万元，主要用于2021年开展五次民调宣传工作的公用费用；反邪教工作经费31.5万元，主要用于点对点开展涉邪教分子心理疏导和日常管控工作的公用费用；政法专项行动13.5万元，主要用于</w:t>
      </w:r>
      <w:r>
        <w:rPr>
          <w:rFonts w:hint="eastAsia" w:ascii="Calibri" w:hAnsi="Calibri" w:eastAsia="仿宋_GB2312" w:cs="Times New Roman"/>
          <w:sz w:val="32"/>
          <w:szCs w:val="32"/>
          <w:lang w:val="en-US" w:eastAsia="zh-CN"/>
        </w:rPr>
        <w:t>全面深化政法领域改革、政法队伍建设等公用费用</w:t>
      </w:r>
      <w:r>
        <w:rPr>
          <w:rFonts w:hint="eastAsia" w:ascii="Calibri" w:hAnsi="Calibri" w:eastAsia="仿宋_GB2312" w:cs="Times New Roman"/>
          <w:sz w:val="32"/>
          <w:szCs w:val="32"/>
          <w:highlight w:val="none"/>
          <w:lang w:val="en-US" w:eastAsia="zh-CN"/>
        </w:rPr>
        <w:t>。</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3、专项</w:t>
      </w:r>
      <w:r>
        <w:rPr>
          <w:rFonts w:eastAsia="仿宋_GB2312"/>
          <w:sz w:val="32"/>
          <w:szCs w:val="32"/>
        </w:rPr>
        <w:t>资金管理情况分析，主要包括管理制度、办法的制订及执行情况。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为规范专项资金管理，本委按照要求建立了内部管理制度和相关财务会审制度，对专项资金的使用范围、支出范围、资金审批执行、监督管理和绩效评价都做出了相应规定，进一步规范和加强了专项资金的管理，提高了资金的使用效益。</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专项</w:t>
      </w:r>
      <w:r>
        <w:rPr>
          <w:rFonts w:eastAsia="仿宋_GB2312"/>
          <w:sz w:val="32"/>
          <w:szCs w:val="32"/>
        </w:rPr>
        <w:t>组织情况分析。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单位成立了专门</w:t>
      </w:r>
      <w:r>
        <w:rPr>
          <w:rFonts w:hint="eastAsia" w:ascii="Calibri" w:hAnsi="Calibri" w:eastAsia="仿宋_GB2312" w:cs="Times New Roman"/>
          <w:sz w:val="32"/>
          <w:szCs w:val="32"/>
          <w:lang w:val="en-US" w:eastAsia="zh-CN"/>
        </w:rPr>
        <w:t>的财务会审</w:t>
      </w:r>
      <w:r>
        <w:rPr>
          <w:rFonts w:hint="eastAsia" w:ascii="Calibri" w:hAnsi="Calibri" w:eastAsia="仿宋_GB2312" w:cs="Times New Roman"/>
          <w:sz w:val="32"/>
          <w:szCs w:val="32"/>
          <w:lang w:eastAsia="zh-CN"/>
        </w:rPr>
        <w:t>小组，</w:t>
      </w:r>
      <w:r>
        <w:rPr>
          <w:rFonts w:hint="eastAsia" w:ascii="Calibri" w:hAnsi="Calibri" w:eastAsia="仿宋_GB2312" w:cs="Times New Roman"/>
          <w:sz w:val="32"/>
          <w:szCs w:val="32"/>
          <w:lang w:val="en-US" w:eastAsia="zh-CN"/>
        </w:rPr>
        <w:t>严格按照财务会审制度进行审核把关，</w:t>
      </w:r>
      <w:r>
        <w:rPr>
          <w:rFonts w:hint="eastAsia" w:ascii="Calibri" w:hAnsi="Calibri" w:eastAsia="仿宋_GB2312" w:cs="Times New Roman"/>
          <w:sz w:val="32"/>
          <w:szCs w:val="32"/>
          <w:lang w:eastAsia="zh-CN"/>
        </w:rPr>
        <w:t>重大项目、大额资金支出均按程序审批到位。项目</w:t>
      </w:r>
      <w:r>
        <w:rPr>
          <w:rFonts w:hint="eastAsia" w:ascii="Calibri" w:hAnsi="Calibri" w:eastAsia="仿宋_GB2312" w:cs="Times New Roman"/>
          <w:sz w:val="32"/>
          <w:szCs w:val="32"/>
          <w:lang w:val="en-US" w:eastAsia="zh-CN"/>
        </w:rPr>
        <w:t>开展</w:t>
      </w:r>
      <w:r>
        <w:rPr>
          <w:rFonts w:hint="eastAsia" w:ascii="Calibri" w:hAnsi="Calibri" w:eastAsia="仿宋_GB2312" w:cs="Times New Roman"/>
          <w:sz w:val="32"/>
          <w:szCs w:val="32"/>
          <w:lang w:eastAsia="zh-CN"/>
        </w:rPr>
        <w:t>过程中，严格按照</w:t>
      </w:r>
      <w:r>
        <w:rPr>
          <w:rFonts w:hint="eastAsia" w:ascii="Calibri" w:hAnsi="Calibri" w:eastAsia="仿宋_GB2312" w:cs="Times New Roman"/>
          <w:sz w:val="32"/>
          <w:szCs w:val="32"/>
          <w:lang w:val="en-US" w:eastAsia="zh-CN"/>
        </w:rPr>
        <w:t>设置目标和</w:t>
      </w:r>
      <w:r>
        <w:rPr>
          <w:rFonts w:hint="eastAsia" w:ascii="Calibri" w:hAnsi="Calibri" w:eastAsia="仿宋_GB2312" w:cs="Times New Roman"/>
          <w:sz w:val="32"/>
          <w:szCs w:val="32"/>
          <w:lang w:eastAsia="zh-CN"/>
        </w:rPr>
        <w:t>合同组织实施，质量有保证，过程管理严格。</w:t>
      </w:r>
    </w:p>
    <w:p>
      <w:pPr>
        <w:numPr>
          <w:ilvl w:val="0"/>
          <w:numId w:val="1"/>
        </w:numPr>
        <w:adjustRightInd w:val="0"/>
        <w:snapToGrid w:val="0"/>
        <w:spacing w:line="600" w:lineRule="exact"/>
        <w:ind w:left="0" w:leftChars="0" w:firstLine="640" w:firstLineChars="200"/>
        <w:rPr>
          <w:rFonts w:eastAsia="仿宋_GB2312"/>
          <w:sz w:val="32"/>
          <w:szCs w:val="32"/>
        </w:rPr>
      </w:pPr>
      <w:r>
        <w:rPr>
          <w:rFonts w:hint="eastAsia" w:eastAsia="仿宋_GB2312"/>
          <w:sz w:val="32"/>
          <w:szCs w:val="32"/>
        </w:rPr>
        <w:t>专项</w:t>
      </w:r>
      <w:r>
        <w:rPr>
          <w:rFonts w:eastAsia="仿宋_GB2312"/>
          <w:sz w:val="32"/>
          <w:szCs w:val="32"/>
        </w:rPr>
        <w:t>管理情况分析。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本委建立了相应的项目资金管理办法，且符合相关财务会计制度的规定。项目申报、调整及支出手续完备齐全；项目合同书、技术审定等资料齐全并基本能够及时归档；项目实施的人员条件、场地设备等基本落实到位。在资金管理、使用过程中，本委严格按照要求，每笔资金均经过财务会审小组审定通过后支出，通过进一步加强日常监督管理，做到专款专用、公开透明。</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adjustRightInd w:val="0"/>
        <w:snapToGrid w:val="0"/>
        <w:spacing w:line="600" w:lineRule="exact"/>
        <w:ind w:firstLine="640" w:firstLineChars="200"/>
        <w:rPr>
          <w:rFonts w:hint="default" w:eastAsia="仿宋_GB2312"/>
          <w:sz w:val="32"/>
          <w:szCs w:val="32"/>
          <w:highlight w:val="cyan"/>
          <w:lang w:val="en-US" w:eastAsia="zh-CN"/>
        </w:rPr>
      </w:pP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年年末资产总额为</w:t>
      </w:r>
      <w:r>
        <w:rPr>
          <w:rFonts w:hint="eastAsia" w:eastAsia="仿宋_GB2312" w:cs="Times New Roman"/>
          <w:sz w:val="32"/>
          <w:szCs w:val="32"/>
          <w:lang w:val="en-US" w:eastAsia="zh-CN"/>
        </w:rPr>
        <w:t>381.72</w:t>
      </w:r>
      <w:r>
        <w:rPr>
          <w:rFonts w:hint="eastAsia" w:ascii="Calibri" w:hAnsi="Calibri" w:eastAsia="仿宋_GB2312" w:cs="Times New Roman"/>
          <w:sz w:val="32"/>
          <w:szCs w:val="32"/>
          <w:lang w:val="en-US" w:eastAsia="zh-CN"/>
        </w:rPr>
        <w:t>元，固定资产</w:t>
      </w:r>
      <w:r>
        <w:rPr>
          <w:rFonts w:hint="eastAsia" w:eastAsia="仿宋_GB2312" w:cs="Times New Roman"/>
          <w:sz w:val="32"/>
          <w:szCs w:val="32"/>
          <w:lang w:val="en-US" w:eastAsia="zh-CN"/>
        </w:rPr>
        <w:t>340.88</w:t>
      </w:r>
      <w:r>
        <w:rPr>
          <w:rFonts w:hint="eastAsia" w:ascii="Calibri" w:hAnsi="Calibri" w:eastAsia="仿宋_GB2312" w:cs="Times New Roman"/>
          <w:sz w:val="32"/>
          <w:szCs w:val="32"/>
          <w:lang w:val="en-US" w:eastAsia="zh-CN"/>
        </w:rPr>
        <w:t>元。经自查，我委在固定资产管理方面严格按照国家有关规定执行，资产账账相符、账实相符、账表相符、账证相符，并对照财务制度，依照有关政策法规，进一步建立健全各项管理制度。</w:t>
      </w:r>
    </w:p>
    <w:p>
      <w:pPr>
        <w:numPr>
          <w:ilvl w:val="0"/>
          <w:numId w:val="3"/>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adjustRightInd w:val="0"/>
        <w:snapToGrid w:val="0"/>
        <w:spacing w:line="600" w:lineRule="exact"/>
        <w:ind w:firstLine="640" w:firstLineChars="200"/>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根据部门整体绩效管理的相关要求，本着强化绩效目标意识、提高部门整体资金使用效率、提升绩效管理水平的原则，对我委202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年度部门整体绩效目标完成情况进行自评，进行目标计划梳理、工作数据采集、项目完成情况调查等方式对我委202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年度预算资金使用情况和工作开展情况进行了检查。</w:t>
      </w:r>
    </w:p>
    <w:p>
      <w:pPr>
        <w:numPr>
          <w:ilvl w:val="0"/>
          <w:numId w:val="3"/>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总体自评结果良好，项目立项程序完成、规范，设立了明确的绩效总目标，财务相关管理制度健全，预算执行及时、有效，工作开展及时有效，群众满意度较高，基本实现了预期目标。</w:t>
      </w:r>
    </w:p>
    <w:p>
      <w:pPr>
        <w:adjustRightInd w:val="0"/>
        <w:snapToGrid w:val="0"/>
        <w:spacing w:line="600" w:lineRule="exact"/>
        <w:ind w:firstLine="640" w:firstLineChars="200"/>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尽管对项目支出绩效管理的重视程度进一步提升，大部分项目能有序开展，执行和完成情况较好，资金使用比较规范，但也存在不足之处，部分目标设置有待进一步优化，少部分项目实施进展较慢等问题。</w:t>
      </w:r>
    </w:p>
    <w:p>
      <w:pPr>
        <w:numPr>
          <w:ilvl w:val="0"/>
          <w:numId w:val="3"/>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（一）绩效总目标：聚焦“省平安县”创建目标，以学习贯彻实施党</w:t>
      </w:r>
      <w:r>
        <w:rPr>
          <w:rFonts w:hint="eastAsia" w:eastAsia="仿宋_GB2312" w:cs="Times New Roman"/>
          <w:sz w:val="32"/>
          <w:szCs w:val="32"/>
          <w:lang w:val="en-US" w:eastAsia="zh-CN"/>
        </w:rPr>
        <w:t>的二十大</w:t>
      </w:r>
      <w:r>
        <w:rPr>
          <w:rFonts w:hint="eastAsia" w:ascii="Calibri" w:hAnsi="Calibri" w:eastAsia="仿宋_GB2312" w:cs="Times New Roman"/>
          <w:sz w:val="32"/>
          <w:szCs w:val="32"/>
          <w:lang w:val="en-US" w:eastAsia="zh-CN"/>
        </w:rPr>
        <w:t>精神和习近平法治思想为主线，结合党史学习教育，切实履行党管政法工作职责，积极履行平安建设各项工作职能，不断创新基层社会治理，夯实基层基础，维护社会和谐稳定，切实抓好干部队伍建设，为保障全县经济高质量发展，促进社会高效能治理，守护群众高品质生活，全面推进平安邵阳县、法治邵阳县建设贡献力量。</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（二）实际工作绩效：</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年来，本委忠实履职、积极做为，迎难而上，开拓进取，坚决维护国家政治安全和社会稳定，扫黑除恶专项斗争深入推进，禁毒攻坚战取得显著成果，稳步推进网格化服务实行“微网格”模式，全面深化政法领域改革，扎实开展政法队伍教育整顿，建设进一步完善，全县社会大局稳定有序、稳中向好，社会治安形势进一步好转，群众安全感测评成绩</w:t>
      </w:r>
      <w:r>
        <w:rPr>
          <w:rFonts w:hint="eastAsia" w:eastAsia="仿宋_GB2312" w:cs="Times New Roman"/>
          <w:sz w:val="32"/>
          <w:szCs w:val="32"/>
          <w:lang w:val="en-US" w:eastAsia="zh-CN"/>
        </w:rPr>
        <w:t>保持高位</w:t>
      </w:r>
      <w:r>
        <w:rPr>
          <w:rFonts w:hint="eastAsia" w:ascii="Calibri" w:hAnsi="Calibri" w:eastAsia="仿宋_GB2312" w:cs="Times New Roman"/>
          <w:sz w:val="32"/>
          <w:szCs w:val="32"/>
          <w:lang w:val="en-US" w:eastAsia="zh-CN"/>
        </w:rPr>
        <w:t>，各项工作都取得了优异成绩，为全县经济社会发展创造了安全稳定的社会环境。</w:t>
      </w:r>
    </w:p>
    <w:p>
      <w:pPr>
        <w:adjustRightInd w:val="0"/>
        <w:snapToGrid w:val="0"/>
        <w:spacing w:line="600" w:lineRule="exact"/>
        <w:ind w:firstLine="640" w:firstLineChars="200"/>
        <w:rPr>
          <w:rFonts w:hint="eastAsia" w:eastAsia="仿宋_GB2312"/>
          <w:sz w:val="32"/>
          <w:szCs w:val="32"/>
          <w:lang w:val="en-US" w:eastAsia="zh-CN"/>
        </w:rPr>
      </w:pPr>
      <w:r>
        <w:rPr>
          <w:rFonts w:hint="eastAsia" w:ascii="黑体" w:eastAsia="黑体"/>
          <w:sz w:val="32"/>
          <w:szCs w:val="32"/>
        </w:rPr>
        <w:t>八、存在的问题</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lang w:val="en-US" w:eastAsia="zh-CN"/>
        </w:rPr>
        <w:t>资金安排、使用方面：部分新增工作项目前期费用安排不足或未安排，财政未及时支付公用经费，导致年底或是第二年初将上一年积压款一次性付清的情况，形成在客观上与其他专项资金混用的问题</w:t>
      </w:r>
      <w:r>
        <w:rPr>
          <w:rFonts w:hint="eastAsia" w:eastAsia="仿宋_GB2312"/>
          <w:sz w:val="32"/>
          <w:szCs w:val="32"/>
        </w:rPr>
        <w:t>。</w:t>
      </w:r>
    </w:p>
    <w:p>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资产管理方面：尚存在已超过使用年限仍在继续使用的固定资产，没有及时去财政申请报废。</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widowControl/>
        <w:spacing w:line="56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eastAsia="仿宋_GB2312"/>
          <w:sz w:val="32"/>
          <w:szCs w:val="32"/>
          <w:lang w:val="en-US" w:eastAsia="zh-CN"/>
        </w:rPr>
        <w:t>进一步加强固定资产清理管理工作，对新增固定资产及时建立资产卡片，对现存固定资产定期盘点，对超过使用年限的固定资产及时停止折旧、进行报废。</w:t>
      </w:r>
    </w:p>
    <w:p>
      <w:pPr>
        <w:spacing w:line="600" w:lineRule="exact"/>
        <w:ind w:firstLine="640" w:firstLineChars="200"/>
        <w:rPr>
          <w:rFonts w:eastAsia="黑体"/>
          <w:sz w:val="32"/>
          <w:szCs w:val="32"/>
        </w:rPr>
      </w:pPr>
    </w:p>
    <w:p>
      <w:pPr>
        <w:pStyle w:val="2"/>
      </w:pPr>
    </w:p>
    <w:p>
      <w:pPr>
        <w:rPr>
          <w:rFonts w:ascii="黑体" w:eastAsia="黑体"/>
          <w:sz w:val="32"/>
          <w:szCs w:val="32"/>
        </w:rPr>
      </w:pPr>
      <w:r>
        <w:rPr>
          <w:rFonts w:eastAsia="黑体"/>
          <w:kern w:val="0"/>
          <w:sz w:val="32"/>
          <w:szCs w:val="32"/>
        </w:rPr>
        <w:br w:type="page"/>
      </w:r>
    </w:p>
    <w:p>
      <w:pPr>
        <w:outlineLvl w:val="1"/>
        <w:rPr>
          <w:rFonts w:ascii="黑体" w:hAnsi="宋体" w:eastAsia="黑体"/>
          <w:sz w:val="32"/>
          <w:szCs w:val="32"/>
        </w:rPr>
      </w:pP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中共邵阳县委政法委员会</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年　　月　　日</w:t>
      </w:r>
    </w:p>
    <w:p>
      <w:pPr>
        <w:pStyle w:val="4"/>
        <w:bidi w:val="0"/>
      </w:pPr>
      <w:bookmarkStart w:id="0" w:name="_GoBack"/>
      <w:bookmarkEnd w:id="0"/>
      <w:r>
        <w:rPr>
          <w:rFonts w:hint="eastAsia"/>
        </w:rPr>
        <w:t>预算支出绩效自评表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2022</w:t>
      </w:r>
      <w:r>
        <w:rPr>
          <w:rFonts w:hint="eastAsia"/>
          <w:kern w:val="0"/>
          <w:sz w:val="22"/>
        </w:rPr>
        <w:t>年度）</w:t>
      </w:r>
    </w:p>
    <w:tbl>
      <w:tblPr>
        <w:tblStyle w:val="8"/>
        <w:tblW w:w="9322" w:type="dxa"/>
        <w:jc w:val="center"/>
        <w:tblLayout w:type="autofit"/>
        <w:tblCellMar>
          <w:top w:w="0" w:type="dxa"/>
          <w:left w:w="108" w:type="dxa"/>
          <w:bottom w:w="0" w:type="dxa"/>
          <w:right w:w="108" w:type="dxa"/>
        </w:tblCellMar>
      </w:tblPr>
      <w:tblGrid>
        <w:gridCol w:w="1031"/>
        <w:gridCol w:w="771"/>
        <w:gridCol w:w="1124"/>
        <w:gridCol w:w="1585"/>
        <w:gridCol w:w="1222"/>
        <w:gridCol w:w="1022"/>
        <w:gridCol w:w="686"/>
        <w:gridCol w:w="504"/>
        <w:gridCol w:w="256"/>
        <w:gridCol w:w="1121"/>
      </w:tblGrid>
      <w:tr>
        <w:tblPrEx>
          <w:tblCellMar>
            <w:top w:w="0" w:type="dxa"/>
            <w:left w:w="108" w:type="dxa"/>
            <w:bottom w:w="0" w:type="dxa"/>
            <w:right w:w="108" w:type="dxa"/>
          </w:tblCellMar>
        </w:tblPrEx>
        <w:trPr>
          <w:trHeight w:val="393"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89" w:type="dxa"/>
            <w:gridSpan w:val="9"/>
            <w:tcBorders>
              <w:top w:val="single" w:color="auto" w:sz="4" w:space="0"/>
              <w:left w:val="nil"/>
              <w:bottom w:val="single" w:color="auto" w:sz="4" w:space="0"/>
              <w:right w:val="single" w:color="000000" w:sz="4" w:space="0"/>
            </w:tcBorders>
            <w:vAlign w:val="center"/>
          </w:tcPr>
          <w:p>
            <w:pPr>
              <w:widowControl/>
              <w:spacing w:line="0" w:lineRule="atLeast"/>
              <w:jc w:val="both"/>
              <w:rPr>
                <w:rFonts w:hint="default" w:eastAsia="仿宋_GB2312"/>
                <w:kern w:val="0"/>
                <w:szCs w:val="21"/>
                <w:lang w:val="en-US"/>
              </w:rPr>
            </w:pPr>
            <w:r>
              <w:rPr>
                <w:rFonts w:hint="eastAsia" w:eastAsia="仿宋_GB2312"/>
                <w:kern w:val="0"/>
                <w:szCs w:val="21"/>
              </w:rPr>
              <w:t>综治经费</w:t>
            </w:r>
            <w:r>
              <w:rPr>
                <w:rFonts w:hint="eastAsia" w:eastAsia="仿宋_GB2312"/>
                <w:kern w:val="0"/>
                <w:szCs w:val="21"/>
                <w:lang w:eastAsia="zh-CN"/>
              </w:rPr>
              <w:t>、</w:t>
            </w:r>
            <w:r>
              <w:rPr>
                <w:rFonts w:hint="eastAsia" w:eastAsia="仿宋_GB2312"/>
                <w:kern w:val="0"/>
                <w:szCs w:val="21"/>
              </w:rPr>
              <w:t>平安邵阳</w:t>
            </w:r>
            <w:r>
              <w:rPr>
                <w:rFonts w:hint="eastAsia" w:eastAsia="仿宋_GB2312"/>
                <w:kern w:val="0"/>
                <w:szCs w:val="21"/>
                <w:lang w:eastAsia="zh-CN"/>
              </w:rPr>
              <w:t>、</w:t>
            </w:r>
            <w:r>
              <w:rPr>
                <w:rFonts w:hint="eastAsia" w:eastAsia="仿宋_GB2312"/>
                <w:kern w:val="0"/>
                <w:szCs w:val="21"/>
              </w:rPr>
              <w:t>铁路联防</w:t>
            </w:r>
            <w:r>
              <w:rPr>
                <w:rFonts w:hint="eastAsia" w:eastAsia="仿宋_GB2312"/>
                <w:kern w:val="0"/>
                <w:szCs w:val="21"/>
                <w:lang w:eastAsia="zh-CN"/>
              </w:rPr>
              <w:t>、</w:t>
            </w:r>
            <w:r>
              <w:rPr>
                <w:rFonts w:hint="eastAsia" w:eastAsia="仿宋_GB2312"/>
                <w:kern w:val="0"/>
                <w:szCs w:val="21"/>
              </w:rPr>
              <w:t>国安办</w:t>
            </w:r>
            <w:r>
              <w:rPr>
                <w:rFonts w:hint="eastAsia" w:eastAsia="仿宋_GB2312"/>
                <w:kern w:val="0"/>
                <w:szCs w:val="21"/>
                <w:lang w:eastAsia="zh-CN"/>
              </w:rPr>
              <w:t>、</w:t>
            </w:r>
            <w:r>
              <w:rPr>
                <w:rFonts w:hint="eastAsia" w:eastAsia="仿宋_GB2312"/>
                <w:kern w:val="0"/>
                <w:szCs w:val="21"/>
              </w:rPr>
              <w:t>矛盾调处中心</w:t>
            </w:r>
            <w:r>
              <w:rPr>
                <w:rFonts w:hint="eastAsia" w:eastAsia="仿宋_GB2312"/>
                <w:kern w:val="0"/>
                <w:szCs w:val="21"/>
                <w:lang w:eastAsia="zh-CN"/>
              </w:rPr>
              <w:t>、</w:t>
            </w:r>
            <w:r>
              <w:rPr>
                <w:rFonts w:hint="eastAsia" w:eastAsia="仿宋_GB2312"/>
                <w:kern w:val="0"/>
                <w:szCs w:val="21"/>
              </w:rPr>
              <w:t>维稳工作经费</w:t>
            </w:r>
            <w:r>
              <w:rPr>
                <w:rFonts w:hint="eastAsia" w:eastAsia="仿宋_GB2312"/>
                <w:kern w:val="0"/>
                <w:szCs w:val="21"/>
                <w:lang w:eastAsia="zh-CN"/>
              </w:rPr>
              <w:t>、</w:t>
            </w:r>
            <w:r>
              <w:rPr>
                <w:rFonts w:hint="eastAsia" w:eastAsia="仿宋_GB2312"/>
                <w:kern w:val="0"/>
                <w:szCs w:val="21"/>
              </w:rPr>
              <w:t>大走访活动经费</w:t>
            </w:r>
            <w:r>
              <w:rPr>
                <w:rFonts w:hint="eastAsia" w:eastAsia="仿宋_GB2312"/>
                <w:kern w:val="0"/>
                <w:szCs w:val="21"/>
                <w:lang w:eastAsia="zh-CN"/>
              </w:rPr>
              <w:t>、</w:t>
            </w:r>
            <w:r>
              <w:rPr>
                <w:rFonts w:hint="eastAsia" w:eastAsia="仿宋_GB2312"/>
                <w:kern w:val="0"/>
                <w:szCs w:val="21"/>
              </w:rPr>
              <w:t>综治民调宣传</w:t>
            </w:r>
            <w:r>
              <w:rPr>
                <w:rFonts w:hint="eastAsia" w:eastAsia="仿宋_GB2312"/>
                <w:kern w:val="0"/>
                <w:szCs w:val="21"/>
                <w:lang w:eastAsia="zh-CN"/>
              </w:rPr>
              <w:t>、</w:t>
            </w:r>
            <w:r>
              <w:rPr>
                <w:rFonts w:hint="eastAsia" w:eastAsia="仿宋_GB2312"/>
                <w:kern w:val="0"/>
                <w:szCs w:val="21"/>
              </w:rPr>
              <w:t>反邪教工作经费</w:t>
            </w:r>
            <w:r>
              <w:rPr>
                <w:rFonts w:hint="eastAsia" w:eastAsia="仿宋_GB2312"/>
                <w:kern w:val="0"/>
                <w:szCs w:val="21"/>
                <w:lang w:eastAsia="zh-CN"/>
              </w:rPr>
              <w:t>、</w:t>
            </w:r>
            <w:r>
              <w:rPr>
                <w:rFonts w:hint="eastAsia" w:eastAsia="仿宋_GB2312"/>
                <w:kern w:val="0"/>
                <w:szCs w:val="21"/>
              </w:rPr>
              <w:t>政法专项行动</w:t>
            </w:r>
            <w:r>
              <w:rPr>
                <w:rFonts w:hint="eastAsia" w:eastAsia="仿宋_GB2312"/>
                <w:kern w:val="0"/>
                <w:szCs w:val="21"/>
                <w:lang w:val="en-US" w:eastAsia="zh-CN"/>
              </w:rPr>
              <w:t>专项经费</w:t>
            </w:r>
          </w:p>
        </w:tc>
      </w:tr>
      <w:tr>
        <w:tblPrEx>
          <w:tblCellMar>
            <w:top w:w="0" w:type="dxa"/>
            <w:left w:w="108" w:type="dxa"/>
            <w:bottom w:w="0" w:type="dxa"/>
            <w:right w:w="108" w:type="dxa"/>
          </w:tblCellMar>
        </w:tblPrEx>
        <w:trPr>
          <w:trHeight w:val="340" w:hRule="atLeast"/>
          <w:jc w:val="center"/>
        </w:trPr>
        <w:tc>
          <w:tcPr>
            <w:tcW w:w="1033"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主管</w:t>
            </w:r>
          </w:p>
          <w:p>
            <w:pPr>
              <w:widowControl/>
              <w:spacing w:line="0" w:lineRule="atLeast"/>
              <w:jc w:val="center"/>
              <w:rPr>
                <w:rFonts w:eastAsia="仿宋_GB2312"/>
                <w:kern w:val="0"/>
                <w:szCs w:val="21"/>
              </w:rPr>
            </w:pPr>
            <w:r>
              <w:rPr>
                <w:rFonts w:hint="eastAsia" w:eastAsia="仿宋_GB2312"/>
                <w:kern w:val="0"/>
                <w:szCs w:val="21"/>
              </w:rPr>
              <w:t>部门</w:t>
            </w:r>
          </w:p>
        </w:tc>
        <w:tc>
          <w:tcPr>
            <w:tcW w:w="471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2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实施</w:t>
            </w:r>
          </w:p>
          <w:p>
            <w:pPr>
              <w:widowControl/>
              <w:spacing w:line="0" w:lineRule="atLeast"/>
              <w:jc w:val="center"/>
              <w:rPr>
                <w:rFonts w:eastAsia="仿宋_GB2312"/>
                <w:kern w:val="0"/>
                <w:szCs w:val="21"/>
              </w:rPr>
            </w:pPr>
            <w:r>
              <w:rPr>
                <w:rFonts w:hint="eastAsia" w:eastAsia="仿宋_GB2312"/>
                <w:kern w:val="0"/>
                <w:szCs w:val="21"/>
              </w:rPr>
              <w:t>单位</w:t>
            </w:r>
          </w:p>
        </w:tc>
        <w:tc>
          <w:tcPr>
            <w:tcW w:w="2550"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中共邵阳县委政法委员会</w:t>
            </w:r>
          </w:p>
        </w:tc>
      </w:tr>
      <w:tr>
        <w:tblPrEx>
          <w:tblCellMar>
            <w:top w:w="0" w:type="dxa"/>
            <w:left w:w="108" w:type="dxa"/>
            <w:bottom w:w="0" w:type="dxa"/>
            <w:right w:w="108" w:type="dxa"/>
          </w:tblCellMar>
        </w:tblPrEx>
        <w:trPr>
          <w:trHeight w:val="373" w:hRule="atLeast"/>
          <w:jc w:val="center"/>
        </w:trPr>
        <w:tc>
          <w:tcPr>
            <w:tcW w:w="1033"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0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9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2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2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68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0"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24"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33"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0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90"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1225"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1024"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686"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rPr>
              <w:t>10</w:t>
            </w:r>
          </w:p>
        </w:tc>
        <w:tc>
          <w:tcPr>
            <w:tcW w:w="740" w:type="dxa"/>
            <w:gridSpan w:val="2"/>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100%</w:t>
            </w:r>
          </w:p>
        </w:tc>
        <w:tc>
          <w:tcPr>
            <w:tcW w:w="1124"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100</w:t>
            </w:r>
          </w:p>
        </w:tc>
      </w:tr>
      <w:tr>
        <w:tblPrEx>
          <w:tblCellMar>
            <w:top w:w="0" w:type="dxa"/>
            <w:left w:w="108" w:type="dxa"/>
            <w:bottom w:w="0" w:type="dxa"/>
            <w:right w:w="108" w:type="dxa"/>
          </w:tblCellMar>
        </w:tblPrEx>
        <w:trPr>
          <w:trHeight w:val="340" w:hRule="atLeast"/>
          <w:jc w:val="center"/>
        </w:trPr>
        <w:tc>
          <w:tcPr>
            <w:tcW w:w="1033"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0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590"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1225"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1024"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lang w:val="en-US" w:eastAsia="zh-CN"/>
              </w:rPr>
              <w:t>108</w:t>
            </w:r>
          </w:p>
        </w:tc>
        <w:tc>
          <w:tcPr>
            <w:tcW w:w="686"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rPr>
              <w:t>-</w:t>
            </w:r>
          </w:p>
        </w:tc>
        <w:tc>
          <w:tcPr>
            <w:tcW w:w="740" w:type="dxa"/>
            <w:gridSpan w:val="2"/>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rPr>
              <w:t>-</w:t>
            </w:r>
          </w:p>
        </w:tc>
        <w:tc>
          <w:tcPr>
            <w:tcW w:w="1124" w:type="dxa"/>
            <w:tcBorders>
              <w:top w:val="nil"/>
              <w:left w:val="nil"/>
              <w:bottom w:val="single" w:color="auto" w:sz="4" w:space="0"/>
              <w:right w:val="single" w:color="auto" w:sz="4" w:space="0"/>
            </w:tcBorders>
            <w:vAlign w:val="center"/>
          </w:tcPr>
          <w:p>
            <w:pPr>
              <w:jc w:val="center"/>
              <w:rPr>
                <w:rFonts w:eastAsia="仿宋_GB2312"/>
                <w:kern w:val="0"/>
                <w:szCs w:val="21"/>
              </w:rPr>
            </w:pPr>
            <w:r>
              <w:rPr>
                <w:rFonts w:hint="eastAsia"/>
              </w:rPr>
              <w:t>-</w:t>
            </w:r>
          </w:p>
        </w:tc>
      </w:tr>
      <w:tr>
        <w:tblPrEx>
          <w:tblCellMar>
            <w:top w:w="0" w:type="dxa"/>
            <w:left w:w="108" w:type="dxa"/>
            <w:bottom w:w="0" w:type="dxa"/>
            <w:right w:w="108" w:type="dxa"/>
          </w:tblCellMar>
        </w:tblPrEx>
        <w:trPr>
          <w:trHeight w:val="340" w:hRule="atLeast"/>
          <w:jc w:val="center"/>
        </w:trPr>
        <w:tc>
          <w:tcPr>
            <w:tcW w:w="1033"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0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9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0</w:t>
            </w:r>
          </w:p>
        </w:tc>
        <w:tc>
          <w:tcPr>
            <w:tcW w:w="1225"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102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6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c>
          <w:tcPr>
            <w:tcW w:w="740"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c>
          <w:tcPr>
            <w:tcW w:w="1124"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r>
      <w:tr>
        <w:tblPrEx>
          <w:tblCellMar>
            <w:top w:w="0" w:type="dxa"/>
            <w:left w:w="108" w:type="dxa"/>
            <w:bottom w:w="0" w:type="dxa"/>
            <w:right w:w="108" w:type="dxa"/>
          </w:tblCellMar>
        </w:tblPrEx>
        <w:trPr>
          <w:trHeight w:val="340" w:hRule="atLeast"/>
          <w:jc w:val="center"/>
        </w:trPr>
        <w:tc>
          <w:tcPr>
            <w:tcW w:w="1033"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00"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90"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1225"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102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0</w:t>
            </w:r>
          </w:p>
        </w:tc>
        <w:tc>
          <w:tcPr>
            <w:tcW w:w="6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c>
          <w:tcPr>
            <w:tcW w:w="740"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c>
          <w:tcPr>
            <w:tcW w:w="1124"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rPr>
              <w:t>-</w:t>
            </w:r>
          </w:p>
        </w:tc>
      </w:tr>
      <w:tr>
        <w:tblPrEx>
          <w:tblCellMar>
            <w:top w:w="0" w:type="dxa"/>
            <w:left w:w="108" w:type="dxa"/>
            <w:bottom w:w="0" w:type="dxa"/>
            <w:right w:w="108" w:type="dxa"/>
          </w:tblCellMar>
        </w:tblPrEx>
        <w:trPr>
          <w:trHeight w:val="340" w:hRule="atLeast"/>
          <w:jc w:val="center"/>
        </w:trPr>
        <w:tc>
          <w:tcPr>
            <w:tcW w:w="103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1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74"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33"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1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积极履行平安建设各项工作职能，不断创新基层社会治理，夯实基层基础</w:t>
            </w:r>
            <w:r>
              <w:rPr>
                <w:rFonts w:hint="eastAsia" w:eastAsia="仿宋_GB2312"/>
                <w:kern w:val="0"/>
                <w:szCs w:val="21"/>
                <w:lang w:eastAsia="zh-CN"/>
              </w:rPr>
              <w:t>；</w:t>
            </w:r>
            <w:r>
              <w:rPr>
                <w:rFonts w:hint="eastAsia" w:eastAsia="仿宋_GB2312"/>
                <w:kern w:val="0"/>
                <w:szCs w:val="21"/>
              </w:rPr>
              <w:t>维护社会和谐稳定</w:t>
            </w:r>
            <w:r>
              <w:rPr>
                <w:rFonts w:hint="eastAsia" w:eastAsia="仿宋_GB2312"/>
                <w:kern w:val="0"/>
                <w:szCs w:val="21"/>
                <w:lang w:eastAsia="zh-CN"/>
              </w:rPr>
              <w:t>；切实抓好干部队伍建设；为保障全县经济高质量发展，促进社会高效能治理，守护群众高品质生活，全面推进平安邵阳县、法治邵阳县建设贡献力量。</w:t>
            </w:r>
          </w:p>
        </w:tc>
        <w:tc>
          <w:tcPr>
            <w:tcW w:w="3574"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一年来，本委忠实履职、积极做为，迎难而上，开拓进取，全面深化政法领域改革，各项工作都取得了优异成绩。稳步推进网格化服务实行“微网格”模式</w:t>
            </w:r>
            <w:r>
              <w:rPr>
                <w:rFonts w:hint="eastAsia" w:eastAsia="仿宋_GB2312"/>
                <w:kern w:val="0"/>
                <w:szCs w:val="21"/>
                <w:lang w:eastAsia="zh-CN"/>
              </w:rPr>
              <w:t>；坚决维护国家政治安全和社会稳定，全县社会大局稳定有序、稳中向好，社会治安形势进一步好转；扎实开展</w:t>
            </w:r>
            <w:r>
              <w:rPr>
                <w:rFonts w:hint="eastAsia" w:eastAsia="仿宋_GB2312"/>
                <w:kern w:val="0"/>
                <w:szCs w:val="21"/>
                <w:lang w:val="en-US" w:eastAsia="zh-CN"/>
              </w:rPr>
              <w:t>社会治理现代化；扫黑除恶专项斗争深入推进，禁毒攻坚战取得显著成果，为全县经济社会发展创造了安全稳定的社会环境。</w:t>
            </w:r>
          </w:p>
        </w:tc>
      </w:tr>
      <w:tr>
        <w:tblPrEx>
          <w:tblCellMar>
            <w:top w:w="0" w:type="dxa"/>
            <w:left w:w="108" w:type="dxa"/>
            <w:bottom w:w="0" w:type="dxa"/>
            <w:right w:w="108" w:type="dxa"/>
          </w:tblCellMar>
        </w:tblPrEx>
        <w:trPr>
          <w:trHeight w:val="377" w:hRule="atLeast"/>
          <w:jc w:val="center"/>
        </w:trPr>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2"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专项资金支出总额</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108万元</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108万元</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r>
              <w:rPr>
                <w:rFonts w:hint="eastAsia" w:eastAsia="仿宋_GB2312"/>
                <w:w w:val="90"/>
                <w:kern w:val="0"/>
                <w:szCs w:val="21"/>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有效使用专项资金占比</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100%</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100%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r>
              <w:rPr>
                <w:rFonts w:hint="eastAsia" w:eastAsia="仿宋_GB2312"/>
                <w:w w:val="90"/>
                <w:kern w:val="0"/>
                <w:szCs w:val="21"/>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用于坚决维护国家政治安全和社会稳定</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用于扫黑除恶专项斗争深入推进</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用于禁毒攻坚战取得显著成果</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用于稳步推进网格化服务实行“微网格”模式</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用于全面深化政法领域改革</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用于扎实开展政法队伍教育整顿</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r>
              <w:rPr>
                <w:rFonts w:hint="eastAsia" w:eastAsia="仿宋_GB2312"/>
                <w:w w:val="90"/>
                <w:kern w:val="0"/>
                <w:szCs w:val="21"/>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完成时间</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2022年12月底前</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2022年12月底前</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r>
              <w:rPr>
                <w:rFonts w:hint="eastAsia" w:eastAsia="仿宋_GB2312"/>
                <w:w w:val="90"/>
                <w:kern w:val="0"/>
                <w:szCs w:val="21"/>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专项资金支出额</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108万元</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108万元</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5</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rPr>
            </w:pPr>
            <w:r>
              <w:rPr>
                <w:rFonts w:hint="eastAsia" w:eastAsia="仿宋_GB2312"/>
                <w:w w:val="90"/>
                <w:kern w:val="0"/>
                <w:szCs w:val="21"/>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节约成本，充分发挥资金效益</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为全面推进平安邵阳县、法治邵阳县建设贡献力量</w:t>
            </w:r>
          </w:p>
        </w:tc>
        <w:tc>
          <w:tcPr>
            <w:tcW w:w="122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02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持续维护邵阳县平安稳定和社会公平正义</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取得良好成效</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取得良好成效</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　</w:t>
            </w:r>
          </w:p>
        </w:tc>
      </w:tr>
      <w:tr>
        <w:tblPrEx>
          <w:tblCellMar>
            <w:top w:w="0" w:type="dxa"/>
            <w:left w:w="108" w:type="dxa"/>
            <w:bottom w:w="0" w:type="dxa"/>
            <w:right w:w="108" w:type="dxa"/>
          </w:tblCellMar>
        </w:tblPrEx>
        <w:trPr>
          <w:trHeight w:val="340"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2"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28"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90"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群众满意度</w:t>
            </w:r>
          </w:p>
        </w:tc>
        <w:tc>
          <w:tcPr>
            <w:tcW w:w="1225"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02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≥95%</w:t>
            </w:r>
          </w:p>
        </w:tc>
        <w:tc>
          <w:tcPr>
            <w:tcW w:w="68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≥95%</w:t>
            </w:r>
          </w:p>
        </w:tc>
        <w:tc>
          <w:tcPr>
            <w:tcW w:w="48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w w:val="90"/>
                <w:kern w:val="0"/>
                <w:szCs w:val="21"/>
                <w:lang w:val="en-US" w:eastAsia="zh-CN"/>
              </w:rPr>
            </w:pPr>
            <w:r>
              <w:rPr>
                <w:rFonts w:hint="eastAsia" w:eastAsia="仿宋_GB2312"/>
                <w:w w:val="90"/>
                <w:kern w:val="0"/>
                <w:szCs w:val="21"/>
                <w:lang w:val="en-US" w:eastAsia="zh-CN"/>
              </w:rPr>
              <w:t>10</w:t>
            </w:r>
          </w:p>
        </w:tc>
        <w:tc>
          <w:tcPr>
            <w:tcW w:w="1380" w:type="dxa"/>
            <w:gridSpan w:val="2"/>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　</w:t>
            </w:r>
          </w:p>
        </w:tc>
      </w:tr>
      <w:tr>
        <w:tblPrEx>
          <w:tblCellMar>
            <w:top w:w="0" w:type="dxa"/>
            <w:left w:w="108" w:type="dxa"/>
            <w:bottom w:w="0" w:type="dxa"/>
            <w:right w:w="108" w:type="dxa"/>
          </w:tblCellMar>
        </w:tblPrEx>
        <w:trPr>
          <w:trHeight w:val="340" w:hRule="atLeast"/>
          <w:jc w:val="center"/>
        </w:trPr>
        <w:tc>
          <w:tcPr>
            <w:tcW w:w="6772"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总分</w:t>
            </w:r>
          </w:p>
        </w:tc>
        <w:tc>
          <w:tcPr>
            <w:tcW w:w="68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100</w:t>
            </w:r>
          </w:p>
        </w:tc>
        <w:tc>
          <w:tcPr>
            <w:tcW w:w="48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100　</w:t>
            </w:r>
          </w:p>
        </w:tc>
        <w:tc>
          <w:tcPr>
            <w:tcW w:w="1380" w:type="dxa"/>
            <w:gridSpan w:val="2"/>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w w:val="90"/>
                <w:kern w:val="0"/>
                <w:szCs w:val="21"/>
                <w:lang w:val="en-US" w:eastAsia="zh-CN"/>
              </w:rPr>
            </w:pPr>
            <w:r>
              <w:rPr>
                <w:rFonts w:hint="eastAsia" w:eastAsia="仿宋_GB2312"/>
                <w:w w:val="90"/>
                <w:kern w:val="0"/>
                <w:szCs w:val="21"/>
                <w:lang w:val="en-US" w:eastAsia="zh-CN"/>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陈彦伶</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2023/11/12</w:t>
      </w:r>
      <w:r>
        <w:rPr>
          <w:rFonts w:eastAsia="仿宋_GB2312"/>
          <w:sz w:val="24"/>
        </w:rPr>
        <w:t xml:space="preserve">  </w:t>
      </w:r>
      <w:r>
        <w:rPr>
          <w:rFonts w:hint="eastAsia" w:eastAsia="仿宋_GB2312"/>
          <w:sz w:val="24"/>
        </w:rPr>
        <w:t>联系电话：</w:t>
      </w:r>
      <w:r>
        <w:rPr>
          <w:rFonts w:hint="eastAsia" w:eastAsia="仿宋_GB2312"/>
          <w:sz w:val="24"/>
          <w:lang w:val="en-US" w:eastAsia="zh-CN"/>
        </w:rPr>
        <w:t>15399752377</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pPr>
        <w:ind w:left="277" w:leftChars="132"/>
        <w:jc w:val="left"/>
        <w:rPr>
          <w:rFonts w:ascii="仿宋" w:hAnsi="仿宋" w:eastAsia="仿宋" w:cs="仿宋"/>
          <w:sz w:val="32"/>
          <w:szCs w:val="32"/>
        </w:rPr>
      </w:pPr>
    </w:p>
    <w:sectPr>
      <w:footerReference r:id="rId3" w:type="default"/>
      <w:footerReference r:id="rId4" w:type="even"/>
      <w:pgSz w:w="11905" w:h="16837"/>
      <w:pgMar w:top="2098" w:right="1474" w:bottom="1984" w:left="1587"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4</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42378"/>
    <w:multiLevelType w:val="singleLevel"/>
    <w:tmpl w:val="E9A42378"/>
    <w:lvl w:ilvl="0" w:tentative="0">
      <w:start w:val="2"/>
      <w:numFmt w:val="decimal"/>
      <w:suff w:val="nothing"/>
      <w:lvlText w:val="%1、"/>
      <w:lvlJc w:val="left"/>
    </w:lvl>
  </w:abstractNum>
  <w:abstractNum w:abstractNumId="1">
    <w:nsid w:val="668A497E"/>
    <w:multiLevelType w:val="singleLevel"/>
    <w:tmpl w:val="668A497E"/>
    <w:lvl w:ilvl="0" w:tentative="0">
      <w:start w:val="2"/>
      <w:numFmt w:val="chineseCounting"/>
      <w:suff w:val="nothing"/>
      <w:lvlText w:val="（%1）"/>
      <w:lvlJc w:val="left"/>
      <w:rPr>
        <w:rFonts w:hint="eastAsia"/>
      </w:rPr>
    </w:lvl>
  </w:abstractNum>
  <w:abstractNum w:abstractNumId="2">
    <w:nsid w:val="787C328B"/>
    <w:multiLevelType w:val="singleLevel"/>
    <w:tmpl w:val="787C328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zI2NDU0ODhmOWFhZTU4MmRkYTQ1Y2Q3Zjg4Yj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A56F9C"/>
    <w:rsid w:val="01C77DCE"/>
    <w:rsid w:val="03BA01AE"/>
    <w:rsid w:val="055F72FC"/>
    <w:rsid w:val="05C63780"/>
    <w:rsid w:val="060832D7"/>
    <w:rsid w:val="07061C60"/>
    <w:rsid w:val="07601F6F"/>
    <w:rsid w:val="092550F0"/>
    <w:rsid w:val="09636F12"/>
    <w:rsid w:val="0B402ED3"/>
    <w:rsid w:val="0B595BEC"/>
    <w:rsid w:val="0B723270"/>
    <w:rsid w:val="0D605FA4"/>
    <w:rsid w:val="0DAC1131"/>
    <w:rsid w:val="0F0351A9"/>
    <w:rsid w:val="0F686EA2"/>
    <w:rsid w:val="10125033"/>
    <w:rsid w:val="13063EC3"/>
    <w:rsid w:val="17F93945"/>
    <w:rsid w:val="194621AC"/>
    <w:rsid w:val="1C96001A"/>
    <w:rsid w:val="1D1722B1"/>
    <w:rsid w:val="21486D67"/>
    <w:rsid w:val="25A206EF"/>
    <w:rsid w:val="26CA0729"/>
    <w:rsid w:val="26DC57EF"/>
    <w:rsid w:val="26EC76C6"/>
    <w:rsid w:val="270F224B"/>
    <w:rsid w:val="27654B82"/>
    <w:rsid w:val="279C010A"/>
    <w:rsid w:val="28BB586E"/>
    <w:rsid w:val="2ACD4C49"/>
    <w:rsid w:val="2B9C3577"/>
    <w:rsid w:val="2DDA55A3"/>
    <w:rsid w:val="2EF0518E"/>
    <w:rsid w:val="2F373F0A"/>
    <w:rsid w:val="2F465CE9"/>
    <w:rsid w:val="30133FEC"/>
    <w:rsid w:val="301467A7"/>
    <w:rsid w:val="32171FB4"/>
    <w:rsid w:val="32AF41BD"/>
    <w:rsid w:val="367E6347"/>
    <w:rsid w:val="376A7251"/>
    <w:rsid w:val="38FF559F"/>
    <w:rsid w:val="390B0AC4"/>
    <w:rsid w:val="3F07230B"/>
    <w:rsid w:val="401A4DB7"/>
    <w:rsid w:val="40551718"/>
    <w:rsid w:val="407C63EC"/>
    <w:rsid w:val="41D96CAB"/>
    <w:rsid w:val="44AE371A"/>
    <w:rsid w:val="4750610E"/>
    <w:rsid w:val="48D77849"/>
    <w:rsid w:val="4A4A38D3"/>
    <w:rsid w:val="4A6A422A"/>
    <w:rsid w:val="4DC14C54"/>
    <w:rsid w:val="4E0E20F8"/>
    <w:rsid w:val="4FF754A7"/>
    <w:rsid w:val="5025403F"/>
    <w:rsid w:val="512D283B"/>
    <w:rsid w:val="544E62B5"/>
    <w:rsid w:val="57965D12"/>
    <w:rsid w:val="590B7824"/>
    <w:rsid w:val="598A0134"/>
    <w:rsid w:val="5EE15247"/>
    <w:rsid w:val="611C2A4E"/>
    <w:rsid w:val="61ED0983"/>
    <w:rsid w:val="621A2785"/>
    <w:rsid w:val="62882906"/>
    <w:rsid w:val="6296592A"/>
    <w:rsid w:val="636369CE"/>
    <w:rsid w:val="64653D4C"/>
    <w:rsid w:val="64821F10"/>
    <w:rsid w:val="693B1A2C"/>
    <w:rsid w:val="752D41F9"/>
    <w:rsid w:val="75BF1D13"/>
    <w:rsid w:val="77F770D8"/>
    <w:rsid w:val="783F1A66"/>
    <w:rsid w:val="786A32D4"/>
    <w:rsid w:val="7E0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Times New Roman" w:hAnsi="Times New Roman" w:eastAsia="方正公文小标宋"/>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rPr>
      <w:rFonts w:ascii="Times New Roman" w:hAnsi="Times New Roman" w:cs="Times New Roman"/>
      <w:szCs w:val="21"/>
    </w:rPr>
  </w:style>
  <w:style w:type="paragraph" w:styleId="3">
    <w:name w:val="Body Text Indent"/>
    <w:basedOn w:val="1"/>
    <w:qFormat/>
    <w:uiPriority w:val="0"/>
    <w:pPr>
      <w:spacing w:after="120" w:afterLines="0" w:afterAutospacing="0"/>
      <w:ind w:left="420" w:leftChars="200"/>
    </w:pPr>
  </w:style>
  <w:style w:type="paragraph" w:styleId="5">
    <w:name w:val="Body Text"/>
    <w:basedOn w:val="1"/>
    <w:semiHidden/>
    <w:unhideWhenUsed/>
    <w:qFormat/>
    <w:uiPriority w:val="99"/>
    <w:pPr>
      <w:spacing w:after="120" w:afterLines="0" w:afterAutospacing="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styleId="12">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3">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3951</Words>
  <Characters>4183</Characters>
  <Lines>56</Lines>
  <Paragraphs>15</Paragraphs>
  <TotalTime>1</TotalTime>
  <ScaleCrop>false</ScaleCrop>
  <LinksUpToDate>false</LinksUpToDate>
  <CharactersWithSpaces>4469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东三令</cp:lastModifiedBy>
  <cp:lastPrinted>2023-03-31T00:06:00Z</cp:lastPrinted>
  <dcterms:modified xsi:type="dcterms:W3CDTF">2023-11-14T08:16:30Z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982292B47F8249A285F33B02FAFCD216</vt:lpwstr>
  </property>
</Properties>
</file>