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E912">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33C42E07">
      <w:pPr>
        <w:rPr>
          <w:rFonts w:eastAsia="黑体"/>
          <w:sz w:val="44"/>
        </w:rPr>
      </w:pPr>
    </w:p>
    <w:p w14:paraId="04E07A1D">
      <w:pPr>
        <w:rPr>
          <w:rFonts w:eastAsia="黑体"/>
          <w:sz w:val="44"/>
        </w:rPr>
      </w:pPr>
    </w:p>
    <w:p w14:paraId="52D19B3D">
      <w:pPr>
        <w:rPr>
          <w:rFonts w:eastAsia="黑体"/>
          <w:sz w:val="44"/>
        </w:rPr>
      </w:pPr>
    </w:p>
    <w:p w14:paraId="2B8F63B7">
      <w:pPr>
        <w:jc w:val="center"/>
        <w:rPr>
          <w:rFonts w:ascii="宋体" w:hAnsi="宋体"/>
          <w:sz w:val="44"/>
          <w:szCs w:val="44"/>
        </w:rPr>
      </w:pPr>
    </w:p>
    <w:p w14:paraId="521E0E43">
      <w:pPr>
        <w:jc w:val="center"/>
        <w:rPr>
          <w:rFonts w:hint="eastAsia" w:ascii="方正小标宋简体" w:hAnsi="方正小标宋简体" w:eastAsia="方正小标宋简体" w:cs="方正小标宋简体"/>
          <w:sz w:val="44"/>
          <w:szCs w:val="44"/>
        </w:rPr>
      </w:pPr>
      <w:bookmarkStart w:id="5" w:name="_GoBack"/>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年度部门整体支出绩效自评报告</w:t>
      </w:r>
      <w:bookmarkEnd w:id="5"/>
      <w:r>
        <w:rPr>
          <w:rFonts w:hint="eastAsia" w:ascii="方正小标宋简体" w:hAnsi="方正小标宋简体" w:eastAsia="方正小标宋简体" w:cs="方正小标宋简体"/>
          <w:sz w:val="44"/>
          <w:szCs w:val="44"/>
        </w:rPr>
        <w:t xml:space="preserve">   </w:t>
      </w:r>
    </w:p>
    <w:p w14:paraId="2771ADC2">
      <w:pPr>
        <w:jc w:val="center"/>
        <w:rPr>
          <w:rFonts w:hint="eastAsia" w:ascii="方正小标宋简体" w:hAnsi="方正小标宋简体" w:eastAsia="方正小标宋简体" w:cs="方正小标宋简体"/>
          <w:sz w:val="44"/>
          <w:szCs w:val="44"/>
        </w:rPr>
      </w:pPr>
    </w:p>
    <w:p w14:paraId="40D370AD">
      <w:pPr>
        <w:jc w:val="center"/>
        <w:rPr>
          <w:rFonts w:ascii="宋体" w:hAnsi="宋体"/>
          <w:sz w:val="44"/>
          <w:szCs w:val="44"/>
        </w:rPr>
      </w:pPr>
    </w:p>
    <w:p w14:paraId="5638BD2B">
      <w:pPr>
        <w:spacing w:line="600" w:lineRule="exact"/>
        <w:rPr>
          <w:sz w:val="36"/>
        </w:rPr>
      </w:pPr>
    </w:p>
    <w:p w14:paraId="6124A8BD">
      <w:pPr>
        <w:spacing w:line="600" w:lineRule="exact"/>
        <w:rPr>
          <w:sz w:val="36"/>
        </w:rPr>
      </w:pPr>
    </w:p>
    <w:p w14:paraId="75EE02D2">
      <w:pPr>
        <w:spacing w:line="600" w:lineRule="exact"/>
        <w:rPr>
          <w:sz w:val="36"/>
        </w:rPr>
      </w:pPr>
    </w:p>
    <w:p w14:paraId="638CC381">
      <w:pPr>
        <w:spacing w:line="600" w:lineRule="exact"/>
        <w:rPr>
          <w:sz w:val="36"/>
        </w:rPr>
      </w:pPr>
    </w:p>
    <w:p w14:paraId="556478DE">
      <w:pPr>
        <w:spacing w:line="600" w:lineRule="exact"/>
        <w:rPr>
          <w:sz w:val="36"/>
        </w:rPr>
      </w:pPr>
    </w:p>
    <w:p w14:paraId="7AFE24B3">
      <w:pPr>
        <w:spacing w:line="600" w:lineRule="exact"/>
        <w:rPr>
          <w:sz w:val="36"/>
        </w:rPr>
      </w:pPr>
    </w:p>
    <w:p w14:paraId="6F6C9EAD">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w:t>
      </w:r>
      <w:r>
        <w:rPr>
          <w:rFonts w:hint="eastAsia"/>
          <w:b/>
          <w:bCs/>
          <w:sz w:val="32"/>
          <w:szCs w:val="32"/>
          <w:u w:val="single"/>
          <w:lang w:val="en-US" w:eastAsia="zh-CN"/>
        </w:rPr>
        <w:t>诸甲亭乡</w:t>
      </w:r>
      <w:r>
        <w:rPr>
          <w:rFonts w:hint="eastAsia"/>
          <w:b/>
          <w:bCs/>
          <w:sz w:val="32"/>
          <w:szCs w:val="32"/>
          <w:u w:val="single"/>
          <w:lang w:eastAsia="zh-CN"/>
        </w:rPr>
        <w:t>人民政府</w:t>
      </w:r>
      <w:r>
        <w:rPr>
          <w:rFonts w:hint="eastAsia"/>
          <w:b/>
          <w:bCs/>
          <w:sz w:val="32"/>
          <w:szCs w:val="32"/>
          <w:u w:val="single"/>
        </w:rPr>
        <w:t>　　</w:t>
      </w:r>
      <w:r>
        <w:rPr>
          <w:rFonts w:hint="eastAsia"/>
          <w:bCs/>
          <w:sz w:val="32"/>
          <w:szCs w:val="32"/>
        </w:rPr>
        <w:t>（单位公章）</w:t>
      </w:r>
    </w:p>
    <w:p w14:paraId="22741237">
      <w:pPr>
        <w:spacing w:line="600" w:lineRule="exact"/>
      </w:pPr>
    </w:p>
    <w:p w14:paraId="09F96B1F">
      <w:pPr>
        <w:spacing w:line="600" w:lineRule="exact"/>
      </w:pPr>
    </w:p>
    <w:p w14:paraId="2E385DB1">
      <w:pPr>
        <w:spacing w:line="600" w:lineRule="exact"/>
      </w:pPr>
    </w:p>
    <w:p w14:paraId="58809F64">
      <w:pPr>
        <w:spacing w:line="600" w:lineRule="exact"/>
      </w:pPr>
    </w:p>
    <w:p w14:paraId="4A2B89C6">
      <w:pPr>
        <w:spacing w:line="600" w:lineRule="exact"/>
      </w:pPr>
    </w:p>
    <w:p w14:paraId="398AF240">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29</w:t>
      </w:r>
      <w:r>
        <w:rPr>
          <w:rFonts w:hint="eastAsia" w:ascii="楷体" w:hAnsi="楷体" w:eastAsia="楷体" w:cs="楷体"/>
          <w:sz w:val="36"/>
        </w:rPr>
        <w:t>日</w:t>
      </w:r>
    </w:p>
    <w:p w14:paraId="6FC55219">
      <w:pPr>
        <w:spacing w:line="600" w:lineRule="exact"/>
        <w:rPr>
          <w:rFonts w:eastAsia="仿宋_GB2312"/>
          <w:sz w:val="28"/>
          <w:szCs w:val="28"/>
        </w:rPr>
      </w:pPr>
    </w:p>
    <w:p w14:paraId="12DE1B9E">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03961D74">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1D4CE1EC">
      <w:pPr>
        <w:adjustRightInd w:val="0"/>
        <w:spacing w:line="600" w:lineRule="exact"/>
        <w:ind w:right="641"/>
        <w:rPr>
          <w:rFonts w:eastAsia="仿宋_GB2312"/>
          <w:sz w:val="32"/>
          <w:szCs w:val="32"/>
        </w:rPr>
      </w:pPr>
    </w:p>
    <w:p w14:paraId="68B5D4CD">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4DE82532">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533CD5C3">
      <w:pPr>
        <w:widowControl/>
        <w:spacing w:line="600" w:lineRule="exact"/>
        <w:ind w:firstLine="645"/>
        <w:jc w:val="left"/>
        <w:rPr>
          <w:rFonts w:hint="eastAsia" w:ascii="楷体" w:hAnsi="楷体" w:eastAsia="楷体" w:cs="楷体"/>
          <w:b/>
          <w:bCs/>
          <w:sz w:val="32"/>
          <w:szCs w:val="32"/>
        </w:rPr>
      </w:pPr>
      <w:r>
        <w:rPr>
          <w:rFonts w:hint="eastAsia" w:eastAsia="仿宋_GB2312"/>
          <w:sz w:val="32"/>
          <w:szCs w:val="32"/>
          <w:lang w:val="en-US" w:eastAsia="zh-CN"/>
        </w:rPr>
        <w:t>诸甲亭乡人民政府单位内设机构包括“五办四中心一大队一站一所”:党政综合办公室、基层党建办公室、经济发展办公室、社会事务办公室、社会治安和应急管理办公室、自然资源和村乡建设事务中心、政务和社会事务服务中心、生态环境事务中心、农业综合服务中心、综合行政执法大队、退役军人服务站、财政所。</w:t>
      </w:r>
    </w:p>
    <w:p w14:paraId="12C840F6">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14:paraId="49DCAA19">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w:t>
      </w:r>
      <w:r>
        <w:rPr>
          <w:rFonts w:hint="eastAsia" w:ascii="楷体_GB2312" w:eastAsia="楷体_GB2312"/>
          <w:color w:val="000000"/>
          <w:kern w:val="0"/>
          <w:sz w:val="30"/>
          <w:szCs w:val="30"/>
        </w:rPr>
        <w:t>数</w:t>
      </w:r>
      <w:r>
        <w:rPr>
          <w:rFonts w:hint="eastAsia" w:ascii="楷体_GB2312" w:eastAsia="楷体_GB2312"/>
          <w:color w:val="000000"/>
          <w:kern w:val="0"/>
          <w:sz w:val="30"/>
          <w:szCs w:val="30"/>
          <w:lang w:val="en-US" w:eastAsia="zh-CN"/>
        </w:rPr>
        <w:t>59</w:t>
      </w:r>
      <w:r>
        <w:rPr>
          <w:rFonts w:hint="eastAsia" w:ascii="楷体_GB2312" w:eastAsia="楷体_GB2312"/>
          <w:color w:val="000000"/>
          <w:kern w:val="0"/>
          <w:sz w:val="30"/>
          <w:szCs w:val="30"/>
        </w:rPr>
        <w:t>人，离退休人员</w:t>
      </w:r>
      <w:r>
        <w:rPr>
          <w:rFonts w:hint="eastAsia" w:ascii="楷体_GB2312" w:eastAsia="楷体_GB2312"/>
          <w:color w:val="000000"/>
          <w:kern w:val="0"/>
          <w:sz w:val="30"/>
          <w:szCs w:val="30"/>
          <w:lang w:val="en-US" w:eastAsia="zh-CN"/>
        </w:rPr>
        <w:t>13</w:t>
      </w:r>
      <w:r>
        <w:rPr>
          <w:rFonts w:hint="eastAsia" w:ascii="楷体_GB2312" w:eastAsia="楷体_GB2312"/>
          <w:color w:val="000000"/>
          <w:kern w:val="0"/>
          <w:sz w:val="30"/>
          <w:szCs w:val="30"/>
        </w:rPr>
        <w:t>人</w:t>
      </w:r>
      <w:r>
        <w:rPr>
          <w:rFonts w:hint="eastAsia" w:eastAsia="仿宋_GB2312"/>
          <w:sz w:val="32"/>
          <w:szCs w:val="32"/>
          <w:lang w:val="en-US" w:eastAsia="zh-CN"/>
        </w:rPr>
        <w:t>，其中：财政全额供养59人；车改后实保留车辆1辆，2023年上级调拨环保执法车辆1辆。</w:t>
      </w:r>
    </w:p>
    <w:p w14:paraId="23EE4075">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14:paraId="7DC2238F">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根据《宪法》和《预算法》规定，邵阳县</w:t>
      </w:r>
      <w:r>
        <w:rPr>
          <w:rFonts w:hint="eastAsia" w:ascii="仿宋_GB2312" w:hAnsi="仿宋_GB2312" w:eastAsia="仿宋_GB2312" w:cs="仿宋_GB2312"/>
          <w:b w:val="0"/>
          <w:bCs w:val="0"/>
          <w:sz w:val="32"/>
          <w:szCs w:val="32"/>
          <w:lang w:eastAsia="zh-CN"/>
        </w:rPr>
        <w:t>诸甲亭乡</w:t>
      </w:r>
      <w:r>
        <w:rPr>
          <w:rFonts w:hint="eastAsia" w:ascii="仿宋_GB2312" w:hAnsi="仿宋_GB2312" w:eastAsia="仿宋_GB2312" w:cs="仿宋_GB2312"/>
          <w:b w:val="0"/>
          <w:bCs w:val="0"/>
          <w:sz w:val="32"/>
          <w:szCs w:val="32"/>
        </w:rPr>
        <w:t>人民政府依法履行下列职能职责：</w:t>
      </w:r>
    </w:p>
    <w:p w14:paraId="5EBDE1BA">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（1）执行上级国家行政机关的决定，命令和国家制定的法令，法规，接受同级党委的领导，执行本级人民代表大会的各项决议，并报告执行决议、决定和命令的情况。</w:t>
      </w:r>
    </w:p>
    <w:p w14:paraId="7DCBF1E6">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（2）制定并落实本行政区域的经济计划和措施，促进产业结构调整及其他经济保持平衡发展，全面提高人民群众的生活水平和生活质量。</w:t>
      </w:r>
    </w:p>
    <w:p w14:paraId="3BE87809">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级财政的监督和管理，按计划组织，管理</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财政收入和支出，执行国家有关财经纪律和政策，保证国家财政收入的完成；做好统计工作。</w:t>
      </w:r>
    </w:p>
    <w:p w14:paraId="4707A090">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（4）协助和支持设置在本行政区域内不隶属于</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的国家机关和企事业单位工作，监督其遵守和执行国家的法律、法规和政策。</w:t>
      </w:r>
    </w:p>
    <w:p w14:paraId="6715217F">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（5）承办县人民政府交办的其他事项。</w:t>
      </w:r>
    </w:p>
    <w:p w14:paraId="2292B9FC">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14:paraId="6F0BB9FC">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rPr>
        <w:t>年度预算申请</w:t>
      </w:r>
      <w:r>
        <w:rPr>
          <w:rFonts w:hint="eastAsia" w:ascii="仿宋_GB2312" w:hAnsi="仿宋_GB2312" w:eastAsia="仿宋_GB2312" w:cs="仿宋_GB2312"/>
          <w:color w:val="auto"/>
          <w:sz w:val="32"/>
          <w:szCs w:val="32"/>
          <w:lang w:val="en-US" w:eastAsia="zh-CN"/>
        </w:rPr>
        <w:t>963.19</w:t>
      </w:r>
      <w:r>
        <w:rPr>
          <w:rFonts w:hint="eastAsia"/>
          <w:lang w:eastAsia="zh-CN"/>
        </w:rPr>
        <w:t>万元，在收支预算内，确保完成以下整体目标：</w:t>
      </w:r>
    </w:p>
    <w:p w14:paraId="3A6569AD">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lang w:eastAsia="zh-CN"/>
        </w:rPr>
        <w:t>1、保障人员支出和单位正常运转；</w:t>
      </w:r>
    </w:p>
    <w:p w14:paraId="0DA5671F">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lang w:val="en-US" w:eastAsia="zh-CN"/>
        </w:rPr>
        <w:t>2、</w:t>
      </w:r>
      <w:r>
        <w:rPr>
          <w:rFonts w:hint="eastAsia"/>
          <w:lang w:eastAsia="zh-CN"/>
        </w:rPr>
        <w:t>严格按照财务规章制度做好各项支出；</w:t>
      </w:r>
    </w:p>
    <w:p w14:paraId="548B21EA">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lang w:val="en-US" w:eastAsia="zh-CN"/>
        </w:rPr>
        <w:t>3、</w:t>
      </w:r>
      <w:r>
        <w:rPr>
          <w:rFonts w:hint="eastAsia"/>
          <w:lang w:eastAsia="zh-CN"/>
        </w:rPr>
        <w:t>加强财务监督和支出统筹规划，杜绝不合理开支，确保三公经费只降不升。</w:t>
      </w:r>
    </w:p>
    <w:p w14:paraId="0AAF67C9">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eastAsia="黑体"/>
          <w:sz w:val="32"/>
          <w:szCs w:val="32"/>
        </w:rPr>
      </w:pPr>
      <w:r>
        <w:rPr>
          <w:rFonts w:hint="eastAsia" w:eastAsia="黑体"/>
          <w:sz w:val="32"/>
          <w:szCs w:val="32"/>
        </w:rPr>
        <w:t>二、一般公共预算支出情况</w:t>
      </w:r>
    </w:p>
    <w:p w14:paraId="62C13BBE">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14:paraId="26428A55">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2023年初县财政批复部门基本支出预算为963.19万元，其中：</w:t>
      </w:r>
      <w:r>
        <w:rPr>
          <w:rFonts w:hint="eastAsia" w:ascii="仿宋_GB2312" w:hAnsi="仿宋_GB2312" w:eastAsia="仿宋_GB2312" w:cs="仿宋_GB2312"/>
          <w:color w:val="auto"/>
          <w:sz w:val="32"/>
          <w:szCs w:val="32"/>
          <w:lang w:val="en-US" w:eastAsia="zh-CN"/>
        </w:rPr>
        <w:t>其中财政拨款收入</w:t>
      </w:r>
      <w:r>
        <w:rPr>
          <w:rFonts w:hint="eastAsia" w:ascii="仿宋_GB2312" w:hAnsi="仿宋_GB2312" w:eastAsia="仿宋_GB2312" w:cs="仿宋_GB2312"/>
          <w:color w:val="auto"/>
          <w:sz w:val="32"/>
          <w:szCs w:val="32"/>
        </w:rPr>
        <w:t>963.19万元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其他收入0万元；财政总支出</w:t>
      </w:r>
      <w:r>
        <w:rPr>
          <w:rFonts w:hint="eastAsia" w:ascii="仿宋_GB2312" w:hAnsi="仿宋_GB2312" w:eastAsia="仿宋_GB2312" w:cs="仿宋_GB2312"/>
          <w:color w:val="auto"/>
          <w:sz w:val="32"/>
          <w:szCs w:val="32"/>
        </w:rPr>
        <w:t>963.19万元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工资福利支出739.26万元,商品和福利支出159.18万元,对个人和家庭补助支出34.25万元。</w:t>
      </w:r>
    </w:p>
    <w:p w14:paraId="02FF5CB4">
      <w:pPr>
        <w:widowControl/>
        <w:spacing w:line="600" w:lineRule="exact"/>
        <w:ind w:firstLine="645"/>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2023年诸甲亭乡决算总收入1673.37万元，其中：财政拨款收入1673.37万元，占总收入的100%；上级补助收入0元、事业收入0元、经营收入0元、附属单位缴款收入0元、其他收入0元。</w:t>
      </w:r>
    </w:p>
    <w:p w14:paraId="7B31C1D3">
      <w:pPr>
        <w:widowControl/>
        <w:spacing w:line="600" w:lineRule="exact"/>
        <w:ind w:firstLine="645"/>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（二）部门预算执行情况</w:t>
      </w:r>
    </w:p>
    <w:p w14:paraId="0AC6A9C7">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14:paraId="34DC8EC8">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基本支出用于保障单位机构正常运转、完成日常工作任务而发生的各项支出，包括用于基本工资、津贴补贴等人员经费以及办公费、印刷费、水电费、办公设备购置等日常公用经费。</w:t>
      </w:r>
    </w:p>
    <w:p w14:paraId="3100C79E">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乡乡2023年初预算收入963.19万元，其中：经费拨款963.19元，纳入财政专户管理的非税收入拨款22.5万元，原劳服站与机线人员收入8万元；财政总支出963.19万元，其中：工资福利支出739.26万元,商品和福利支出159.18万元,对个人和家庭补助支出34.25万元。</w:t>
      </w:r>
    </w:p>
    <w:p w14:paraId="74E6DEDE">
      <w:pPr>
        <w:widowControl/>
        <w:spacing w:line="600" w:lineRule="exact"/>
        <w:ind w:firstLine="645"/>
        <w:jc w:val="left"/>
        <w:rPr>
          <w:rFonts w:hint="eastAsia" w:asciiTheme="minorEastAsia" w:hAnsiTheme="minorEastAsia" w:eastAsiaTheme="minorEastAsia" w:cstheme="minorEastAsia"/>
          <w:sz w:val="32"/>
          <w:szCs w:val="32"/>
          <w:lang w:val="en-US" w:eastAsia="zh-CN"/>
        </w:rPr>
      </w:pPr>
      <w:r>
        <w:rPr>
          <w:rFonts w:hint="eastAsia" w:ascii="仿宋_GB2312" w:hAnsi="仿宋_GB2312" w:eastAsia="仿宋_GB2312" w:cs="仿宋_GB2312"/>
          <w:color w:val="auto"/>
          <w:sz w:val="32"/>
          <w:szCs w:val="32"/>
          <w:lang w:val="en-US" w:eastAsia="zh-CN"/>
        </w:rPr>
        <w:t>本乡乡2023年终决算总收入1673.37万元，其中财政拨款收入1673.37万元，其他收入0万元；财政总支出1673.37万元，其中基本支出1673.37万元，项目支出0万元</w:t>
      </w:r>
      <w:r>
        <w:rPr>
          <w:rFonts w:hint="eastAsia" w:asciiTheme="minorEastAsia" w:hAnsiTheme="minorEastAsia" w:eastAsiaTheme="minorEastAsia" w:cstheme="minorEastAsia"/>
          <w:sz w:val="32"/>
          <w:szCs w:val="32"/>
          <w:lang w:val="en-US" w:eastAsia="zh-CN"/>
        </w:rPr>
        <w:t>。</w:t>
      </w:r>
    </w:p>
    <w:p w14:paraId="6F09C515">
      <w:pPr>
        <w:widowControl/>
        <w:spacing w:line="600" w:lineRule="exact"/>
        <w:ind w:firstLine="645"/>
        <w:jc w:val="left"/>
        <w:rPr>
          <w:rFonts w:hint="eastAsia" w:eastAsia="仿宋_GB2312"/>
          <w:color w:val="auto"/>
          <w:sz w:val="32"/>
          <w:szCs w:val="32"/>
        </w:rPr>
      </w:pPr>
      <w:r>
        <w:rPr>
          <w:rFonts w:hint="eastAsia" w:eastAsia="仿宋_GB2312"/>
          <w:color w:val="auto"/>
          <w:sz w:val="32"/>
          <w:szCs w:val="32"/>
        </w:rPr>
        <w:t>2.项目支出情况</w:t>
      </w:r>
    </w:p>
    <w:p w14:paraId="0DB3D60F">
      <w:pPr>
        <w:widowControl/>
        <w:spacing w:line="600" w:lineRule="exact"/>
        <w:ind w:firstLine="645"/>
        <w:jc w:val="left"/>
        <w:rPr>
          <w:rFonts w:hint="eastAsia" w:eastAsia="仿宋_GB2312"/>
          <w:sz w:val="32"/>
          <w:szCs w:val="32"/>
        </w:rPr>
      </w:pPr>
      <w:r>
        <w:rPr>
          <w:rFonts w:hint="eastAsia" w:eastAsia="仿宋_GB2312"/>
          <w:sz w:val="32"/>
          <w:szCs w:val="32"/>
        </w:rPr>
        <w:t>项目支出用于单位为完成特定行政工作任务或事业发展目标而发生的支出，包括有关事业发展专项、专项业务费、基本建设支出等。202</w:t>
      </w:r>
      <w:r>
        <w:rPr>
          <w:rFonts w:hint="eastAsia" w:eastAsia="仿宋_GB2312"/>
          <w:sz w:val="32"/>
          <w:szCs w:val="32"/>
          <w:lang w:val="en-US" w:eastAsia="zh-CN"/>
        </w:rPr>
        <w:t>3</w:t>
      </w:r>
      <w:r>
        <w:rPr>
          <w:rFonts w:hint="eastAsia" w:eastAsia="仿宋_GB2312"/>
          <w:sz w:val="32"/>
          <w:szCs w:val="32"/>
        </w:rPr>
        <w:t>年年初预算批复0万元，202</w:t>
      </w:r>
      <w:r>
        <w:rPr>
          <w:rFonts w:hint="eastAsia" w:eastAsia="仿宋_GB2312"/>
          <w:sz w:val="32"/>
          <w:szCs w:val="32"/>
          <w:lang w:val="en-US" w:eastAsia="zh-CN"/>
        </w:rPr>
        <w:t>3</w:t>
      </w:r>
      <w:r>
        <w:rPr>
          <w:rFonts w:hint="eastAsia" w:eastAsia="仿宋_GB2312"/>
          <w:sz w:val="32"/>
          <w:szCs w:val="32"/>
        </w:rPr>
        <w:t>年决算项目支出0万元。</w:t>
      </w:r>
    </w:p>
    <w:p w14:paraId="2472387A">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"三公"经费使用和管理情况</w:t>
      </w:r>
    </w:p>
    <w:p w14:paraId="7CA6985A">
      <w:pPr>
        <w:widowControl/>
        <w:spacing w:line="600" w:lineRule="exact"/>
        <w:ind w:firstLine="645"/>
        <w:jc w:val="left"/>
        <w:rPr>
          <w:rFonts w:hint="eastAsia" w:eastAsia="仿宋_GB2312" w:cs="Times New Roman"/>
          <w:sz w:val="32"/>
          <w:szCs w:val="32"/>
          <w:lang w:val="en-US" w:eastAsia="zh-CN"/>
        </w:rPr>
      </w:pPr>
      <w:r>
        <w:rPr>
          <w:rFonts w:hint="eastAsia" w:eastAsia="仿宋_GB2312" w:cs="Times New Roman"/>
          <w:sz w:val="32"/>
          <w:szCs w:val="32"/>
        </w:rPr>
        <w:t>2023年本部门“三公”经费预算数为3万元，其中，公务接待费2万元，公务用车购置及运行费1万元（其中，公务用车购置费0万元，公务用车运行费1万元），因公出国（境）费0万元。</w:t>
      </w:r>
    </w:p>
    <w:p w14:paraId="3DA3AB22">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color w:val="auto"/>
        </w:rPr>
      </w:pPr>
      <w:r>
        <w:rPr>
          <w:rFonts w:hint="eastAsia" w:ascii="仿宋_GB2312" w:hAnsi="仿宋_GB2312" w:eastAsia="仿宋_GB2312" w:cs="仿宋_GB2312"/>
          <w:color w:val="auto"/>
          <w:sz w:val="32"/>
          <w:szCs w:val="32"/>
        </w:rPr>
        <w:t>全年决算支出“三公”经费</w:t>
      </w:r>
      <w:r>
        <w:rPr>
          <w:rFonts w:hint="eastAsia" w:asciiTheme="minorEastAsia" w:hAnsiTheme="minorEastAsia" w:eastAsiaTheme="minorEastAsia" w:cstheme="minorEastAsia"/>
          <w:sz w:val="32"/>
          <w:szCs w:val="32"/>
          <w:lang w:val="en-US" w:eastAsia="zh-CN"/>
        </w:rPr>
        <w:t>3.29</w:t>
      </w:r>
      <w:r>
        <w:rPr>
          <w:rFonts w:hint="eastAsia" w:ascii="仿宋_GB2312" w:hAnsi="仿宋_GB2312" w:eastAsia="仿宋_GB2312" w:cs="仿宋_GB2312"/>
          <w:color w:val="auto"/>
          <w:sz w:val="32"/>
          <w:szCs w:val="32"/>
        </w:rPr>
        <w:t>万元，其中公务接待费</w:t>
      </w:r>
      <w:r>
        <w:rPr>
          <w:rFonts w:hint="eastAsia" w:asciiTheme="minorEastAsia" w:hAnsiTheme="minorEastAsia" w:eastAsiaTheme="minorEastAsia" w:cstheme="minorEastAsia"/>
          <w:sz w:val="32"/>
          <w:szCs w:val="32"/>
          <w:lang w:val="en-US" w:eastAsia="zh-CN"/>
        </w:rPr>
        <w:t>3.29</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14:paraId="43844587">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5" w:firstLineChars="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14:paraId="050AA862">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bidi="ar-SA"/>
        </w:rPr>
        <w:t>使用非财政拨款结余和专用结余0万元，年初结转和结余0万元，本年收入</w:t>
      </w:r>
      <w:r>
        <w:rPr>
          <w:rFonts w:hint="eastAsia" w:hAnsi="仿宋_GB2312" w:cs="仿宋_GB2312"/>
          <w:color w:val="auto"/>
          <w:sz w:val="32"/>
          <w:szCs w:val="32"/>
          <w:lang w:val="en-US" w:eastAsia="zh-CN"/>
        </w:rPr>
        <w:t>1673.37</w:t>
      </w:r>
      <w:r>
        <w:rPr>
          <w:rFonts w:hint="eastAsia" w:ascii="仿宋_GB2312" w:hAnsi="仿宋_GB2312" w:eastAsia="仿宋_GB2312" w:cs="仿宋_GB2312"/>
          <w:color w:val="auto"/>
          <w:kern w:val="2"/>
          <w:sz w:val="32"/>
          <w:szCs w:val="32"/>
          <w:lang w:val="en-US" w:eastAsia="zh-CN" w:bidi="ar-SA"/>
        </w:rPr>
        <w:t>万元，本年支出</w:t>
      </w:r>
      <w:r>
        <w:rPr>
          <w:rFonts w:hint="eastAsia" w:hAnsi="仿宋_GB2312" w:cs="仿宋_GB2312"/>
          <w:color w:val="auto"/>
          <w:sz w:val="32"/>
          <w:szCs w:val="32"/>
          <w:lang w:val="en-US" w:eastAsia="zh-CN"/>
        </w:rPr>
        <w:t>1673.37</w:t>
      </w:r>
      <w:r>
        <w:rPr>
          <w:rFonts w:hint="eastAsia" w:ascii="仿宋_GB2312" w:hAnsi="仿宋_GB2312" w:eastAsia="仿宋_GB2312" w:cs="仿宋_GB2312"/>
          <w:color w:val="auto"/>
          <w:kern w:val="2"/>
          <w:sz w:val="32"/>
          <w:szCs w:val="32"/>
          <w:lang w:val="en-US" w:eastAsia="zh-CN" w:bidi="ar-SA"/>
        </w:rPr>
        <w:t>万元，年末结转结余0万元。</w:t>
      </w:r>
    </w:p>
    <w:p w14:paraId="0A39FDB1">
      <w:pPr>
        <w:keepNext w:val="0"/>
        <w:keepLines w:val="0"/>
        <w:pageBreakBefore w:val="0"/>
        <w:widowControl/>
        <w:kinsoku/>
        <w:wordWrap/>
        <w:overflowPunct/>
        <w:topLinePunct w:val="0"/>
        <w:autoSpaceDE/>
        <w:autoSpaceDN/>
        <w:bidi w:val="0"/>
        <w:adjustRightInd/>
        <w:spacing w:line="600" w:lineRule="exact"/>
        <w:ind w:firstLine="645"/>
        <w:jc w:val="left"/>
        <w:textAlignment w:val="auto"/>
        <w:rPr>
          <w:rFonts w:hint="eastAsia" w:eastAsia="黑体"/>
          <w:sz w:val="32"/>
          <w:szCs w:val="32"/>
        </w:rPr>
      </w:pPr>
      <w:r>
        <w:rPr>
          <w:rFonts w:hint="eastAsia" w:eastAsia="黑体"/>
          <w:sz w:val="32"/>
          <w:szCs w:val="32"/>
        </w:rPr>
        <w:t>三、政府性基金预算支出情况</w:t>
      </w:r>
    </w:p>
    <w:p w14:paraId="38BA12BB">
      <w:pPr>
        <w:pStyle w:val="2"/>
        <w:keepNext w:val="0"/>
        <w:keepLines w:val="0"/>
        <w:pageBreakBefore w:val="0"/>
        <w:kinsoku/>
        <w:wordWrap/>
        <w:overflowPunct/>
        <w:topLinePunct w:val="0"/>
        <w:autoSpaceDE/>
        <w:autoSpaceDN/>
        <w:bidi w:val="0"/>
        <w:adjustRightInd/>
        <w:spacing w:line="600" w:lineRule="exact"/>
        <w:textAlignment w:val="auto"/>
        <w:rPr>
          <w:rFonts w:hint="default" w:eastAsia="黑体"/>
          <w:lang w:val="en-US" w:eastAsia="zh-CN"/>
        </w:rPr>
      </w:pPr>
      <w:r>
        <w:rPr>
          <w:rFonts w:hint="eastAsia" w:ascii="Calibri" w:hAnsi="Calibri" w:eastAsia="仿宋_GB2312" w:cs="Times New Roman"/>
          <w:color w:val="auto"/>
          <w:kern w:val="2"/>
          <w:sz w:val="32"/>
          <w:szCs w:val="32"/>
          <w:lang w:val="en-US" w:eastAsia="zh-CN" w:bidi="ar-SA"/>
        </w:rPr>
        <w:t>无政府性基金预算</w:t>
      </w:r>
    </w:p>
    <w:p w14:paraId="6ACECB0A">
      <w:pPr>
        <w:keepNext w:val="0"/>
        <w:keepLines w:val="0"/>
        <w:pageBreakBefore w:val="0"/>
        <w:widowControl/>
        <w:numPr>
          <w:ilvl w:val="0"/>
          <w:numId w:val="2"/>
        </w:numPr>
        <w:kinsoku/>
        <w:wordWrap/>
        <w:overflowPunct/>
        <w:topLinePunct w:val="0"/>
        <w:autoSpaceDE/>
        <w:autoSpaceDN/>
        <w:bidi w:val="0"/>
        <w:adjustRightInd/>
        <w:spacing w:line="600" w:lineRule="exact"/>
        <w:ind w:firstLine="645"/>
        <w:jc w:val="left"/>
        <w:textAlignment w:val="auto"/>
        <w:rPr>
          <w:rFonts w:hint="eastAsia" w:eastAsia="黑体"/>
          <w:sz w:val="32"/>
          <w:szCs w:val="32"/>
        </w:rPr>
      </w:pPr>
      <w:r>
        <w:rPr>
          <w:rFonts w:hint="eastAsia" w:eastAsia="黑体"/>
          <w:sz w:val="32"/>
          <w:szCs w:val="32"/>
        </w:rPr>
        <w:t>国有资本经营预算支出情况</w:t>
      </w:r>
    </w:p>
    <w:p w14:paraId="422305A1">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Calibri" w:hAnsi="Calibri" w:eastAsia="仿宋_GB2312" w:cs="Times New Roman"/>
          <w:color w:val="auto"/>
          <w:kern w:val="2"/>
          <w:sz w:val="32"/>
          <w:szCs w:val="32"/>
          <w:lang w:val="en-US" w:eastAsia="zh-CN" w:bidi="ar-SA"/>
        </w:rPr>
        <w:t>无国有资本经营预算</w:t>
      </w:r>
    </w:p>
    <w:p w14:paraId="641619A1">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6" w:firstLineChars="0"/>
        <w:jc w:val="left"/>
        <w:textAlignment w:val="auto"/>
        <w:rPr>
          <w:rFonts w:hint="eastAsia" w:eastAsia="黑体"/>
          <w:sz w:val="32"/>
          <w:szCs w:val="32"/>
        </w:rPr>
      </w:pPr>
      <w:r>
        <w:rPr>
          <w:rFonts w:hint="eastAsia" w:eastAsia="黑体"/>
          <w:sz w:val="32"/>
          <w:szCs w:val="32"/>
        </w:rPr>
        <w:t>社会保险基金预算支出情况</w:t>
      </w:r>
    </w:p>
    <w:p w14:paraId="16621205">
      <w:pPr>
        <w:pStyle w:val="2"/>
        <w:keepNext w:val="0"/>
        <w:keepLines w:val="0"/>
        <w:pageBreakBefore w:val="0"/>
        <w:numPr>
          <w:ilvl w:val="0"/>
          <w:numId w:val="0"/>
        </w:numPr>
        <w:kinsoku/>
        <w:wordWrap/>
        <w:overflowPunct/>
        <w:topLinePunct w:val="0"/>
        <w:autoSpaceDE/>
        <w:autoSpaceDN/>
        <w:bidi w:val="0"/>
        <w:adjustRightInd/>
        <w:snapToGrid/>
        <w:spacing w:line="600" w:lineRule="exact"/>
        <w:ind w:left="645" w:leftChars="0"/>
        <w:textAlignment w:val="auto"/>
        <w:rPr>
          <w:rFonts w:hint="eastAsia"/>
        </w:rPr>
      </w:pPr>
      <w:r>
        <w:rPr>
          <w:rFonts w:hint="eastAsia" w:ascii="Calibri" w:hAnsi="Calibri" w:eastAsia="仿宋_GB2312" w:cs="Times New Roman"/>
          <w:color w:val="auto"/>
          <w:kern w:val="2"/>
          <w:sz w:val="32"/>
          <w:szCs w:val="32"/>
          <w:lang w:val="en-US" w:eastAsia="zh-CN" w:bidi="ar-SA"/>
        </w:rPr>
        <w:t>无社会保险基金预算</w:t>
      </w:r>
    </w:p>
    <w:p w14:paraId="442B6043">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eastAsia="黑体"/>
          <w:sz w:val="32"/>
          <w:szCs w:val="32"/>
        </w:rPr>
      </w:pPr>
      <w:r>
        <w:rPr>
          <w:rFonts w:hint="eastAsia" w:eastAsia="黑体"/>
          <w:sz w:val="32"/>
          <w:szCs w:val="32"/>
        </w:rPr>
        <w:t>六、部门整体支出绩效情况</w:t>
      </w:r>
    </w:p>
    <w:p w14:paraId="6898636D">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rPr>
      </w:pPr>
      <w:r>
        <w:rPr>
          <w:rFonts w:hint="eastAsia" w:ascii="楷体" w:hAnsi="楷体" w:eastAsia="楷体" w:cs="楷体"/>
          <w:b/>
          <w:bCs/>
          <w:sz w:val="32"/>
          <w:szCs w:val="32"/>
        </w:rPr>
        <w:t>综合评价结论</w:t>
      </w:r>
      <w:r>
        <w:rPr>
          <w:rFonts w:hint="eastAsia" w:ascii="楷体" w:hAnsi="楷体" w:eastAsia="楷体" w:cs="楷体"/>
          <w:b/>
          <w:bCs/>
          <w:sz w:val="32"/>
          <w:szCs w:val="32"/>
          <w:lang w:eastAsia="zh-CN"/>
        </w:rPr>
        <w:t>：</w:t>
      </w:r>
      <w:r>
        <w:rPr>
          <w:rFonts w:hint="eastAsia" w:ascii="Calibri" w:hAnsi="Calibri" w:eastAsia="仿宋_GB2312" w:cs="Times New Roman"/>
          <w:bCs/>
          <w:color w:val="auto"/>
          <w:kern w:val="2"/>
          <w:sz w:val="32"/>
          <w:szCs w:val="32"/>
          <w:lang w:val="en-US" w:eastAsia="zh-CN" w:bidi="ar-SA"/>
        </w:rPr>
        <w:t>根据《邵阳县财政局关于开展2023年度部门整体支出绩效自评和项目支出绩效自评工作的通知》（邵财绩[2024]4号），邵阳县</w:t>
      </w:r>
      <w:r>
        <w:rPr>
          <w:rFonts w:hint="eastAsia" w:eastAsia="仿宋_GB2312" w:cs="Times New Roman"/>
          <w:bCs/>
          <w:color w:val="auto"/>
          <w:kern w:val="2"/>
          <w:sz w:val="32"/>
          <w:szCs w:val="32"/>
          <w:lang w:val="en-US" w:eastAsia="zh-CN" w:bidi="ar-SA"/>
        </w:rPr>
        <w:t>诸甲亭乡</w:t>
      </w:r>
      <w:r>
        <w:rPr>
          <w:rFonts w:hint="eastAsia" w:ascii="Calibri" w:hAnsi="Calibri" w:eastAsia="仿宋_GB2312" w:cs="Times New Roman"/>
          <w:bCs/>
          <w:color w:val="auto"/>
          <w:kern w:val="2"/>
          <w:sz w:val="32"/>
          <w:szCs w:val="32"/>
          <w:lang w:val="en-US" w:eastAsia="zh-CN" w:bidi="ar-SA"/>
        </w:rPr>
        <w:t>人民政府成立了绩效评价工作领导小组，负责绩效评价工作的组织领导和具体实施。评价小组采取座谈等方式听取情况，检查基本支出有关账目，收集整理支出相关资料，并根据各部门报送的绩效自评材料进行分析，形成评价结论。</w:t>
      </w:r>
    </w:p>
    <w:p w14:paraId="2A71583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年度部门整体支出绩效自评</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分。</w:t>
      </w:r>
    </w:p>
    <w:p w14:paraId="69AB2AF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alibri" w:hAnsi="Calibri" w:eastAsia="黑体" w:cs="Times New Roman"/>
          <w:kern w:val="2"/>
          <w:sz w:val="32"/>
          <w:szCs w:val="32"/>
          <w:lang w:val="en-US" w:eastAsia="zh-CN" w:bidi="ar-SA"/>
        </w:rPr>
      </w:pPr>
      <w:r>
        <w:rPr>
          <w:rFonts w:hint="eastAsia" w:ascii="Calibri" w:hAnsi="Calibri" w:eastAsia="黑体" w:cs="Times New Roman"/>
          <w:kern w:val="2"/>
          <w:sz w:val="32"/>
          <w:szCs w:val="32"/>
          <w:lang w:val="en-US" w:eastAsia="zh-CN" w:bidi="ar-SA"/>
        </w:rPr>
        <w:t>七</w:t>
      </w:r>
      <w:r>
        <w:rPr>
          <w:rFonts w:hint="eastAsia" w:eastAsia="黑体" w:cs="Times New Roman"/>
          <w:kern w:val="2"/>
          <w:sz w:val="32"/>
          <w:szCs w:val="32"/>
          <w:lang w:val="en-US" w:eastAsia="zh-CN" w:bidi="ar-SA"/>
        </w:rPr>
        <w:t>、</w:t>
      </w:r>
      <w:r>
        <w:rPr>
          <w:rFonts w:hint="eastAsia" w:ascii="Calibri" w:hAnsi="Calibri" w:eastAsia="黑体" w:cs="Times New Roman"/>
          <w:kern w:val="2"/>
          <w:sz w:val="32"/>
          <w:szCs w:val="32"/>
          <w:lang w:val="en-US" w:eastAsia="zh-CN" w:bidi="ar-SA"/>
        </w:rPr>
        <w:t>评价指标分析</w:t>
      </w:r>
    </w:p>
    <w:p w14:paraId="5AC5EE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（一）财政管理方面</w:t>
      </w:r>
    </w:p>
    <w:p w14:paraId="3FCAE5B7">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bookmarkStart w:id="0" w:name="_Toc7120"/>
      <w:bookmarkStart w:id="1" w:name="_Toc507"/>
      <w:r>
        <w:rPr>
          <w:rFonts w:hint="default" w:ascii="仿宋_GB2312" w:hAnsi="仿宋_GB2312" w:eastAsia="仿宋_GB2312" w:cs="仿宋_GB2312"/>
          <w:b/>
          <w:bCs/>
          <w:sz w:val="32"/>
          <w:szCs w:val="32"/>
          <w:lang w:val="en-US" w:eastAsia="zh-CN"/>
        </w:rPr>
        <w:t>1.</w:t>
      </w:r>
      <w:bookmarkEnd w:id="0"/>
      <w:bookmarkEnd w:id="1"/>
      <w:r>
        <w:rPr>
          <w:rFonts w:hint="default" w:ascii="仿宋_GB2312" w:hAnsi="仿宋_GB2312" w:eastAsia="仿宋_GB2312" w:cs="仿宋_GB2312"/>
          <w:b/>
          <w:bCs/>
          <w:sz w:val="32"/>
          <w:szCs w:val="32"/>
          <w:lang w:val="en-US" w:eastAsia="zh-CN"/>
        </w:rPr>
        <w:t>预算管理情况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严格预算编制程序，按照预算执行情况编制决算；优先保障“三保”支出；基本支出实行定员定额管理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严格按人大批复执行预算；预算调整依据充分、程序规范；季度预算执行情况分析、全年预算收支执行情况分析及时。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按要求申报了整体支出绩效目标；按要求及时组织开展整体支出绩效自评，</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建立了预算管理基础信息数据台账；预决算信息已按要求在政府门户网站或财政部门预决算公开统一平台集中公开</w:t>
      </w:r>
      <w:r>
        <w:rPr>
          <w:rFonts w:hint="eastAsia" w:ascii="仿宋_GB2312" w:hAnsi="仿宋_GB2312" w:eastAsia="仿宋_GB2312" w:cs="仿宋_GB2312"/>
          <w:sz w:val="32"/>
          <w:szCs w:val="32"/>
          <w:lang w:val="en-US" w:eastAsia="zh-CN"/>
        </w:rPr>
        <w:t>。</w:t>
      </w:r>
    </w:p>
    <w:p w14:paraId="6B39A956">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2.财务管理情况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按照会计制度有关要求设立账套，代管村级账务核算清晰，对账工作及时，会计资料归档及时、管理较完善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制定了政府采购限额等制度；政府采购项目档案资料齐全</w:t>
      </w:r>
      <w:r>
        <w:rPr>
          <w:rFonts w:hint="eastAsia" w:ascii="仿宋_GB2312" w:hAnsi="仿宋_GB2312" w:eastAsia="仿宋_GB2312" w:cs="仿宋_GB2312"/>
          <w:sz w:val="32"/>
          <w:szCs w:val="32"/>
          <w:lang w:val="en-US" w:eastAsia="zh-CN"/>
        </w:rPr>
        <w:t>。</w:t>
      </w:r>
    </w:p>
    <w:p w14:paraId="053AE238">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3.资金监管情况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按照财政部门账户管理要求开设有关账户；银行账户支付印鉴实行分人分印管理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支付审批程序完整。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本乡乡</w:t>
      </w:r>
      <w:r>
        <w:rPr>
          <w:rFonts w:hint="default" w:ascii="仿宋_GB2312" w:hAnsi="仿宋_GB2312" w:eastAsia="仿宋_GB2312" w:cs="仿宋_GB2312"/>
          <w:sz w:val="32"/>
          <w:szCs w:val="32"/>
          <w:lang w:val="en-US" w:eastAsia="zh-CN"/>
        </w:rPr>
        <w:t>列入乡</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财政预算的项目，申报立项、公示、实施、验收、资金拨付等环节监督健全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上级有关部门安排并由乡</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代管的项目，根据委托要求参与监督并反馈资金使用和项目建设情况</w:t>
      </w:r>
      <w:r>
        <w:rPr>
          <w:rFonts w:hint="eastAsia" w:ascii="仿宋_GB2312" w:hAnsi="仿宋_GB2312" w:eastAsia="仿宋_GB2312" w:cs="仿宋_GB2312"/>
          <w:sz w:val="32"/>
          <w:szCs w:val="32"/>
          <w:lang w:val="en-US" w:eastAsia="zh-CN"/>
        </w:rPr>
        <w:t>。</w:t>
      </w:r>
    </w:p>
    <w:p w14:paraId="3B68182C">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4.组织管理情况</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制度建设</w:t>
      </w:r>
      <w:r>
        <w:rPr>
          <w:rFonts w:hint="eastAsia" w:ascii="仿宋_GB2312" w:hAnsi="仿宋_GB2312" w:eastAsia="仿宋_GB2312" w:cs="仿宋_GB2312"/>
          <w:b/>
          <w:bCs/>
          <w:sz w:val="32"/>
          <w:szCs w:val="32"/>
          <w:lang w:val="en-US" w:eastAsia="zh-CN"/>
        </w:rPr>
        <w:t>方面：</w:t>
      </w: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建立乡</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财政财务管理制度，主要包括财务管理、建设项目管理办法、经费支出管理办法、收入管理暂行办法、收入支出管理制度、现金管理规定、预算管理办法、政府采购管理实施办法、资产管理办法；内控机制健全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业务流程管理</w:t>
      </w:r>
      <w:r>
        <w:rPr>
          <w:rFonts w:hint="eastAsia" w:ascii="仿宋_GB2312" w:hAnsi="仿宋_GB2312" w:eastAsia="仿宋_GB2312" w:cs="仿宋_GB2312"/>
          <w:b/>
          <w:bCs/>
          <w:sz w:val="32"/>
          <w:szCs w:val="32"/>
          <w:lang w:val="en-US" w:eastAsia="zh-CN"/>
        </w:rPr>
        <w:t>方面</w:t>
      </w: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建立健全乡财县管、预决算编制、资金监管、惠民惠农财政补贴资金“一卡通”发放管理等业务操作流程。</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岗位设置情况</w:t>
      </w: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合理设置岗位；遵循不相容岗位相分离原则；明确岗位职责。</w:t>
      </w:r>
    </w:p>
    <w:p w14:paraId="22359E2B">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5.资产管理情况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资产处置方式、程序合规；产权变更及时程序完整；使用账务资产模块，及时准确反映资产增减变动情况和收入处置情况。</w:t>
      </w:r>
    </w:p>
    <w:p w14:paraId="6867F884">
      <w:pPr>
        <w:bidi w:val="0"/>
        <w:ind w:left="0" w:leftChars="0" w:firstLine="643" w:firstLineChars="200"/>
        <w:rPr>
          <w:rFonts w:hint="default" w:ascii="Times New Roman" w:hAnsi="Times New Roman" w:eastAsia="仿宋_GB2312" w:cs="Times New Roman"/>
          <w:b/>
          <w:bCs w:val="0"/>
          <w:kern w:val="2"/>
          <w:sz w:val="32"/>
          <w:szCs w:val="32"/>
          <w:lang w:val="en-US" w:eastAsia="zh-CN" w:bidi="ar-SA"/>
        </w:rPr>
      </w:pPr>
      <w:r>
        <w:rPr>
          <w:rFonts w:hint="default" w:ascii="楷体" w:hAnsi="楷体" w:eastAsia="楷体" w:cs="楷体"/>
          <w:b/>
          <w:bCs/>
          <w:sz w:val="32"/>
          <w:szCs w:val="32"/>
          <w:lang w:val="en-US" w:eastAsia="zh-CN"/>
        </w:rPr>
        <w:t>（二）财政收入运行方面</w:t>
      </w:r>
    </w:p>
    <w:p w14:paraId="2490E225">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1.收入计划完成情况</w:t>
      </w:r>
    </w:p>
    <w:p w14:paraId="43CD10A3">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2023年计划财政收入</w:t>
      </w:r>
      <w:r>
        <w:rPr>
          <w:rFonts w:hint="eastAsia" w:ascii="仿宋_GB2312" w:hAnsi="仿宋_GB2312" w:eastAsia="仿宋_GB2312" w:cs="仿宋_GB2312"/>
          <w:sz w:val="32"/>
          <w:szCs w:val="32"/>
          <w:lang w:val="en-US" w:eastAsia="zh-CN"/>
        </w:rPr>
        <w:t>1673.37</w:t>
      </w:r>
      <w:r>
        <w:rPr>
          <w:rFonts w:hint="default" w:ascii="仿宋_GB2312" w:hAnsi="仿宋_GB2312" w:eastAsia="仿宋_GB2312" w:cs="仿宋_GB2312"/>
          <w:sz w:val="32"/>
          <w:szCs w:val="32"/>
          <w:lang w:val="en-US" w:eastAsia="zh-CN"/>
        </w:rPr>
        <w:t>万元，实际完成财政收入</w:t>
      </w:r>
      <w:r>
        <w:rPr>
          <w:rFonts w:hint="eastAsia" w:ascii="仿宋_GB2312" w:hAnsi="仿宋_GB2312" w:eastAsia="仿宋_GB2312" w:cs="仿宋_GB2312"/>
          <w:sz w:val="32"/>
          <w:szCs w:val="32"/>
          <w:lang w:val="en-US" w:eastAsia="zh-CN"/>
        </w:rPr>
        <w:t>1673.37</w:t>
      </w:r>
      <w:r>
        <w:rPr>
          <w:rFonts w:hint="default" w:ascii="仿宋_GB2312" w:hAnsi="仿宋_GB2312" w:eastAsia="仿宋_GB2312" w:cs="仿宋_GB2312"/>
          <w:sz w:val="32"/>
          <w:szCs w:val="32"/>
          <w:lang w:val="en-US" w:eastAsia="zh-CN"/>
        </w:rPr>
        <w:t>万元，收入完成率100%。均为一般公共预算收入。</w:t>
      </w:r>
    </w:p>
    <w:p w14:paraId="12D9E268">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2023年计划税收收入</w:t>
      </w: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lang w:val="en-US" w:eastAsia="zh-CN"/>
        </w:rPr>
        <w:t>万元，实际完成税收收入</w:t>
      </w:r>
      <w:r>
        <w:rPr>
          <w:rFonts w:hint="eastAsia" w:ascii="仿宋_GB2312" w:hAnsi="仿宋_GB2312" w:eastAsia="仿宋_GB2312" w:cs="仿宋_GB2312"/>
          <w:sz w:val="32"/>
          <w:szCs w:val="32"/>
          <w:lang w:val="en-US" w:eastAsia="zh-CN"/>
        </w:rPr>
        <w:t>127</w:t>
      </w:r>
      <w:r>
        <w:rPr>
          <w:rFonts w:hint="default" w:ascii="仿宋_GB2312" w:hAnsi="仿宋_GB2312" w:eastAsia="仿宋_GB2312" w:cs="仿宋_GB2312"/>
          <w:sz w:val="32"/>
          <w:szCs w:val="32"/>
          <w:lang w:val="en-US" w:eastAsia="zh-CN"/>
        </w:rPr>
        <w:t>万元，税收收入完成率1</w:t>
      </w:r>
      <w:r>
        <w:rPr>
          <w:rFonts w:hint="eastAsia" w:ascii="仿宋_GB2312" w:hAnsi="仿宋_GB2312" w:eastAsia="仿宋_GB2312" w:cs="仿宋_GB2312"/>
          <w:sz w:val="32"/>
          <w:szCs w:val="32"/>
          <w:lang w:val="en-US" w:eastAsia="zh-CN"/>
        </w:rPr>
        <w:t>49.41</w:t>
      </w:r>
      <w:r>
        <w:rPr>
          <w:rFonts w:hint="default" w:ascii="仿宋_GB2312" w:hAnsi="仿宋_GB2312" w:eastAsia="仿宋_GB2312" w:cs="仿宋_GB2312"/>
          <w:sz w:val="32"/>
          <w:szCs w:val="32"/>
          <w:lang w:val="en-US" w:eastAsia="zh-CN"/>
        </w:rPr>
        <w:t>.9%。</w:t>
      </w:r>
    </w:p>
    <w:p w14:paraId="2B8DA82C">
      <w:pPr>
        <w:pStyle w:val="2"/>
        <w:rPr>
          <w:rFonts w:hint="default" w:ascii="Times New Roman" w:hAnsi="Times New Roman" w:cs="Times New Roman"/>
          <w:lang w:val="en-US" w:eastAsia="zh-CN"/>
        </w:rPr>
      </w:pPr>
      <w:r>
        <w:rPr>
          <w:rFonts w:hint="default" w:ascii="Times New Roman" w:hAnsi="Times New Roman" w:cs="Times New Roman"/>
          <w:b/>
          <w:bCs w:val="0"/>
          <w:lang w:val="en-US" w:eastAsia="zh-CN"/>
        </w:rPr>
        <w:t>2.收入运行质量</w:t>
      </w:r>
    </w:p>
    <w:p w14:paraId="4F87A6BD">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2023年年初预算财政收入</w:t>
      </w:r>
      <w:r>
        <w:rPr>
          <w:rFonts w:hint="eastAsia" w:ascii="仿宋_GB2312" w:hAnsi="仿宋_GB2312" w:eastAsia="仿宋_GB2312" w:cs="仿宋_GB2312"/>
          <w:sz w:val="32"/>
          <w:szCs w:val="32"/>
          <w:lang w:val="en-US" w:eastAsia="zh-CN"/>
        </w:rPr>
        <w:t>963.19</w:t>
      </w:r>
      <w:r>
        <w:rPr>
          <w:rFonts w:hint="default" w:ascii="仿宋_GB2312" w:hAnsi="仿宋_GB2312" w:eastAsia="仿宋_GB2312" w:cs="仿宋_GB2312"/>
          <w:sz w:val="32"/>
          <w:szCs w:val="32"/>
          <w:lang w:val="en-US" w:eastAsia="zh-CN"/>
        </w:rPr>
        <w:t>万元，年中追加</w:t>
      </w:r>
      <w:r>
        <w:rPr>
          <w:rFonts w:hint="eastAsia" w:ascii="仿宋_GB2312" w:hAnsi="仿宋_GB2312" w:eastAsia="仿宋_GB2312" w:cs="仿宋_GB2312"/>
          <w:sz w:val="32"/>
          <w:szCs w:val="32"/>
          <w:lang w:val="en-US" w:eastAsia="zh-CN"/>
        </w:rPr>
        <w:t>710.18</w:t>
      </w:r>
      <w:r>
        <w:rPr>
          <w:rFonts w:hint="default" w:ascii="仿宋_GB2312" w:hAnsi="仿宋_GB2312" w:eastAsia="仿宋_GB2312" w:cs="仿宋_GB2312"/>
          <w:sz w:val="32"/>
          <w:szCs w:val="32"/>
          <w:lang w:val="en-US" w:eastAsia="zh-CN"/>
        </w:rPr>
        <w:t>万元，年终决算</w:t>
      </w:r>
      <w:r>
        <w:rPr>
          <w:rFonts w:hint="eastAsia" w:ascii="仿宋_GB2312" w:hAnsi="仿宋_GB2312" w:eastAsia="仿宋_GB2312" w:cs="仿宋_GB2312"/>
          <w:sz w:val="32"/>
          <w:szCs w:val="32"/>
          <w:lang w:val="en-US" w:eastAsia="zh-CN"/>
        </w:rPr>
        <w:t>1673.37</w:t>
      </w:r>
      <w:r>
        <w:rPr>
          <w:rFonts w:hint="default" w:ascii="仿宋_GB2312" w:hAnsi="仿宋_GB2312" w:eastAsia="仿宋_GB2312" w:cs="仿宋_GB2312"/>
          <w:sz w:val="32"/>
          <w:szCs w:val="32"/>
          <w:lang w:val="en-US" w:eastAsia="zh-CN"/>
        </w:rPr>
        <w:t>万元。其中上级拨款</w:t>
      </w:r>
      <w:r>
        <w:rPr>
          <w:rFonts w:hint="eastAsia" w:ascii="仿宋_GB2312" w:hAnsi="仿宋_GB2312" w:eastAsia="仿宋_GB2312" w:cs="仿宋_GB2312"/>
          <w:sz w:val="32"/>
          <w:szCs w:val="32"/>
          <w:lang w:val="en-US" w:eastAsia="zh-CN"/>
        </w:rPr>
        <w:t>1650.87</w:t>
      </w:r>
      <w:r>
        <w:rPr>
          <w:rFonts w:hint="default" w:ascii="仿宋_GB2312" w:hAnsi="仿宋_GB2312" w:eastAsia="仿宋_GB2312" w:cs="仿宋_GB2312"/>
          <w:sz w:val="32"/>
          <w:szCs w:val="32"/>
          <w:lang w:val="en-US" w:eastAsia="zh-CN"/>
        </w:rPr>
        <w:t>万元，非税收益返还</w:t>
      </w:r>
      <w:r>
        <w:rPr>
          <w:rFonts w:hint="eastAsia" w:ascii="仿宋_GB2312" w:hAnsi="仿宋_GB2312" w:eastAsia="仿宋_GB2312" w:cs="仿宋_GB2312"/>
          <w:sz w:val="32"/>
          <w:szCs w:val="32"/>
          <w:lang w:val="en-US" w:eastAsia="zh-CN"/>
        </w:rPr>
        <w:t>22.5</w:t>
      </w:r>
      <w:r>
        <w:rPr>
          <w:rFonts w:hint="default" w:ascii="仿宋_GB2312" w:hAnsi="仿宋_GB2312" w:eastAsia="仿宋_GB2312" w:cs="仿宋_GB2312"/>
          <w:sz w:val="32"/>
          <w:szCs w:val="32"/>
          <w:lang w:val="en-US" w:eastAsia="zh-CN"/>
        </w:rPr>
        <w:t>万元。</w:t>
      </w:r>
    </w:p>
    <w:p w14:paraId="029E6D99">
      <w:pPr>
        <w:pStyle w:val="2"/>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（三）财政支出运行方面</w:t>
      </w:r>
    </w:p>
    <w:p w14:paraId="3B3F7D43">
      <w:pPr>
        <w:pStyle w:val="2"/>
        <w:rPr>
          <w:rFonts w:hint="default" w:ascii="Times New Roman" w:hAnsi="Times New Roman" w:cs="Times New Roman"/>
          <w:b/>
          <w:bCs w:val="0"/>
          <w:lang w:val="en-US" w:eastAsia="zh-CN"/>
        </w:rPr>
      </w:pPr>
      <w:r>
        <w:rPr>
          <w:rFonts w:hint="default" w:ascii="Times New Roman" w:hAnsi="Times New Roman" w:eastAsia="仿宋_GB2312" w:cs="Times New Roman"/>
          <w:b/>
          <w:bCs w:val="0"/>
          <w:snapToGrid w:val="0"/>
          <w:color w:val="000000"/>
          <w:kern w:val="0"/>
          <w:sz w:val="32"/>
          <w:szCs w:val="32"/>
          <w:lang w:val="en-US" w:eastAsia="zh-CN"/>
        </w:rPr>
        <w:t>1.支出预算执行情况</w:t>
      </w:r>
    </w:p>
    <w:p w14:paraId="453735AB">
      <w:pPr>
        <w:pStyle w:val="2"/>
        <w:rPr>
          <w:rFonts w:hint="default"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诸甲亭乡</w:t>
      </w:r>
      <w:r>
        <w:rPr>
          <w:rFonts w:hint="default" w:ascii="仿宋_GB2312" w:hAnsi="仿宋_GB2312" w:eastAsia="仿宋_GB2312" w:cs="仿宋_GB2312"/>
          <w:kern w:val="2"/>
          <w:sz w:val="32"/>
          <w:szCs w:val="32"/>
          <w:lang w:val="en-US" w:eastAsia="zh-CN" w:bidi="ar-SA"/>
        </w:rPr>
        <w:t>2023年支出预算</w:t>
      </w:r>
      <w:r>
        <w:rPr>
          <w:rFonts w:hint="eastAsia" w:hAnsi="仿宋_GB2312" w:cs="仿宋_GB2312"/>
          <w:kern w:val="2"/>
          <w:sz w:val="32"/>
          <w:szCs w:val="32"/>
          <w:lang w:val="en-US" w:eastAsia="zh-CN" w:bidi="ar-SA"/>
        </w:rPr>
        <w:t>1673.37</w:t>
      </w:r>
      <w:r>
        <w:rPr>
          <w:rFonts w:hint="default" w:ascii="仿宋_GB2312" w:hAnsi="仿宋_GB2312" w:eastAsia="仿宋_GB2312" w:cs="仿宋_GB2312"/>
          <w:kern w:val="2"/>
          <w:sz w:val="32"/>
          <w:szCs w:val="32"/>
          <w:lang w:val="en-US" w:eastAsia="zh-CN" w:bidi="ar-SA"/>
        </w:rPr>
        <w:t>万元，决算</w:t>
      </w:r>
      <w:r>
        <w:rPr>
          <w:rFonts w:hint="eastAsia" w:hAnsi="仿宋_GB2312" w:cs="仿宋_GB2312"/>
          <w:kern w:val="2"/>
          <w:sz w:val="32"/>
          <w:szCs w:val="32"/>
          <w:lang w:val="en-US" w:eastAsia="zh-CN" w:bidi="ar-SA"/>
        </w:rPr>
        <w:t>1673.37</w:t>
      </w:r>
      <w:r>
        <w:rPr>
          <w:rFonts w:hint="default" w:ascii="仿宋_GB2312" w:hAnsi="仿宋_GB2312" w:eastAsia="仿宋_GB2312" w:cs="仿宋_GB2312"/>
          <w:kern w:val="2"/>
          <w:sz w:val="32"/>
          <w:szCs w:val="32"/>
          <w:lang w:val="en-US" w:eastAsia="zh-CN" w:bidi="ar-SA"/>
        </w:rPr>
        <w:t>万元，执行率100%。</w:t>
      </w:r>
    </w:p>
    <w:p w14:paraId="100AC20D">
      <w:pPr>
        <w:pStyle w:val="2"/>
        <w:rPr>
          <w:rFonts w:hint="default" w:ascii="Times New Roman" w:hAnsi="Times New Roman" w:cs="Times New Roman"/>
          <w:b/>
          <w:bCs/>
          <w:lang w:val="en-US" w:eastAsia="zh-CN"/>
        </w:rPr>
      </w:pPr>
      <w:r>
        <w:rPr>
          <w:rFonts w:hint="default" w:ascii="Times New Roman" w:hAnsi="Times New Roman" w:cs="Times New Roman"/>
          <w:b/>
          <w:bCs/>
          <w:szCs w:val="32"/>
          <w:highlight w:val="none"/>
          <w:lang w:val="en-US" w:eastAsia="zh-CN"/>
        </w:rPr>
        <w:t>2.支出结构合理性</w:t>
      </w:r>
    </w:p>
    <w:p w14:paraId="0DD5527B">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2023年“三保”支出额</w:t>
      </w:r>
      <w:r>
        <w:rPr>
          <w:rFonts w:hint="eastAsia" w:ascii="仿宋_GB2312" w:hAnsi="仿宋_GB2312" w:eastAsia="仿宋_GB2312" w:cs="仿宋_GB2312"/>
          <w:sz w:val="32"/>
          <w:szCs w:val="32"/>
          <w:lang w:val="en-US" w:eastAsia="zh-CN"/>
        </w:rPr>
        <w:t>956.32</w:t>
      </w:r>
      <w:r>
        <w:rPr>
          <w:rFonts w:hint="default" w:ascii="仿宋_GB2312" w:hAnsi="仿宋_GB2312" w:eastAsia="仿宋_GB2312" w:cs="仿宋_GB2312"/>
          <w:sz w:val="32"/>
          <w:szCs w:val="32"/>
          <w:lang w:val="en-US" w:eastAsia="zh-CN"/>
        </w:rPr>
        <w:t>万元，一般公共预算支出</w:t>
      </w:r>
      <w:r>
        <w:rPr>
          <w:rFonts w:hint="eastAsia" w:ascii="仿宋_GB2312" w:hAnsi="仿宋_GB2312" w:eastAsia="仿宋_GB2312" w:cs="仿宋_GB2312"/>
          <w:sz w:val="32"/>
          <w:szCs w:val="32"/>
          <w:lang w:val="en-US" w:eastAsia="zh-CN"/>
        </w:rPr>
        <w:t>1673.37</w:t>
      </w:r>
      <w:r>
        <w:rPr>
          <w:rFonts w:hint="default" w:ascii="仿宋_GB2312" w:hAnsi="仿宋_GB2312" w:eastAsia="仿宋_GB2312" w:cs="仿宋_GB2312"/>
          <w:sz w:val="32"/>
          <w:szCs w:val="32"/>
          <w:lang w:val="en-US" w:eastAsia="zh-CN"/>
        </w:rPr>
        <w:t>万元，“三保”支出占比</w:t>
      </w:r>
      <w:r>
        <w:rPr>
          <w:rFonts w:hint="eastAsia" w:ascii="仿宋_GB2312" w:hAnsi="仿宋_GB2312" w:eastAsia="仿宋_GB2312" w:cs="仿宋_GB2312"/>
          <w:sz w:val="32"/>
          <w:szCs w:val="32"/>
          <w:lang w:val="en-US" w:eastAsia="zh-CN"/>
        </w:rPr>
        <w:t>57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%。由于2022年“三保”支出无指标，无法核算出增长率。</w:t>
      </w:r>
    </w:p>
    <w:p w14:paraId="36A254C4">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2023年“三保”支出应保</w:t>
      </w:r>
      <w:r>
        <w:rPr>
          <w:rFonts w:hint="eastAsia" w:ascii="仿宋_GB2312" w:hAnsi="仿宋_GB2312" w:eastAsia="仿宋_GB2312" w:cs="仿宋_GB2312"/>
          <w:sz w:val="32"/>
          <w:szCs w:val="32"/>
          <w:lang w:val="en-US" w:eastAsia="zh-CN"/>
        </w:rPr>
        <w:t>956.32</w:t>
      </w:r>
      <w:r>
        <w:rPr>
          <w:rFonts w:hint="default" w:ascii="仿宋_GB2312" w:hAnsi="仿宋_GB2312" w:eastAsia="仿宋_GB2312" w:cs="仿宋_GB2312"/>
          <w:sz w:val="32"/>
          <w:szCs w:val="32"/>
          <w:lang w:val="en-US" w:eastAsia="zh-CN"/>
        </w:rPr>
        <w:t>万元，已保</w:t>
      </w:r>
      <w:r>
        <w:rPr>
          <w:rFonts w:hint="eastAsia" w:ascii="仿宋_GB2312" w:hAnsi="仿宋_GB2312" w:eastAsia="仿宋_GB2312" w:cs="仿宋_GB2312"/>
          <w:sz w:val="32"/>
          <w:szCs w:val="32"/>
          <w:lang w:val="en-US" w:eastAsia="zh-CN"/>
        </w:rPr>
        <w:t>956.32</w:t>
      </w:r>
      <w:r>
        <w:rPr>
          <w:rFonts w:hint="default" w:ascii="仿宋_GB2312" w:hAnsi="仿宋_GB2312" w:eastAsia="仿宋_GB2312" w:cs="仿宋_GB2312"/>
          <w:sz w:val="32"/>
          <w:szCs w:val="32"/>
          <w:lang w:val="en-US" w:eastAsia="zh-CN"/>
        </w:rPr>
        <w:t>万元，应保尽保率</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p>
    <w:p w14:paraId="6E8AAA08">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2023年“七项”经费136.46万元，2022年“七项”经费146.08万元，2023年降低9.62万元，“七项”经费控制率-6.59%。</w:t>
      </w:r>
    </w:p>
    <w:p w14:paraId="6B245D78">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非税收入额301.15万元，非税收入征收成本122.8万元（按收入任务的30%拨付，超计划部分按收入70%拨付）；2022年非税收入额205.64万元，非税收入征收成本124.51万元（按收入任务的60%拨付，超计划20%内按超额部分80%拨付）。2023年非税收入较上年增长46.44%，征收成本占比下降32.65%。非税收入征收成本由县级财政确定，每年按定额比例返还。</w:t>
      </w:r>
    </w:p>
    <w:p w14:paraId="5668BEB5">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非税执收成本122.8万元，较</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年124.51减少1.71万元下降1.37%，主要原因是县财政降低非税收入征收成本返回比例由60%调整为30%。</w:t>
      </w:r>
    </w:p>
    <w:p w14:paraId="03B02238">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“三公”经费情况：公务接待1.12万元较上年5.05万元减少3.93万元，下降77.79%。因公出国（境）费用0万元、公务用车运行维护费7.69万元较上年9.03万元减少1.34万元降低14.83%。“三公”经费控制较好。</w:t>
      </w:r>
    </w:p>
    <w:p w14:paraId="64ADB875">
      <w:pPr>
        <w:pStyle w:val="2"/>
        <w:rPr>
          <w:rFonts w:hint="default" w:ascii="Times New Roman" w:hAnsi="Times New Roman" w:cs="Times New Roman"/>
          <w:b/>
          <w:bCs w:val="0"/>
          <w:lang w:val="en-US" w:eastAsia="zh-CN"/>
        </w:rPr>
      </w:pPr>
      <w:r>
        <w:rPr>
          <w:rFonts w:hint="default" w:ascii="Times New Roman" w:hAnsi="Times New Roman" w:eastAsia="仿宋_GB2312" w:cs="Times New Roman"/>
          <w:b/>
          <w:bCs w:val="0"/>
          <w:snapToGrid w:val="0"/>
          <w:color w:val="000000"/>
          <w:kern w:val="0"/>
          <w:sz w:val="32"/>
          <w:szCs w:val="32"/>
          <w:lang w:val="en-US" w:eastAsia="zh-CN"/>
        </w:rPr>
        <w:t>3.财政供养人员规模</w:t>
      </w:r>
    </w:p>
    <w:p w14:paraId="23388F4A">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2023年常住人口55407人，财政供养人员在职</w:t>
      </w:r>
      <w:r>
        <w:rPr>
          <w:rFonts w:hint="eastAsia" w:ascii="仿宋_GB2312" w:hAnsi="仿宋_GB2312" w:eastAsia="仿宋_GB2312" w:cs="仿宋_GB2312"/>
          <w:sz w:val="32"/>
          <w:szCs w:val="32"/>
          <w:lang w:val="en-US" w:eastAsia="zh-CN"/>
        </w:rPr>
        <w:t>59</w:t>
      </w:r>
      <w:r>
        <w:rPr>
          <w:rFonts w:hint="default" w:ascii="仿宋_GB2312" w:hAnsi="仿宋_GB2312" w:eastAsia="仿宋_GB2312" w:cs="仿宋_GB2312"/>
          <w:sz w:val="32"/>
          <w:szCs w:val="32"/>
          <w:lang w:val="en-US" w:eastAsia="zh-CN"/>
        </w:rPr>
        <w:t>人，退休69人，财政供养比230。</w:t>
      </w:r>
    </w:p>
    <w:p w14:paraId="227B53D3">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诸甲亭乡</w:t>
      </w:r>
      <w:r>
        <w:rPr>
          <w:rFonts w:hint="default" w:ascii="仿宋_GB2312" w:hAnsi="仿宋_GB2312" w:eastAsia="仿宋_GB2312" w:cs="仿宋_GB2312"/>
          <w:sz w:val="32"/>
          <w:szCs w:val="32"/>
          <w:lang w:val="en-US" w:eastAsia="zh-CN"/>
        </w:rPr>
        <w:t>2023年事业编制人员</w:t>
      </w: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lang w:val="en-US" w:eastAsia="zh-CN"/>
        </w:rPr>
        <w:t>人，公务员编制人员</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p>
    <w:p w14:paraId="15E05DB3">
      <w:pPr>
        <w:pStyle w:val="2"/>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（四）财政运行成效方面</w:t>
      </w:r>
    </w:p>
    <w:p w14:paraId="0F23540F">
      <w:pPr>
        <w:pStyle w:val="2"/>
        <w:adjustRightInd/>
        <w:snapToGrid/>
        <w:ind w:firstLine="643"/>
        <w:rPr>
          <w:rFonts w:hint="eastAsia" w:ascii="仿宋" w:hAnsi="仿宋" w:eastAsia="仿宋" w:cs="仿宋"/>
          <w:b w:val="0"/>
          <w:bCs w:val="0"/>
          <w:kern w:val="2"/>
          <w:szCs w:val="32"/>
          <w:lang w:val="en-US" w:eastAsia="zh-CN"/>
        </w:rPr>
      </w:pPr>
      <w:r>
        <w:rPr>
          <w:rFonts w:hint="eastAsia" w:ascii="楷体" w:hAnsi="楷体" w:eastAsia="楷体" w:cs="楷体"/>
          <w:b w:val="0"/>
          <w:bCs w:val="0"/>
          <w:kern w:val="2"/>
          <w:szCs w:val="32"/>
          <w:lang w:val="en-US" w:eastAsia="zh-CN"/>
        </w:rPr>
        <w:t>（一）经济发展砥砺前行。</w:t>
      </w:r>
      <w:r>
        <w:rPr>
          <w:rFonts w:hint="eastAsia" w:ascii="仿宋" w:hAnsi="仿宋" w:eastAsia="仿宋" w:cs="仿宋"/>
          <w:b w:val="0"/>
          <w:bCs w:val="0"/>
          <w:kern w:val="2"/>
          <w:szCs w:val="32"/>
          <w:lang w:val="en-US" w:eastAsia="zh-CN"/>
        </w:rPr>
        <w:t>全乡固定资产投资达1.54亿元，同比增长15%，规模工业增加值达870万元，同比增长24.3%，社会消费品零售总额同比增长1.82%。营商环境进一步优化。深化“放管服改革”，化企业上门为干部下门，干部化作政策宣传员将政策为企业送上门，落实联系企业制度，加强联企指导及帮扶，严格执行企业宁静日制度，企业幸福感显著增强。</w:t>
      </w:r>
    </w:p>
    <w:p w14:paraId="23923AA8">
      <w:pPr>
        <w:pStyle w:val="2"/>
        <w:rPr>
          <w:rFonts w:hint="eastAsia" w:ascii="仿宋" w:hAnsi="仿宋" w:eastAsia="仿宋" w:cs="仿宋"/>
          <w:b w:val="0"/>
          <w:bCs w:val="0"/>
          <w:kern w:val="2"/>
          <w:szCs w:val="32"/>
          <w:lang w:val="en-US" w:eastAsia="zh-CN"/>
        </w:rPr>
      </w:pPr>
    </w:p>
    <w:p w14:paraId="6D6374DF">
      <w:pPr>
        <w:pStyle w:val="2"/>
        <w:rPr>
          <w:rFonts w:hint="eastAsia" w:ascii="仿宋" w:hAnsi="仿宋" w:eastAsia="仿宋" w:cs="仿宋"/>
          <w:b w:val="0"/>
          <w:bCs w:val="0"/>
          <w:kern w:val="2"/>
          <w:szCs w:val="32"/>
          <w:lang w:val="en-US" w:eastAsia="zh-CN"/>
        </w:rPr>
      </w:pPr>
      <w:r>
        <w:rPr>
          <w:rFonts w:hint="eastAsia" w:ascii="仿宋" w:hAnsi="仿宋" w:eastAsia="仿宋" w:cs="仿宋"/>
          <w:b/>
          <w:bCs/>
          <w:sz w:val="32"/>
          <w:szCs w:val="32"/>
          <w:lang w:val="en-US" w:eastAsia="zh-CN"/>
        </w:rPr>
        <w:t>（二）社会治理成效显著。</w:t>
      </w:r>
      <w:r>
        <w:rPr>
          <w:rFonts w:hint="eastAsia" w:ascii="仿宋" w:hAnsi="仿宋" w:eastAsia="仿宋" w:cs="仿宋"/>
          <w:b w:val="0"/>
          <w:bCs w:val="0"/>
          <w:kern w:val="2"/>
          <w:szCs w:val="32"/>
          <w:lang w:val="en-US" w:eastAsia="zh-CN"/>
        </w:rPr>
        <w:t>交通顽瘴痼疾整治到位。农交安APP按月完成任务，拆伞戴帽率每月排名前三。禁毒、反电诈管控到位。吸毒人员毛发检测率100%，涉诈窝点人员劝返率100%，反电诈每月三重点考核稳定排名全县前5。信访人员管控到位。开展“带板凳进村”活动，化群众上访为干部下访，将矛盾消除在最后一公里，细化“三室一中心”机制，班子成员轮流信访值班，接待来访群众，确保群众的反馈能得到及时响应，年内做通3例老上访户的工作，息访到位。推进食品安全，制定了乡食品安全工作实施方案，严格压实责任，对全乡46家食品经营单位落实乡、村包保干部共16人，建立责任清单，签订食品安全责任与任务承诺书，每季度开展督查考核，确保全乡各中小学、各食品经营单位落实食品安全主体责任。防溺水管理到位。组织各村加强巡河巡塘，今年累计出动巡查人员一万两千余次开展日常巡查工作，安装视频在线监控8处，竖立警示标识牌120处，乡督导组出动80人次，安排了值班领导及值班干部800人次，成功建设并运行“湖南省疏堵结合示范县·诸甲亭乡游泳戏水场馆”，实现了辖区公共安全游泳场所的零突破。</w:t>
      </w:r>
    </w:p>
    <w:p w14:paraId="78A718F9">
      <w:pPr>
        <w:pStyle w:val="2"/>
        <w:adjustRightInd/>
        <w:snapToGrid/>
        <w:ind w:firstLine="643"/>
        <w:rPr>
          <w:rFonts w:hint="eastAsia" w:ascii="仿宋" w:hAnsi="仿宋" w:eastAsia="仿宋" w:cs="仿宋"/>
          <w:sz w:val="32"/>
          <w:szCs w:val="32"/>
          <w:lang w:val="en-US" w:eastAsia="zh-CN"/>
        </w:rPr>
      </w:pPr>
      <w:r>
        <w:rPr>
          <w:rFonts w:hint="default" w:ascii="Times New Roman" w:hAnsi="Times New Roman" w:cs="Times New Roman"/>
          <w:b/>
          <w:bCs w:val="0"/>
          <w:lang w:val="en-US" w:eastAsia="zh-CN"/>
        </w:rPr>
        <w:t>（</w:t>
      </w:r>
      <w:r>
        <w:rPr>
          <w:rFonts w:hint="eastAsia" w:ascii="Times New Roman" w:hAnsi="Times New Roman" w:cs="Times New Roman"/>
          <w:b/>
          <w:bCs w:val="0"/>
          <w:lang w:val="en-US" w:eastAsia="zh-CN"/>
        </w:rPr>
        <w:t>三</w:t>
      </w:r>
      <w:r>
        <w:rPr>
          <w:rFonts w:hint="default" w:ascii="Times New Roman" w:hAnsi="Times New Roman" w:cs="Times New Roman"/>
          <w:b/>
          <w:bCs w:val="0"/>
          <w:lang w:val="en-US" w:eastAsia="zh-CN"/>
        </w:rPr>
        <w:t>）</w:t>
      </w:r>
      <w:r>
        <w:rPr>
          <w:rFonts w:hint="eastAsia" w:ascii="仿宋" w:hAnsi="仿宋" w:eastAsia="仿宋" w:cs="仿宋"/>
          <w:b/>
          <w:bCs/>
          <w:sz w:val="32"/>
          <w:szCs w:val="32"/>
          <w:lang w:val="en-US" w:eastAsia="zh-CN"/>
        </w:rPr>
        <w:t>乡村振兴卓有成效。坚持文化振兴。</w:t>
      </w:r>
      <w:r>
        <w:rPr>
          <w:rFonts w:hint="eastAsia" w:ascii="仿宋" w:hAnsi="仿宋" w:eastAsia="仿宋" w:cs="仿宋"/>
          <w:sz w:val="32"/>
          <w:szCs w:val="32"/>
          <w:lang w:val="en-US" w:eastAsia="zh-CN"/>
        </w:rPr>
        <w:t>借助图南书院和图南支部的文化底蕴，花费200余万，建成图南书院陈列馆，打造青少年励志教育基地、红色教育中心。</w:t>
      </w:r>
      <w:r>
        <w:rPr>
          <w:rFonts w:hint="eastAsia" w:ascii="仿宋" w:hAnsi="仿宋" w:eastAsia="仿宋" w:cs="仿宋"/>
          <w:b/>
          <w:bCs/>
          <w:sz w:val="32"/>
          <w:szCs w:val="32"/>
          <w:lang w:val="en-US" w:eastAsia="zh-CN"/>
        </w:rPr>
        <w:t>坚持产业振兴。</w:t>
      </w:r>
      <w:r>
        <w:rPr>
          <w:rFonts w:hint="eastAsia" w:ascii="仿宋" w:hAnsi="仿宋" w:eastAsia="仿宋" w:cs="仿宋"/>
          <w:sz w:val="32"/>
          <w:szCs w:val="32"/>
          <w:lang w:val="en-US" w:eastAsia="zh-CN"/>
        </w:rPr>
        <w:t>入户宣传乡村振兴政策，进一步克服群众等靠要思想，发挥群众“自身”造血功能。</w:t>
      </w:r>
      <w:r>
        <w:rPr>
          <w:rFonts w:hint="eastAsia" w:eastAsia="仿宋"/>
          <w:sz w:val="30"/>
          <w:lang w:val="en-US" w:eastAsia="zh-CN"/>
        </w:rPr>
        <w:t>小额信贷帮助11人发展产业</w:t>
      </w:r>
      <w:r>
        <w:rPr>
          <w:rFonts w:hint="eastAsia" w:ascii="仿宋" w:hAnsi="仿宋" w:eastAsia="仿宋" w:cs="仿宋"/>
          <w:sz w:val="32"/>
          <w:szCs w:val="32"/>
          <w:lang w:val="en-US" w:eastAsia="zh-CN"/>
        </w:rPr>
        <w:t>。完成了2022年度乡村振兴领域项目全部验收、报账，完成2022年度2个“美丽庭院”（1个县级1年乡级）验收、报账工作，完成全乡2023—2025项目入库申请274个。</w:t>
      </w:r>
      <w:r>
        <w:rPr>
          <w:rFonts w:hint="eastAsia" w:eastAsia="仿宋"/>
          <w:sz w:val="30"/>
          <w:lang w:val="en-US" w:eastAsia="zh-CN"/>
        </w:rPr>
        <w:t>完成2700佘户农户信息更新和在档农户务工监测信息更新，《扶贫志》资料逐步收集。</w:t>
      </w:r>
      <w:r>
        <w:rPr>
          <w:rFonts w:hint="eastAsia" w:ascii="仿宋" w:hAnsi="仿宋" w:eastAsia="仿宋" w:cs="仿宋"/>
          <w:sz w:val="32"/>
          <w:szCs w:val="32"/>
          <w:lang w:val="en-US" w:eastAsia="zh-CN"/>
        </w:rPr>
        <w:t>2023年我乡两个乡村振兴重点村长丰村、新安村，长丰村申报项目入库61万，新安村申报项目入库65万；已出列贫困村江下村14万、三杰村9万、龙井村7万、神山村30万、祖阳10万申报项目入库；非贫困村诸甲亭村25万、中山村8万、洪庙村7万申报项目入库。</w:t>
      </w:r>
    </w:p>
    <w:p w14:paraId="3C8A6422">
      <w:pPr>
        <w:pStyle w:val="2"/>
        <w:adjustRightInd/>
        <w:snapToGrid/>
        <w:ind w:firstLine="643"/>
        <w:rPr>
          <w:rFonts w:hint="eastAsia" w:ascii="仿宋" w:hAnsi="仿宋" w:eastAsia="仿宋" w:cs="仿宋"/>
          <w:b w:val="0"/>
          <w:bCs w:val="0"/>
          <w:kern w:val="2"/>
          <w:szCs w:val="32"/>
          <w:lang w:val="en-US" w:eastAsia="zh-CN"/>
        </w:rPr>
      </w:pPr>
      <w:r>
        <w:rPr>
          <w:rFonts w:hint="eastAsia" w:ascii="仿宋" w:hAnsi="仿宋" w:eastAsia="仿宋" w:cs="仿宋"/>
          <w:b/>
          <w:bCs/>
          <w:sz w:val="32"/>
          <w:szCs w:val="32"/>
          <w:lang w:val="en-US" w:eastAsia="zh-CN"/>
        </w:rPr>
        <w:t>（四）“三农”工作稳步推进。</w:t>
      </w:r>
      <w:r>
        <w:rPr>
          <w:rFonts w:hint="eastAsia" w:ascii="仿宋" w:hAnsi="仿宋" w:eastAsia="仿宋" w:cs="仿宋"/>
          <w:b w:val="0"/>
          <w:bCs w:val="0"/>
          <w:kern w:val="2"/>
          <w:szCs w:val="32"/>
          <w:lang w:val="en-US" w:eastAsia="zh-CN"/>
        </w:rPr>
        <w:t>一是农业方面。完成双季稻2414.87亩，大豆净作面积1836.1亩，大豆玉米带状复合种植面积1342.75亩，完成新造油茶500亩。上半年春防免疫猪口蹄疫26389头，羊口蹄疫860头，小反刍疫疫病860头，牛口蹄疫869头，禽流感12.955万羽，免疫率达到了100％，确保了我乡全年无重大动物疫情发生。二是农村方面。抓实自建房安全整治，我乡共有经营性自建房101座，均已完成“回头看”工作。其中存在C级经营性自建房2座，已维修整治销号到位；消防安全隐患经营性自建房8座，均已整治销号到位；存在结构性安全隐患的非经营性自建房122座，目前已拆除113座，维修加固9座，整治完成率100%。抓实农村人居环境整治，召开到村现场会2次，组织参观优秀乡镇人居环境现场2次，开展交叉检查1次，人居环境的标准在全乡群众心中提高，在全乡营造了良好的氛围，八月份获评“十佳乡镇”。抓实空心房拆除、旱厕改造，空心房拆除全乡任务数30栋，实际完成数110栋，旱厕拆除98座。三是农民方面。推进劳动就业。通过召开党员组长会议、院落座谈会及线上线下相结合的方式宣传就业政策、知识，群众了解就业的渠道更广泛，在“春风送真情、援助暖民心”招聘会4次，帮助112人与用人单位进行登记，全乡就业氛围不断优化。</w:t>
      </w:r>
    </w:p>
    <w:p w14:paraId="4B243F70">
      <w:pPr>
        <w:pStyle w:val="2"/>
        <w:rPr>
          <w:rFonts w:hint="eastAsia" w:ascii="仿宋" w:hAnsi="仿宋" w:eastAsia="仿宋" w:cs="仿宋"/>
          <w:sz w:val="32"/>
          <w:szCs w:val="32"/>
          <w:lang w:val="en-US" w:eastAsia="zh-CN"/>
        </w:rPr>
      </w:pPr>
    </w:p>
    <w:p w14:paraId="07FA0578">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513F343A">
      <w:pPr>
        <w:pStyle w:val="4"/>
        <w:pageBreakBefore w:val="0"/>
        <w:kinsoku/>
        <w:wordWrap/>
        <w:overflowPunct/>
        <w:topLinePunct w:val="0"/>
        <w:autoSpaceDE/>
        <w:autoSpaceDN/>
        <w:bidi w:val="0"/>
        <w:adjustRightInd/>
        <w:spacing w:before="0" w:after="0" w:line="600" w:lineRule="exact"/>
        <w:ind w:firstLine="472" w:firstLineChars="147"/>
        <w:textAlignment w:val="auto"/>
        <w:rPr>
          <w:rFonts w:hint="eastAsia" w:ascii="楷体_GB2312" w:hAnsi="楷体_GB2312" w:eastAsia="楷体_GB2312" w:cs="楷体_GB2312"/>
          <w:b/>
          <w:bCs/>
          <w:sz w:val="32"/>
          <w:szCs w:val="32"/>
        </w:rPr>
      </w:pPr>
      <w:bookmarkStart w:id="2"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2"/>
    </w:p>
    <w:p w14:paraId="528BAF1F">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bookmarkStart w:id="3" w:name="_Toc390113230"/>
    </w:p>
    <w:p w14:paraId="546725C6">
      <w:pPr>
        <w:pageBreakBefore w:val="0"/>
        <w:widowControl/>
        <w:numPr>
          <w:ilvl w:val="0"/>
          <w:numId w:val="3"/>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管理制度欠完善</w:t>
      </w:r>
      <w:bookmarkEnd w:id="3"/>
    </w:p>
    <w:p w14:paraId="10421C19">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邵阳县诸甲亭乡规章</w:t>
      </w:r>
      <w:r>
        <w:rPr>
          <w:rFonts w:hint="eastAsia" w:ascii="仿宋_GB2312" w:hAnsi="仿宋_GB2312" w:eastAsia="仿宋_GB2312" w:cs="仿宋_GB2312"/>
          <w:sz w:val="32"/>
          <w:szCs w:val="32"/>
        </w:rPr>
        <w:t>制度》，针对“三公”经费的管理按照县委办《关于进一步规范和加强机关事务接待工作的通知》执行，但在发票规范化报销流程和财务监督制度方面规定不够详细。</w:t>
      </w:r>
    </w:p>
    <w:p w14:paraId="4ECA9D1D">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八、</w:t>
      </w:r>
      <w:r>
        <w:rPr>
          <w:rFonts w:hint="eastAsia" w:eastAsia="黑体"/>
          <w:sz w:val="32"/>
          <w:szCs w:val="32"/>
        </w:rPr>
        <w:t>下一步改进措施</w:t>
      </w:r>
    </w:p>
    <w:p w14:paraId="23781194">
      <w:pPr>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加强资产管理</w:t>
      </w:r>
    </w:p>
    <w:p w14:paraId="0D299F83">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4" w:name="_Toc390113236"/>
    </w:p>
    <w:p w14:paraId="54AB1DD4">
      <w:pPr>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4"/>
    </w:p>
    <w:p w14:paraId="5D79599E">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eastAsia="黑体"/>
          <w:sz w:val="32"/>
          <w:szCs w:val="32"/>
        </w:rPr>
      </w:pPr>
      <w:r>
        <w:rPr>
          <w:rFonts w:hint="eastAsia" w:ascii="仿宋_GB2312" w:hAnsi="仿宋_GB2312" w:eastAsia="仿宋_GB2312" w:cs="仿宋_GB2312"/>
          <w:sz w:val="32"/>
          <w:szCs w:val="32"/>
        </w:rPr>
        <w:t>进一步贯彻落实中央“八项规定”和湖南省委“九条规定”，加强干部财政法规培训和指导，规划报销流程，完善票据资料，加强财务支出监督，规范支出标准与范围，做到合法合规，并严格执行。</w:t>
      </w:r>
    </w:p>
    <w:p w14:paraId="0182F394">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14:paraId="178D24CC">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485500C1">
      <w:pPr>
        <w:widowControl/>
        <w:spacing w:line="560" w:lineRule="exact"/>
        <w:ind w:firstLine="645"/>
        <w:jc w:val="left"/>
        <w:rPr>
          <w:rFonts w:hint="eastAsia" w:eastAsia="仿宋_GB2312"/>
          <w:sz w:val="32"/>
          <w:szCs w:val="32"/>
        </w:rPr>
      </w:pPr>
    </w:p>
    <w:p w14:paraId="601E59D6">
      <w:pPr>
        <w:widowControl/>
        <w:spacing w:line="560" w:lineRule="exact"/>
        <w:ind w:firstLine="645"/>
        <w:jc w:val="left"/>
        <w:rPr>
          <w:rFonts w:eastAsia="仿宋_GB2312"/>
          <w:sz w:val="32"/>
          <w:szCs w:val="32"/>
        </w:rPr>
      </w:pPr>
      <w:r>
        <w:rPr>
          <w:rFonts w:hint="eastAsia" w:eastAsia="仿宋_GB2312"/>
          <w:sz w:val="32"/>
          <w:szCs w:val="32"/>
        </w:rPr>
        <w:t>附件：</w:t>
      </w:r>
    </w:p>
    <w:p w14:paraId="36172A2D">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、部门整体支出绩效自评表</w:t>
      </w:r>
    </w:p>
    <w:p w14:paraId="35F9FB98">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、部门整体支出绩效评价基础数据表</w:t>
      </w:r>
    </w:p>
    <w:p w14:paraId="1FB63E1C">
      <w:pPr>
        <w:rPr>
          <w:rFonts w:ascii="仿宋" w:hAnsi="仿宋" w:eastAsia="仿宋" w:cs="仿宋"/>
          <w:sz w:val="32"/>
          <w:szCs w:val="32"/>
        </w:rPr>
      </w:pPr>
    </w:p>
    <w:p w14:paraId="0C93B8D2">
      <w:pPr>
        <w:rPr>
          <w:rFonts w:ascii="仿宋" w:hAnsi="仿宋" w:eastAsia="仿宋" w:cs="仿宋"/>
          <w:sz w:val="32"/>
          <w:szCs w:val="32"/>
        </w:rPr>
      </w:pPr>
    </w:p>
    <w:p w14:paraId="58F21C97">
      <w:pPr>
        <w:rPr>
          <w:rFonts w:ascii="仿宋" w:hAnsi="仿宋" w:eastAsia="仿宋" w:cs="仿宋"/>
          <w:sz w:val="32"/>
          <w:szCs w:val="32"/>
        </w:rPr>
      </w:pPr>
    </w:p>
    <w:p w14:paraId="594A2700">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5B0F427E">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1A359615">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8"/>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037B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0B183DE4">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328FC49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4BE2462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0E2DD47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429042B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7B05B86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20AA695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0A38F9B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41B7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61513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投入</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14</w:t>
            </w:r>
            <w:r>
              <w:rPr>
                <w:rStyle w:val="10"/>
                <w:lang w:val="en-US" w:eastAsia="zh-CN" w:bidi="ar"/>
              </w:rPr>
              <w:t>分）</w:t>
            </w:r>
          </w:p>
        </w:tc>
        <w:tc>
          <w:tcPr>
            <w:tcW w:w="870" w:type="dxa"/>
            <w:vMerge w:val="restart"/>
            <w:tcBorders>
              <w:tl2br w:val="nil"/>
              <w:tr2bl w:val="nil"/>
            </w:tcBorders>
            <w:noWrap w:val="0"/>
            <w:vAlign w:val="center"/>
          </w:tcPr>
          <w:p w14:paraId="48B084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目标</w:t>
            </w:r>
            <w:r>
              <w:rPr>
                <w:rStyle w:val="11"/>
                <w:rFonts w:eastAsia="宋体"/>
                <w:lang w:val="en-US" w:eastAsia="zh-CN" w:bidi="ar"/>
              </w:rPr>
              <w:br w:type="textWrapping"/>
            </w:r>
            <w:r>
              <w:rPr>
                <w:rStyle w:val="10"/>
                <w:lang w:val="en-US" w:eastAsia="zh-CN" w:bidi="ar"/>
              </w:rPr>
              <w:t>设定</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14:paraId="14A7D4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w:t>
            </w:r>
            <w:r>
              <w:rPr>
                <w:rStyle w:val="11"/>
                <w:rFonts w:eastAsia="宋体"/>
                <w:lang w:val="en-US" w:eastAsia="zh-CN" w:bidi="ar"/>
              </w:rPr>
              <w:br w:type="textWrapping"/>
            </w:r>
            <w:r>
              <w:rPr>
                <w:rStyle w:val="10"/>
                <w:lang w:val="en-US" w:eastAsia="zh-CN" w:bidi="ar"/>
              </w:rPr>
              <w:t>合理性</w:t>
            </w:r>
          </w:p>
        </w:tc>
        <w:tc>
          <w:tcPr>
            <w:tcW w:w="495" w:type="dxa"/>
            <w:tcBorders>
              <w:tl2br w:val="nil"/>
              <w:tr2bl w:val="nil"/>
            </w:tcBorders>
            <w:noWrap w:val="0"/>
            <w:vAlign w:val="center"/>
          </w:tcPr>
          <w:p w14:paraId="228D5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264239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2CE09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①是否符合国家法律法规、国民经济和社会发展总体规划；</w:t>
            </w:r>
            <w:r>
              <w:rPr>
                <w:rStyle w:val="11"/>
                <w:rFonts w:eastAsia="宋体"/>
                <w:lang w:val="en-US" w:eastAsia="zh-CN" w:bidi="ar"/>
              </w:rPr>
              <w:br w:type="textWrapping"/>
            </w:r>
            <w:r>
              <w:rPr>
                <w:rStyle w:val="10"/>
                <w:lang w:val="en-US" w:eastAsia="zh-CN" w:bidi="ar"/>
              </w:rPr>
              <w:t>②是否符合部门</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方案确定的职责；</w:t>
            </w:r>
            <w:r>
              <w:rPr>
                <w:rStyle w:val="11"/>
                <w:rFonts w:eastAsia="宋体"/>
                <w:lang w:val="en-US" w:eastAsia="zh-CN" w:bidi="ar"/>
              </w:rPr>
              <w:br w:type="textWrapping"/>
            </w:r>
            <w:r>
              <w:rPr>
                <w:rStyle w:val="10"/>
                <w:lang w:val="en-US" w:eastAsia="zh-CN" w:bidi="ar"/>
              </w:rPr>
              <w:t>③是否符合部门制定的中长期实施规划。</w:t>
            </w:r>
            <w:r>
              <w:rPr>
                <w:rStyle w:val="11"/>
                <w:rFonts w:eastAsia="宋体"/>
                <w:lang w:val="en-US" w:eastAsia="zh-CN" w:bidi="ar"/>
              </w:rPr>
              <w:br w:type="textWrapping"/>
            </w:r>
            <w:r>
              <w:rPr>
                <w:rStyle w:val="10"/>
                <w:lang w:val="en-US" w:eastAsia="zh-CN" w:bidi="ar"/>
              </w:rPr>
              <w:t>以上各项每发现一起不符合要求扣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14:paraId="6CBD8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方案；部门职责；部门制定的中长期实施规划等。</w:t>
            </w:r>
          </w:p>
        </w:tc>
        <w:tc>
          <w:tcPr>
            <w:tcW w:w="586" w:type="dxa"/>
            <w:tcBorders>
              <w:tl2br w:val="nil"/>
              <w:tr2bl w:val="nil"/>
            </w:tcBorders>
            <w:noWrap w:val="0"/>
            <w:vAlign w:val="center"/>
          </w:tcPr>
          <w:p w14:paraId="3682C1F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0480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4DF5A61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01CF8E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37324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绩效指标</w:t>
            </w:r>
            <w:r>
              <w:rPr>
                <w:rStyle w:val="11"/>
                <w:rFonts w:eastAsia="宋体"/>
                <w:lang w:val="en-US" w:eastAsia="zh-CN" w:bidi="ar"/>
              </w:rPr>
              <w:br w:type="textWrapping"/>
            </w:r>
            <w:r>
              <w:rPr>
                <w:rStyle w:val="10"/>
                <w:lang w:val="en-US" w:eastAsia="zh-CN" w:bidi="ar"/>
              </w:rPr>
              <w:t>明确性</w:t>
            </w:r>
          </w:p>
        </w:tc>
        <w:tc>
          <w:tcPr>
            <w:tcW w:w="495" w:type="dxa"/>
            <w:tcBorders>
              <w:tl2br w:val="nil"/>
              <w:tr2bl w:val="nil"/>
            </w:tcBorders>
            <w:noWrap w:val="0"/>
            <w:vAlign w:val="center"/>
          </w:tcPr>
          <w:p w14:paraId="2FB199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ED4A4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127F1F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①有目标，计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②目标明确，细化量化良好，个性指标中量化指标超过</w:t>
            </w:r>
            <w:r>
              <w:rPr>
                <w:rStyle w:val="11"/>
                <w:rFonts w:eastAsia="宋体"/>
                <w:lang w:val="en-US" w:eastAsia="zh-CN" w:bidi="ar"/>
              </w:rPr>
              <w:t>3</w:t>
            </w:r>
            <w:r>
              <w:rPr>
                <w:rStyle w:val="10"/>
                <w:lang w:val="en-US" w:eastAsia="zh-CN" w:bidi="ar"/>
              </w:rPr>
              <w:t>个，计</w:t>
            </w:r>
            <w:r>
              <w:rPr>
                <w:rStyle w:val="11"/>
                <w:rFonts w:eastAsia="宋体"/>
                <w:lang w:val="en-US" w:eastAsia="zh-CN" w:bidi="ar"/>
              </w:rPr>
              <w:t>1</w:t>
            </w:r>
            <w:r>
              <w:rPr>
                <w:rStyle w:val="10"/>
                <w:lang w:val="en-US" w:eastAsia="zh-CN" w:bidi="ar"/>
              </w:rPr>
              <w:t>分，量化指标为</w:t>
            </w:r>
            <w:r>
              <w:rPr>
                <w:rStyle w:val="11"/>
                <w:rFonts w:eastAsia="宋体"/>
                <w:lang w:val="en-US" w:eastAsia="zh-CN" w:bidi="ar"/>
              </w:rPr>
              <w:t>2</w:t>
            </w:r>
            <w:r>
              <w:rPr>
                <w:rStyle w:val="10"/>
                <w:lang w:val="en-US" w:eastAsia="zh-CN" w:bidi="ar"/>
              </w:rPr>
              <w:t>个，计</w:t>
            </w:r>
            <w:r>
              <w:rPr>
                <w:rStyle w:val="11"/>
                <w:rFonts w:eastAsia="宋体"/>
                <w:lang w:val="en-US" w:eastAsia="zh-CN" w:bidi="ar"/>
              </w:rPr>
              <w:t>0.5</w:t>
            </w:r>
            <w:r>
              <w:rPr>
                <w:rStyle w:val="10"/>
                <w:lang w:val="en-US" w:eastAsia="zh-CN" w:bidi="ar"/>
              </w:rPr>
              <w:t>分，</w:t>
            </w:r>
            <w:r>
              <w:rPr>
                <w:rStyle w:val="11"/>
                <w:rFonts w:eastAsia="宋体"/>
                <w:lang w:val="en-US" w:eastAsia="zh-CN" w:bidi="ar"/>
              </w:rPr>
              <w:t>2</w:t>
            </w:r>
            <w:r>
              <w:rPr>
                <w:rStyle w:val="10"/>
                <w:lang w:val="en-US" w:eastAsia="zh-CN" w:bidi="ar"/>
              </w:rPr>
              <w:t>个以下不得分；</w:t>
            </w:r>
            <w:r>
              <w:rPr>
                <w:rStyle w:val="11"/>
                <w:rFonts w:eastAsia="宋体"/>
                <w:lang w:val="en-US" w:eastAsia="zh-CN" w:bidi="ar"/>
              </w:rPr>
              <w:br w:type="textWrapping"/>
            </w:r>
            <w:r>
              <w:rPr>
                <w:rStyle w:val="10"/>
                <w:lang w:val="en-US" w:eastAsia="zh-CN" w:bidi="ar"/>
              </w:rPr>
              <w:t>③与年度任务数或计划数相对应，计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50%</w:t>
            </w:r>
            <w:r>
              <w:rPr>
                <w:rStyle w:val="10"/>
                <w:lang w:val="en-US" w:eastAsia="zh-CN" w:bidi="ar"/>
              </w:rPr>
              <w:t>计</w:t>
            </w:r>
            <w:r>
              <w:rPr>
                <w:rStyle w:val="11"/>
                <w:rFonts w:eastAsia="宋体"/>
                <w:lang w:val="en-US" w:eastAsia="zh-CN" w:bidi="ar"/>
              </w:rPr>
              <w:t>0.5</w:t>
            </w:r>
            <w:r>
              <w:rPr>
                <w:rStyle w:val="10"/>
                <w:lang w:val="en-US" w:eastAsia="zh-CN" w:bidi="ar"/>
              </w:rPr>
              <w:t>分，对应低于</w:t>
            </w:r>
            <w:r>
              <w:rPr>
                <w:rStyle w:val="11"/>
                <w:rFonts w:eastAsia="宋体"/>
                <w:lang w:val="en-US" w:eastAsia="zh-CN" w:bidi="ar"/>
              </w:rPr>
              <w:t>50%</w:t>
            </w:r>
            <w:r>
              <w:rPr>
                <w:rStyle w:val="10"/>
                <w:lang w:val="en-US" w:eastAsia="zh-CN" w:bidi="ar"/>
              </w:rPr>
              <w:t>不计分；</w:t>
            </w:r>
            <w:r>
              <w:rPr>
                <w:rStyle w:val="11"/>
                <w:rFonts w:eastAsia="宋体"/>
                <w:lang w:val="en-US" w:eastAsia="zh-CN" w:bidi="ar"/>
              </w:rPr>
              <w:br w:type="textWrapping"/>
            </w:r>
            <w:r>
              <w:rPr>
                <w:rStyle w:val="10"/>
                <w:lang w:val="en-US" w:eastAsia="zh-CN" w:bidi="ar"/>
              </w:rPr>
              <w:t>④目标与资金匹配良好，逻辑关系明确，计</w:t>
            </w:r>
            <w:r>
              <w:rPr>
                <w:rStyle w:val="11"/>
                <w:rFonts w:eastAsia="宋体"/>
                <w:lang w:val="en-US" w:eastAsia="zh-CN" w:bidi="ar"/>
              </w:rPr>
              <w:t>1</w:t>
            </w:r>
            <w:r>
              <w:rPr>
                <w:rStyle w:val="10"/>
                <w:lang w:val="en-US" w:eastAsia="zh-CN" w:bidi="ar"/>
              </w:rPr>
              <w:t>分，否则不得分。</w:t>
            </w:r>
          </w:p>
        </w:tc>
        <w:tc>
          <w:tcPr>
            <w:tcW w:w="2115" w:type="dxa"/>
            <w:tcBorders>
              <w:tl2br w:val="nil"/>
              <w:tr2bl w:val="nil"/>
            </w:tcBorders>
            <w:noWrap w:val="0"/>
            <w:vAlign w:val="center"/>
          </w:tcPr>
          <w:p w14:paraId="4C606C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绩效目标申报表；年度任务数或计划数；预算批复等。</w:t>
            </w:r>
          </w:p>
        </w:tc>
        <w:tc>
          <w:tcPr>
            <w:tcW w:w="586" w:type="dxa"/>
            <w:tcBorders>
              <w:tl2br w:val="nil"/>
              <w:tr2bl w:val="nil"/>
            </w:tcBorders>
            <w:noWrap w:val="0"/>
            <w:vAlign w:val="center"/>
          </w:tcPr>
          <w:p w14:paraId="3D1517A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8A5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29F1FCE6">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6D606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配置</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14:paraId="12DC7D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人员</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04C169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0D0E5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752DA5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w:t>
            </w:r>
            <w:r>
              <w:rPr>
                <w:rStyle w:val="10"/>
                <w:lang w:val="en-US" w:eastAsia="zh-CN" w:bidi="ar"/>
              </w:rPr>
              <w:t>（在职人员数</w:t>
            </w:r>
            <w:r>
              <w:rPr>
                <w:rStyle w:val="11"/>
                <w:rFonts w:eastAsia="宋体"/>
                <w:lang w:val="en-US" w:eastAsia="zh-CN" w:bidi="ar"/>
              </w:rPr>
              <w:t>/</w:t>
            </w:r>
            <w:r>
              <w:rPr>
                <w:rStyle w:val="10"/>
                <w:lang w:val="en-US" w:eastAsia="zh-CN" w:bidi="ar"/>
              </w:rPr>
              <w:t>编制数）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在职人员数：部门（单位）实际在职人数</w:t>
            </w:r>
            <w:r>
              <w:rPr>
                <w:rStyle w:val="11"/>
                <w:rFonts w:eastAsia="宋体"/>
                <w:lang w:val="en-US" w:eastAsia="zh-CN" w:bidi="ar"/>
              </w:rPr>
              <w:t>,</w:t>
            </w:r>
            <w:r>
              <w:rPr>
                <w:rStyle w:val="10"/>
                <w:lang w:val="en-US" w:eastAsia="zh-CN" w:bidi="ar"/>
              </w:rPr>
              <w:t>以财政部门确定的部门决算编制口径为准。</w:t>
            </w:r>
            <w:r>
              <w:rPr>
                <w:rStyle w:val="11"/>
                <w:rFonts w:eastAsia="宋体"/>
                <w:lang w:val="en-US" w:eastAsia="zh-CN" w:bidi="ar"/>
              </w:rPr>
              <w:br w:type="textWrapping"/>
            </w:r>
            <w:r>
              <w:rPr>
                <w:rStyle w:val="10"/>
                <w:lang w:val="en-US" w:eastAsia="zh-CN" w:bidi="ar"/>
              </w:rPr>
              <w:t>编制数：机构编制部门核定批复的部门（单位）人员编制数。</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1%</w:t>
            </w:r>
            <w:r>
              <w:rPr>
                <w:rStyle w:val="10"/>
                <w:lang w:val="en-US" w:eastAsia="zh-CN" w:bidi="ar"/>
              </w:rPr>
              <w:t>扣</w:t>
            </w:r>
            <w:r>
              <w:rPr>
                <w:rStyle w:val="11"/>
                <w:rFonts w:eastAsia="宋体"/>
                <w:lang w:val="en-US" w:eastAsia="zh-CN" w:bidi="ar"/>
              </w:rPr>
              <w:t>0.2</w:t>
            </w:r>
            <w:r>
              <w:rPr>
                <w:rStyle w:val="10"/>
                <w:lang w:val="en-US" w:eastAsia="zh-CN" w:bidi="ar"/>
              </w:rPr>
              <w:t>分，扣完为止。</w:t>
            </w:r>
          </w:p>
        </w:tc>
        <w:tc>
          <w:tcPr>
            <w:tcW w:w="2115" w:type="dxa"/>
            <w:tcBorders>
              <w:tl2br w:val="nil"/>
              <w:tr2bl w:val="nil"/>
            </w:tcBorders>
            <w:noWrap w:val="0"/>
            <w:vAlign w:val="center"/>
          </w:tcPr>
          <w:p w14:paraId="4EB072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部门（单位）决算报表；机构编制部门核定批复的部门（单位）的人员编制数。</w:t>
            </w:r>
          </w:p>
        </w:tc>
        <w:tc>
          <w:tcPr>
            <w:tcW w:w="586" w:type="dxa"/>
            <w:tcBorders>
              <w:tl2br w:val="nil"/>
              <w:tr2bl w:val="nil"/>
            </w:tcBorders>
            <w:noWrap w:val="0"/>
            <w:vAlign w:val="center"/>
          </w:tcPr>
          <w:p w14:paraId="66A5E78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934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5EF32D6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1614C0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82F3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变动率</w:t>
            </w:r>
          </w:p>
        </w:tc>
        <w:tc>
          <w:tcPr>
            <w:tcW w:w="495" w:type="dxa"/>
            <w:tcBorders>
              <w:tl2br w:val="nil"/>
              <w:tr2bl w:val="nil"/>
            </w:tcBorders>
            <w:noWrap w:val="0"/>
            <w:vAlign w:val="center"/>
          </w:tcPr>
          <w:p w14:paraId="0729C6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EF0E93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预算数与上年度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67F35A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变动率</w:t>
            </w:r>
            <w:r>
              <w:rPr>
                <w:rStyle w:val="11"/>
                <w:rFonts w:eastAsia="宋体"/>
                <w:lang w:val="en-US" w:eastAsia="zh-CN" w:bidi="ar"/>
              </w:rPr>
              <w:t>=[</w:t>
            </w:r>
            <w:r>
              <w:rPr>
                <w:rStyle w:val="10"/>
                <w:lang w:val="en-US" w:eastAsia="zh-CN" w:bidi="ar"/>
              </w:rPr>
              <w:t>（本年度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]×100%</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：年度预算安排的因公出国（境）费、公务车辆购置及运行费和公务招待费。</w:t>
            </w:r>
            <w:r>
              <w:rPr>
                <w:rStyle w:val="11"/>
                <w:rFonts w:eastAsia="宋体"/>
                <w:lang w:val="en-US" w:eastAsia="zh-CN" w:bidi="ar"/>
              </w:rPr>
              <w:br w:type="textWrapping"/>
            </w:r>
            <w:r>
              <w:rPr>
                <w:rStyle w:val="10"/>
                <w:lang w:val="en-US" w:eastAsia="zh-CN" w:bidi="ar"/>
              </w:rPr>
              <w:t>该项得分，变动率为负数，计</w:t>
            </w:r>
            <w:r>
              <w:rPr>
                <w:rStyle w:val="11"/>
                <w:rFonts w:eastAsia="宋体"/>
                <w:lang w:val="en-US" w:eastAsia="zh-CN" w:bidi="ar"/>
              </w:rPr>
              <w:t>2</w:t>
            </w:r>
            <w:r>
              <w:rPr>
                <w:rStyle w:val="10"/>
                <w:lang w:val="en-US" w:eastAsia="zh-CN" w:bidi="ar"/>
              </w:rPr>
              <w:t>分，变动率为正数，计</w:t>
            </w:r>
            <w:r>
              <w:rPr>
                <w:rStyle w:val="11"/>
                <w:rFonts w:eastAsia="宋体"/>
                <w:lang w:val="en-US" w:eastAsia="zh-CN" w:bidi="ar"/>
              </w:rPr>
              <w:t>0</w:t>
            </w:r>
            <w:r>
              <w:rPr>
                <w:rStyle w:val="10"/>
                <w:lang w:val="en-US" w:eastAsia="zh-CN" w:bidi="ar"/>
              </w:rPr>
              <w:t>分。年度内</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完成数超过预算数，则该项计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0DD9B2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本年度和上年度部门（单位）预算</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报表；</w:t>
            </w:r>
          </w:p>
        </w:tc>
        <w:tc>
          <w:tcPr>
            <w:tcW w:w="586" w:type="dxa"/>
            <w:tcBorders>
              <w:tl2br w:val="nil"/>
              <w:tr2bl w:val="nil"/>
            </w:tcBorders>
            <w:noWrap w:val="0"/>
            <w:vAlign w:val="center"/>
          </w:tcPr>
          <w:p w14:paraId="4755F12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8D0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7FB6DC3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12DD56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D272F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w:t>
            </w:r>
            <w:r>
              <w:rPr>
                <w:rStyle w:val="11"/>
                <w:rFonts w:eastAsia="宋体"/>
                <w:lang w:val="en-US" w:eastAsia="zh-CN" w:bidi="ar"/>
              </w:rPr>
              <w:br w:type="textWrapping"/>
            </w:r>
            <w:r>
              <w:rPr>
                <w:rStyle w:val="10"/>
                <w:lang w:val="en-US" w:eastAsia="zh-CN" w:bidi="ar"/>
              </w:rPr>
              <w:t>支出</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14:paraId="37EFDB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9B58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07347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重点支出安排率</w:t>
            </w:r>
            <w:r>
              <w:rPr>
                <w:rStyle w:val="11"/>
                <w:rFonts w:eastAsia="宋体"/>
                <w:lang w:val="en-US" w:eastAsia="zh-CN" w:bidi="ar"/>
              </w:rPr>
              <w:t>=</w:t>
            </w:r>
            <w:r>
              <w:rPr>
                <w:rStyle w:val="10"/>
                <w:lang w:val="en-US" w:eastAsia="zh-CN" w:bidi="ar"/>
              </w:rPr>
              <w:t>（重点实际支出</w:t>
            </w:r>
            <w:r>
              <w:rPr>
                <w:rStyle w:val="11"/>
                <w:rFonts w:eastAsia="宋体"/>
                <w:lang w:val="en-US" w:eastAsia="zh-CN" w:bidi="ar"/>
              </w:rPr>
              <w:t>/</w:t>
            </w:r>
            <w:r>
              <w:rPr>
                <w:rStyle w:val="10"/>
                <w:lang w:val="en-US" w:eastAsia="zh-CN" w:bidi="ar"/>
              </w:rPr>
              <w:t>重点预算支出）</w:t>
            </w:r>
            <w:r>
              <w:rPr>
                <w:rStyle w:val="11"/>
                <w:rFonts w:eastAsia="宋体"/>
                <w:lang w:val="en-US" w:eastAsia="zh-CN" w:bidi="ar"/>
              </w:rPr>
              <w:t>×100%</w:t>
            </w:r>
            <w:r>
              <w:rPr>
                <w:rStyle w:val="10"/>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安排率</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5</w:t>
            </w:r>
            <w:r>
              <w:rPr>
                <w:rStyle w:val="10"/>
                <w:lang w:val="en-US" w:eastAsia="zh-CN" w:bidi="ar"/>
              </w:rPr>
              <w:t>%扣</w:t>
            </w:r>
            <w:r>
              <w:rPr>
                <w:rStyle w:val="11"/>
                <w:rFonts w:eastAsia="宋体"/>
                <w:lang w:val="en-US" w:eastAsia="zh-CN" w:bidi="ar"/>
              </w:rPr>
              <w:t>0.5</w:t>
            </w:r>
            <w:r>
              <w:rPr>
                <w:rStyle w:val="10"/>
                <w:lang w:val="en-US" w:eastAsia="zh-CN" w:bidi="ar"/>
              </w:rPr>
              <w:t>分，扣完为止。</w:t>
            </w:r>
          </w:p>
        </w:tc>
        <w:tc>
          <w:tcPr>
            <w:tcW w:w="2115" w:type="dxa"/>
            <w:tcBorders>
              <w:tl2br w:val="nil"/>
              <w:tr2bl w:val="nil"/>
            </w:tcBorders>
            <w:noWrap w:val="0"/>
            <w:vAlign w:val="center"/>
          </w:tcPr>
          <w:p w14:paraId="6484C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220CE32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9A5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240FBDD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809B04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09BC7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w:t>
            </w:r>
            <w:r>
              <w:rPr>
                <w:rStyle w:val="11"/>
                <w:rFonts w:eastAsia="宋体"/>
                <w:lang w:val="en-US" w:eastAsia="zh-CN" w:bidi="ar"/>
              </w:rPr>
              <w:br w:type="textWrapping"/>
            </w:r>
            <w:r>
              <w:rPr>
                <w:rStyle w:val="10"/>
                <w:lang w:val="en-US" w:eastAsia="zh-CN" w:bidi="ar"/>
              </w:rPr>
              <w:t>收入</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14:paraId="2A1A82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3E290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反映部门本年度非税收入完成情况。</w:t>
            </w:r>
          </w:p>
        </w:tc>
        <w:tc>
          <w:tcPr>
            <w:tcW w:w="5112" w:type="dxa"/>
            <w:tcBorders>
              <w:tl2br w:val="nil"/>
              <w:tr2bl w:val="nil"/>
            </w:tcBorders>
            <w:noWrap w:val="0"/>
            <w:vAlign w:val="center"/>
          </w:tcPr>
          <w:p w14:paraId="25DD48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非税收入完成率</w:t>
            </w:r>
            <w:r>
              <w:rPr>
                <w:rStyle w:val="11"/>
                <w:rFonts w:eastAsia="宋体"/>
                <w:lang w:val="en-US" w:eastAsia="zh-CN" w:bidi="ar"/>
              </w:rPr>
              <w:t>=</w:t>
            </w:r>
            <w:r>
              <w:rPr>
                <w:rStyle w:val="10"/>
                <w:lang w:val="en-US" w:eastAsia="zh-CN" w:bidi="ar"/>
              </w:rPr>
              <w:t>（非税实际收入完成数</w:t>
            </w:r>
            <w:r>
              <w:rPr>
                <w:rStyle w:val="11"/>
                <w:rFonts w:eastAsia="宋体"/>
                <w:lang w:val="en-US" w:eastAsia="zh-CN" w:bidi="ar"/>
              </w:rPr>
              <w:t>/</w:t>
            </w:r>
            <w:r>
              <w:rPr>
                <w:rStyle w:val="10"/>
                <w:lang w:val="en-US" w:eastAsia="zh-CN" w:bidi="ar"/>
              </w:rPr>
              <w:t>非税收入预算数）</w:t>
            </w:r>
            <w:r>
              <w:rPr>
                <w:rStyle w:val="11"/>
                <w:rFonts w:eastAsia="宋体"/>
                <w:lang w:val="en-US" w:eastAsia="zh-CN" w:bidi="ar"/>
              </w:rPr>
              <w:t>×100%</w:t>
            </w:r>
            <w:r>
              <w:rPr>
                <w:rStyle w:val="10"/>
                <w:lang w:val="en-US" w:eastAsia="zh-CN" w:bidi="ar"/>
              </w:rPr>
              <w:t>，有减免因素的，以财政事务中心确定的为准。</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完成率</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14:paraId="18264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8A1D90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7D81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72A31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过程</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47</w:t>
            </w:r>
            <w:r>
              <w:rPr>
                <w:rStyle w:val="10"/>
                <w:lang w:val="en-US" w:eastAsia="zh-CN" w:bidi="ar"/>
              </w:rPr>
              <w:t>分）</w:t>
            </w:r>
          </w:p>
        </w:tc>
        <w:tc>
          <w:tcPr>
            <w:tcW w:w="870" w:type="dxa"/>
            <w:vMerge w:val="restart"/>
            <w:tcBorders>
              <w:tl2br w:val="nil"/>
              <w:tr2bl w:val="nil"/>
            </w:tcBorders>
            <w:noWrap w:val="0"/>
            <w:vAlign w:val="center"/>
          </w:tcPr>
          <w:p w14:paraId="5F806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w:t>
            </w:r>
            <w:r>
              <w:rPr>
                <w:rStyle w:val="11"/>
                <w:rFonts w:eastAsia="宋体"/>
                <w:lang w:val="en-US" w:eastAsia="zh-CN" w:bidi="ar"/>
              </w:rPr>
              <w:br w:type="textWrapping"/>
            </w:r>
            <w:r>
              <w:rPr>
                <w:rStyle w:val="11"/>
                <w:rFonts w:eastAsia="宋体"/>
                <w:lang w:val="en-US" w:eastAsia="zh-CN" w:bidi="ar"/>
              </w:rPr>
              <w:t>(13</w:t>
            </w:r>
            <w:r>
              <w:rPr>
                <w:rStyle w:val="10"/>
                <w:lang w:val="en-US" w:eastAsia="zh-CN" w:bidi="ar"/>
              </w:rPr>
              <w:t>分）</w:t>
            </w:r>
          </w:p>
        </w:tc>
        <w:tc>
          <w:tcPr>
            <w:tcW w:w="1050" w:type="dxa"/>
            <w:tcBorders>
              <w:tl2br w:val="nil"/>
              <w:tr2bl w:val="nil"/>
            </w:tcBorders>
            <w:noWrap w:val="0"/>
            <w:vAlign w:val="center"/>
          </w:tcPr>
          <w:p w14:paraId="28AC20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执行率</w:t>
            </w:r>
          </w:p>
        </w:tc>
        <w:tc>
          <w:tcPr>
            <w:tcW w:w="495" w:type="dxa"/>
            <w:tcBorders>
              <w:tl2br w:val="nil"/>
              <w:tr2bl w:val="nil"/>
            </w:tcBorders>
            <w:noWrap w:val="0"/>
            <w:vAlign w:val="center"/>
          </w:tcPr>
          <w:p w14:paraId="5AF523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490A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1D8F8E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①预算执行率</w:t>
            </w:r>
            <w:r>
              <w:rPr>
                <w:rStyle w:val="11"/>
                <w:rFonts w:eastAsia="宋体"/>
                <w:lang w:val="en-US" w:eastAsia="zh-CN" w:bidi="ar"/>
              </w:rPr>
              <w:t>=</w:t>
            </w:r>
            <w:r>
              <w:rPr>
                <w:rStyle w:val="10"/>
                <w:lang w:val="en-US" w:eastAsia="zh-CN" w:bidi="ar"/>
              </w:rPr>
              <w:t>（预算完成数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预算执行数：部门（单位）本年度实际完成的预算数。</w:t>
            </w:r>
            <w:r>
              <w:rPr>
                <w:rStyle w:val="11"/>
                <w:rFonts w:eastAsia="宋体"/>
                <w:lang w:val="en-US" w:eastAsia="zh-CN" w:bidi="ar"/>
              </w:rPr>
              <w:br w:type="textWrapping"/>
            </w:r>
            <w:r>
              <w:rPr>
                <w:rStyle w:val="10"/>
                <w:lang w:val="en-US" w:eastAsia="zh-CN" w:bidi="ar"/>
              </w:rPr>
              <w:t>预算数：财政部门批复的本年度部门（单位）预算数及追加的预算数。</w:t>
            </w:r>
            <w:r>
              <w:rPr>
                <w:rStyle w:val="11"/>
                <w:rFonts w:eastAsia="宋体"/>
                <w:lang w:val="en-US" w:eastAsia="zh-CN" w:bidi="ar"/>
              </w:rPr>
              <w:br w:type="textWrapping"/>
            </w:r>
            <w:r>
              <w:rPr>
                <w:rStyle w:val="10"/>
                <w:lang w:val="en-US" w:eastAsia="zh-CN" w:bidi="ar"/>
              </w:rPr>
              <w:t>该项得分，全年预算执行率</w:t>
            </w:r>
            <w:r>
              <w:rPr>
                <w:rStyle w:val="11"/>
                <w:rFonts w:eastAsia="宋体"/>
                <w:lang w:val="en-US" w:eastAsia="zh-CN" w:bidi="ar"/>
              </w:rPr>
              <w:t>95%</w:t>
            </w:r>
            <w:r>
              <w:rPr>
                <w:rStyle w:val="10"/>
                <w:lang w:val="en-US" w:eastAsia="zh-CN" w:bidi="ar"/>
              </w:rPr>
              <w:t>以上计</w:t>
            </w:r>
            <w:r>
              <w:rPr>
                <w:rStyle w:val="11"/>
                <w:rFonts w:eastAsia="宋体"/>
                <w:lang w:val="en-US" w:eastAsia="zh-CN" w:bidi="ar"/>
              </w:rPr>
              <w:t>2</w:t>
            </w:r>
            <w:r>
              <w:rPr>
                <w:rStyle w:val="10"/>
                <w:lang w:val="en-US" w:eastAsia="zh-CN" w:bidi="ar"/>
              </w:rPr>
              <w:t>分，</w:t>
            </w:r>
            <w:r>
              <w:rPr>
                <w:rStyle w:val="11"/>
                <w:rFonts w:eastAsia="宋体"/>
                <w:lang w:val="en-US" w:eastAsia="zh-CN" w:bidi="ar"/>
              </w:rPr>
              <w:t>95-90%</w:t>
            </w:r>
            <w:r>
              <w:rPr>
                <w:rStyle w:val="10"/>
                <w:lang w:val="en-US" w:eastAsia="zh-CN" w:bidi="ar"/>
              </w:rPr>
              <w:t>（含），计</w:t>
            </w:r>
            <w:r>
              <w:rPr>
                <w:rStyle w:val="11"/>
                <w:rFonts w:eastAsia="宋体"/>
                <w:lang w:val="en-US" w:eastAsia="zh-CN" w:bidi="ar"/>
              </w:rPr>
              <w:t>1</w:t>
            </w:r>
            <w:r>
              <w:rPr>
                <w:rStyle w:val="10"/>
                <w:lang w:val="en-US" w:eastAsia="zh-CN" w:bidi="ar"/>
              </w:rPr>
              <w:t>分，</w:t>
            </w:r>
            <w:r>
              <w:rPr>
                <w:rStyle w:val="11"/>
                <w:rFonts w:eastAsia="宋体"/>
                <w:lang w:val="en-US" w:eastAsia="zh-CN" w:bidi="ar"/>
              </w:rPr>
              <w:t>90-80%</w:t>
            </w:r>
            <w:r>
              <w:rPr>
                <w:rStyle w:val="10"/>
                <w:lang w:val="en-US" w:eastAsia="zh-CN" w:bidi="ar"/>
              </w:rPr>
              <w:t>（含），计</w:t>
            </w:r>
            <w:r>
              <w:rPr>
                <w:rStyle w:val="11"/>
                <w:rFonts w:eastAsia="宋体"/>
                <w:lang w:val="en-US" w:eastAsia="zh-CN" w:bidi="ar"/>
              </w:rPr>
              <w:t>0.5</w:t>
            </w:r>
            <w:r>
              <w:rPr>
                <w:rStyle w:val="10"/>
                <w:lang w:val="en-US" w:eastAsia="zh-CN" w:bidi="ar"/>
              </w:rPr>
              <w:t>分，小于</w:t>
            </w:r>
            <w:r>
              <w:rPr>
                <w:rStyle w:val="11"/>
                <w:rFonts w:eastAsia="宋体"/>
                <w:lang w:val="en-US" w:eastAsia="zh-CN" w:bidi="ar"/>
              </w:rPr>
              <w:t>80%</w:t>
            </w:r>
            <w:r>
              <w:rPr>
                <w:rStyle w:val="10"/>
                <w:lang w:val="en-US" w:eastAsia="zh-CN" w:bidi="ar"/>
              </w:rPr>
              <w:t>不得分；</w:t>
            </w:r>
            <w:r>
              <w:rPr>
                <w:rStyle w:val="11"/>
                <w:rFonts w:eastAsia="宋体"/>
                <w:lang w:val="en-US" w:eastAsia="zh-CN" w:bidi="ar"/>
              </w:rPr>
              <w:br w:type="textWrapping"/>
            </w:r>
            <w:r>
              <w:rPr>
                <w:rStyle w:val="10"/>
                <w:lang w:val="en-US" w:eastAsia="zh-CN" w:bidi="ar"/>
              </w:rPr>
              <w:t>②绩效目标执行监控是否按要求完成。</w:t>
            </w:r>
            <w:r>
              <w:rPr>
                <w:rStyle w:val="11"/>
                <w:rFonts w:eastAsia="宋体"/>
                <w:lang w:val="en-US" w:eastAsia="zh-CN" w:bidi="ar"/>
              </w:rPr>
              <w:br w:type="textWrapping"/>
            </w:r>
            <w:r>
              <w:rPr>
                <w:rStyle w:val="10"/>
                <w:lang w:val="en-US" w:eastAsia="zh-CN" w:bidi="ar"/>
              </w:rPr>
              <w:t>该项得分，实施项目资金运行监控的得</w:t>
            </w:r>
            <w:r>
              <w:rPr>
                <w:rStyle w:val="11"/>
                <w:rFonts w:eastAsia="宋体"/>
                <w:lang w:val="en-US" w:eastAsia="zh-CN" w:bidi="ar"/>
              </w:rPr>
              <w:t>2</w:t>
            </w:r>
            <w:r>
              <w:rPr>
                <w:rStyle w:val="10"/>
                <w:lang w:val="en-US" w:eastAsia="zh-CN" w:bidi="ar"/>
              </w:rPr>
              <w:t>分，未实施的不得分。</w:t>
            </w:r>
          </w:p>
        </w:tc>
        <w:tc>
          <w:tcPr>
            <w:tcW w:w="2115" w:type="dxa"/>
            <w:tcBorders>
              <w:tl2br w:val="nil"/>
              <w:tr2bl w:val="nil"/>
            </w:tcBorders>
            <w:noWrap w:val="0"/>
            <w:vAlign w:val="center"/>
          </w:tcPr>
          <w:p w14:paraId="47533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6CDB778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E33A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536FA22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4609CA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811C1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调整率</w:t>
            </w:r>
          </w:p>
        </w:tc>
        <w:tc>
          <w:tcPr>
            <w:tcW w:w="495" w:type="dxa"/>
            <w:tcBorders>
              <w:tl2br w:val="nil"/>
              <w:tr2bl w:val="nil"/>
            </w:tcBorders>
            <w:noWrap w:val="0"/>
            <w:vAlign w:val="center"/>
          </w:tcPr>
          <w:p w14:paraId="76E2EE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1DFB7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5BAC69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预算调整率</w:t>
            </w:r>
            <w:r>
              <w:rPr>
                <w:rStyle w:val="11"/>
                <w:rFonts w:eastAsia="宋体"/>
                <w:lang w:val="en-US" w:eastAsia="zh-CN" w:bidi="ar"/>
              </w:rPr>
              <w:t>=</w:t>
            </w:r>
            <w:r>
              <w:rPr>
                <w:rStyle w:val="10"/>
                <w:lang w:val="en-US" w:eastAsia="zh-CN" w:bidi="ar"/>
              </w:rPr>
              <w:t>（预算调整数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1"/>
                <w:rFonts w:eastAsia="宋体"/>
                <w:lang w:val="en-US" w:eastAsia="zh-CN" w:bidi="ar"/>
              </w:rPr>
              <w:br w:type="textWrapping"/>
            </w:r>
            <w:r>
              <w:rPr>
                <w:rStyle w:val="10"/>
                <w:lang w:val="en-US" w:eastAsia="zh-CN" w:bidi="ar"/>
              </w:rPr>
              <w:t>该项得分，预算调整率</w:t>
            </w:r>
            <w:r>
              <w:rPr>
                <w:rStyle w:val="11"/>
                <w:rFonts w:eastAsia="宋体"/>
                <w:lang w:val="en-US" w:eastAsia="zh-CN" w:bidi="ar"/>
              </w:rPr>
              <w:t>&lt;5%</w:t>
            </w:r>
            <w:r>
              <w:rPr>
                <w:rStyle w:val="10"/>
                <w:lang w:val="en-US" w:eastAsia="zh-CN" w:bidi="ar"/>
              </w:rPr>
              <w:t>，计</w:t>
            </w:r>
            <w:r>
              <w:rPr>
                <w:rStyle w:val="11"/>
                <w:rFonts w:eastAsia="宋体"/>
                <w:lang w:val="en-US" w:eastAsia="zh-CN" w:bidi="ar"/>
              </w:rPr>
              <w:t>2</w:t>
            </w:r>
            <w:r>
              <w:rPr>
                <w:rStyle w:val="10"/>
                <w:lang w:val="en-US" w:eastAsia="zh-CN" w:bidi="ar"/>
              </w:rPr>
              <w:t>分；</w:t>
            </w:r>
            <w:r>
              <w:rPr>
                <w:rStyle w:val="11"/>
                <w:rFonts w:eastAsia="宋体"/>
                <w:lang w:val="en-US" w:eastAsia="zh-CN" w:bidi="ar"/>
              </w:rPr>
              <w:t>5-10%</w:t>
            </w:r>
            <w:r>
              <w:rPr>
                <w:rStyle w:val="10"/>
                <w:lang w:val="en-US" w:eastAsia="zh-CN" w:bidi="ar"/>
              </w:rPr>
              <w:t>（含），计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10%</w:t>
            </w:r>
            <w:r>
              <w:rPr>
                <w:rStyle w:val="10"/>
                <w:lang w:val="en-US" w:eastAsia="zh-CN" w:bidi="ar"/>
              </w:rPr>
              <w:t>不得分。</w:t>
            </w:r>
          </w:p>
        </w:tc>
        <w:tc>
          <w:tcPr>
            <w:tcW w:w="2115" w:type="dxa"/>
            <w:tcBorders>
              <w:tl2br w:val="nil"/>
              <w:tr2bl w:val="nil"/>
            </w:tcBorders>
            <w:noWrap w:val="0"/>
            <w:vAlign w:val="center"/>
          </w:tcPr>
          <w:p w14:paraId="09FC21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5442ADC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D16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0D27150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4DFE38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724FB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结转</w:t>
            </w:r>
            <w:r>
              <w:rPr>
                <w:rStyle w:val="11"/>
                <w:rFonts w:eastAsia="宋体"/>
                <w:lang w:val="en-US" w:eastAsia="zh-CN" w:bidi="ar"/>
              </w:rPr>
              <w:br w:type="textWrapping"/>
            </w:r>
            <w:r>
              <w:rPr>
                <w:rStyle w:val="10"/>
                <w:lang w:val="en-US" w:eastAsia="zh-CN" w:bidi="ar"/>
              </w:rPr>
              <w:t>结余</w:t>
            </w:r>
          </w:p>
        </w:tc>
        <w:tc>
          <w:tcPr>
            <w:tcW w:w="495" w:type="dxa"/>
            <w:tcBorders>
              <w:tl2br w:val="nil"/>
              <w:tr2bl w:val="nil"/>
            </w:tcBorders>
            <w:noWrap w:val="0"/>
            <w:vAlign w:val="center"/>
          </w:tcPr>
          <w:p w14:paraId="4A4A8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8D50F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0B60CC96">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结转结余率</w:t>
            </w:r>
            <w:r>
              <w:rPr>
                <w:rStyle w:val="11"/>
                <w:rFonts w:eastAsia="宋体"/>
                <w:lang w:val="en-US" w:eastAsia="zh-CN" w:bidi="ar"/>
              </w:rPr>
              <w:t>=</w:t>
            </w:r>
            <w:r>
              <w:rPr>
                <w:rStyle w:val="10"/>
                <w:lang w:val="en-US" w:eastAsia="zh-CN" w:bidi="ar"/>
              </w:rPr>
              <w:t>结转结余总额</w:t>
            </w:r>
            <w:r>
              <w:rPr>
                <w:rStyle w:val="11"/>
                <w:rFonts w:eastAsia="宋体"/>
                <w:lang w:val="en-US" w:eastAsia="zh-CN" w:bidi="ar"/>
              </w:rPr>
              <w:t>/</w:t>
            </w:r>
            <w:r>
              <w:rPr>
                <w:rStyle w:val="10"/>
                <w:lang w:val="en-US" w:eastAsia="zh-CN" w:bidi="ar"/>
              </w:rPr>
              <w:t>支出预算数</w:t>
            </w:r>
            <w:r>
              <w:rPr>
                <w:rStyle w:val="11"/>
                <w:rFonts w:eastAsia="宋体"/>
                <w:lang w:val="en-US" w:eastAsia="zh-CN" w:bidi="ar"/>
              </w:rPr>
              <w:t>×100%</w:t>
            </w:r>
            <w:r>
              <w:rPr>
                <w:rStyle w:val="10"/>
                <w:lang w:val="en-US" w:eastAsia="zh-CN" w:bidi="ar"/>
              </w:rPr>
              <w:t>。结转结余总额：部门本年度的结转资金与结余资金之和（以决算数为准）。</w:t>
            </w:r>
            <w:r>
              <w:rPr>
                <w:rStyle w:val="11"/>
                <w:rFonts w:eastAsia="宋体"/>
                <w:lang w:val="en-US" w:eastAsia="zh-CN" w:bidi="ar"/>
              </w:rPr>
              <w:br w:type="textWrapping"/>
            </w:r>
            <w:r>
              <w:rPr>
                <w:rStyle w:val="10"/>
                <w:lang w:val="en-US" w:eastAsia="zh-CN" w:bidi="ar"/>
              </w:rPr>
              <w:t>该项得分，结余率</w:t>
            </w:r>
            <w:r>
              <w:rPr>
                <w:rStyle w:val="11"/>
                <w:rFonts w:eastAsia="宋体"/>
                <w:lang w:val="en-US" w:eastAsia="zh-CN" w:bidi="ar"/>
              </w:rPr>
              <w:t>≤10%</w:t>
            </w:r>
            <w:r>
              <w:rPr>
                <w:rStyle w:val="10"/>
                <w:lang w:val="en-US" w:eastAsia="zh-CN" w:bidi="ar"/>
              </w:rPr>
              <w:t>的，计</w:t>
            </w:r>
            <w:r>
              <w:rPr>
                <w:rStyle w:val="11"/>
                <w:rFonts w:eastAsia="宋体"/>
                <w:lang w:val="en-US" w:eastAsia="zh-CN" w:bidi="ar"/>
              </w:rPr>
              <w:t>1</w:t>
            </w:r>
            <w:r>
              <w:rPr>
                <w:rStyle w:val="10"/>
                <w:lang w:val="en-US" w:eastAsia="zh-CN" w:bidi="ar"/>
              </w:rPr>
              <w:t>分；结余率</w:t>
            </w:r>
            <w:r>
              <w:rPr>
                <w:rStyle w:val="11"/>
                <w:rFonts w:eastAsia="宋体"/>
                <w:lang w:val="en-US" w:eastAsia="zh-CN" w:bidi="ar"/>
              </w:rPr>
              <w:t>&gt;10%</w:t>
            </w:r>
            <w:r>
              <w:rPr>
                <w:rStyle w:val="10"/>
                <w:lang w:val="en-US" w:eastAsia="zh-CN" w:bidi="ar"/>
              </w:rPr>
              <w:t>（不含），</w:t>
            </w:r>
            <w:r>
              <w:rPr>
                <w:rStyle w:val="11"/>
                <w:rFonts w:eastAsia="宋体"/>
                <w:lang w:val="en-US" w:eastAsia="zh-CN" w:bidi="ar"/>
              </w:rPr>
              <w:t>0.5</w:t>
            </w:r>
            <w:r>
              <w:rPr>
                <w:rStyle w:val="10"/>
                <w:lang w:val="en-US" w:eastAsia="zh-CN" w:bidi="ar"/>
              </w:rPr>
              <w:t>分；本年超支的，计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5E311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4478AAC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9F4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773CCAE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FB1668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64312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公用经费</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53DF46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14D69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26650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公用经费控制率</w:t>
            </w:r>
            <w:r>
              <w:rPr>
                <w:rStyle w:val="11"/>
                <w:rFonts w:eastAsia="宋体"/>
                <w:lang w:val="en-US" w:eastAsia="zh-CN" w:bidi="ar"/>
              </w:rPr>
              <w:t>=</w:t>
            </w:r>
            <w:r>
              <w:rPr>
                <w:rStyle w:val="10"/>
                <w:lang w:val="en-US" w:eastAsia="zh-CN" w:bidi="ar"/>
              </w:rPr>
              <w:t>（实际支出公用经费总额</w:t>
            </w:r>
            <w:r>
              <w:rPr>
                <w:rStyle w:val="11"/>
                <w:rFonts w:eastAsia="宋体"/>
                <w:lang w:val="en-US" w:eastAsia="zh-CN" w:bidi="ar"/>
              </w:rPr>
              <w:t>/</w:t>
            </w:r>
            <w:r>
              <w:rPr>
                <w:rStyle w:val="10"/>
                <w:lang w:val="en-US" w:eastAsia="zh-CN" w:bidi="ar"/>
              </w:rPr>
              <w:t>预算安排公用经费总额）</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4C636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631E3B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E7B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3A06EB8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242B5E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8404D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31A3EF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522D6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实际支出数与预算安排数的比率，用以反映和考核部门（单位）对</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的实际控制程度。</w:t>
            </w:r>
          </w:p>
        </w:tc>
        <w:tc>
          <w:tcPr>
            <w:tcW w:w="5112" w:type="dxa"/>
            <w:tcBorders>
              <w:tl2br w:val="nil"/>
              <w:tr2bl w:val="nil"/>
            </w:tcBorders>
            <w:noWrap w:val="0"/>
            <w:vAlign w:val="center"/>
          </w:tcPr>
          <w:p w14:paraId="77984F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控制率</w:t>
            </w:r>
            <w:r>
              <w:rPr>
                <w:rStyle w:val="11"/>
                <w:rFonts w:eastAsia="宋体"/>
                <w:lang w:val="en-US" w:eastAsia="zh-CN" w:bidi="ar"/>
              </w:rPr>
              <w:t>=</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预算安排数）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1591C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FE62AF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345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16AA66F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A43B3D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6ADFE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政府采购</w:t>
            </w:r>
            <w:r>
              <w:rPr>
                <w:rStyle w:val="11"/>
                <w:rFonts w:eastAsia="宋体"/>
                <w:lang w:val="en-US" w:eastAsia="zh-CN" w:bidi="ar"/>
              </w:rPr>
              <w:br w:type="textWrapping"/>
            </w:r>
            <w:r>
              <w:rPr>
                <w:rStyle w:val="10"/>
                <w:lang w:val="en-US" w:eastAsia="zh-CN" w:bidi="ar"/>
              </w:rPr>
              <w:t>执行率和</w:t>
            </w:r>
            <w:r>
              <w:rPr>
                <w:rStyle w:val="11"/>
                <w:rFonts w:eastAsia="宋体"/>
                <w:lang w:val="en-US" w:eastAsia="zh-CN" w:bidi="ar"/>
              </w:rPr>
              <w:br w:type="textWrapping"/>
            </w:r>
            <w:r>
              <w:rPr>
                <w:rStyle w:val="10"/>
                <w:lang w:val="en-US" w:eastAsia="zh-CN" w:bidi="ar"/>
              </w:rPr>
              <w:t>规范性</w:t>
            </w:r>
          </w:p>
        </w:tc>
        <w:tc>
          <w:tcPr>
            <w:tcW w:w="495" w:type="dxa"/>
            <w:tcBorders>
              <w:tl2br w:val="nil"/>
              <w:tr2bl w:val="nil"/>
            </w:tcBorders>
            <w:noWrap w:val="0"/>
            <w:vAlign w:val="center"/>
          </w:tcPr>
          <w:p w14:paraId="0816B1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6DDE0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3B7DD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①政府采购预算执行率</w:t>
            </w:r>
            <w:r>
              <w:rPr>
                <w:rStyle w:val="11"/>
                <w:rFonts w:eastAsia="宋体"/>
                <w:lang w:val="en-US" w:eastAsia="zh-CN" w:bidi="ar"/>
              </w:rPr>
              <w:t>=</w:t>
            </w:r>
            <w:r>
              <w:rPr>
                <w:rStyle w:val="10"/>
                <w:lang w:val="en-US" w:eastAsia="zh-CN" w:bidi="ar"/>
              </w:rPr>
              <w:t>（实际政府采购金额</w:t>
            </w:r>
            <w:r>
              <w:rPr>
                <w:rStyle w:val="11"/>
                <w:rFonts w:eastAsia="宋体"/>
                <w:lang w:val="en-US" w:eastAsia="zh-CN" w:bidi="ar"/>
              </w:rPr>
              <w:t>/</w:t>
            </w:r>
            <w:r>
              <w:rPr>
                <w:rStyle w:val="10"/>
                <w:lang w:val="en-US" w:eastAsia="zh-CN" w:bidi="ar"/>
              </w:rPr>
              <w:t>政府采购预算数）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政府采购预算：采购机关根据事业发展计划和行政任务编制的、并经过规定程序批准的年度政府采购计划。</w:t>
            </w:r>
            <w:r>
              <w:rPr>
                <w:rStyle w:val="11"/>
                <w:rFonts w:eastAsia="宋体"/>
                <w:lang w:val="en-US" w:eastAsia="zh-CN" w:bidi="ar"/>
              </w:rPr>
              <w:br w:type="textWrapping"/>
            </w:r>
            <w:r>
              <w:rPr>
                <w:rStyle w:val="10"/>
                <w:lang w:val="en-US" w:eastAsia="zh-CN" w:bidi="ar"/>
              </w:rPr>
              <w:t>该项得分，完成本年度采购计划的，政府采购执行率≤</w:t>
            </w:r>
            <w:r>
              <w:rPr>
                <w:rStyle w:val="11"/>
                <w:rFonts w:eastAsia="宋体"/>
                <w:lang w:val="en-US" w:eastAsia="zh-CN" w:bidi="ar"/>
              </w:rPr>
              <w:t>100%</w:t>
            </w:r>
            <w:r>
              <w:rPr>
                <w:rStyle w:val="10"/>
                <w:lang w:val="en-US" w:eastAsia="zh-CN" w:bidi="ar"/>
              </w:rPr>
              <w:t>，计</w:t>
            </w:r>
            <w:r>
              <w:rPr>
                <w:rStyle w:val="11"/>
                <w:rFonts w:eastAsia="宋体"/>
                <w:lang w:val="en-US" w:eastAsia="zh-CN" w:bidi="ar"/>
              </w:rPr>
              <w:t>1</w:t>
            </w:r>
            <w:r>
              <w:rPr>
                <w:rStyle w:val="10"/>
                <w:lang w:val="en-US" w:eastAsia="zh-CN" w:bidi="ar"/>
              </w:rPr>
              <w:t>分，每超过</w:t>
            </w:r>
            <w:r>
              <w:rPr>
                <w:rStyle w:val="11"/>
                <w:rFonts w:eastAsia="宋体"/>
                <w:lang w:val="en-US" w:eastAsia="zh-CN" w:bidi="ar"/>
              </w:rPr>
              <w:t>1%</w:t>
            </w:r>
            <w:r>
              <w:rPr>
                <w:rStyle w:val="10"/>
                <w:lang w:val="en-US" w:eastAsia="zh-CN" w:bidi="ar"/>
              </w:rPr>
              <w:t>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②所有项目依法采购，无规避政府采购或化整为零进行政府采购的行为，并履行验收手续，计0.5分，否则不得分；</w:t>
            </w:r>
            <w:r>
              <w:rPr>
                <w:rStyle w:val="11"/>
                <w:rFonts w:eastAsia="宋体"/>
                <w:lang w:val="en-US" w:eastAsia="zh-CN" w:bidi="ar"/>
              </w:rPr>
              <w:br w:type="textWrapping"/>
            </w:r>
            <w:r>
              <w:rPr>
                <w:rStyle w:val="10"/>
                <w:lang w:val="en-US" w:eastAsia="zh-CN" w:bidi="ar"/>
              </w:rPr>
              <w:t>③预算单位建立了政府采购内控制度，计0.5分，否则不得分。</w:t>
            </w:r>
          </w:p>
        </w:tc>
        <w:tc>
          <w:tcPr>
            <w:tcW w:w="2115" w:type="dxa"/>
            <w:tcBorders>
              <w:tl2br w:val="nil"/>
              <w:tr2bl w:val="nil"/>
            </w:tcBorders>
            <w:noWrap w:val="0"/>
            <w:vAlign w:val="center"/>
          </w:tcPr>
          <w:p w14:paraId="589AB7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13D1F54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7A8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5C87842">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18026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29</w:t>
            </w:r>
            <w:r>
              <w:rPr>
                <w:rStyle w:val="10"/>
                <w:lang w:val="en-US" w:eastAsia="zh-CN" w:bidi="ar"/>
              </w:rPr>
              <w:t>分）</w:t>
            </w:r>
          </w:p>
        </w:tc>
        <w:tc>
          <w:tcPr>
            <w:tcW w:w="1050" w:type="dxa"/>
            <w:tcBorders>
              <w:tl2br w:val="nil"/>
              <w:tr2bl w:val="nil"/>
            </w:tcBorders>
            <w:noWrap w:val="0"/>
            <w:vAlign w:val="center"/>
          </w:tcPr>
          <w:p w14:paraId="6D88FD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管理制度</w:t>
            </w:r>
            <w:r>
              <w:rPr>
                <w:rStyle w:val="11"/>
                <w:rFonts w:eastAsia="宋体"/>
                <w:lang w:val="en-US" w:eastAsia="zh-CN" w:bidi="ar"/>
              </w:rPr>
              <w:br w:type="textWrapping"/>
            </w:r>
            <w:r>
              <w:rPr>
                <w:rStyle w:val="10"/>
                <w:lang w:val="en-US" w:eastAsia="zh-CN" w:bidi="ar"/>
              </w:rPr>
              <w:t>健全性</w:t>
            </w:r>
          </w:p>
        </w:tc>
        <w:tc>
          <w:tcPr>
            <w:tcW w:w="495" w:type="dxa"/>
            <w:tcBorders>
              <w:tl2br w:val="nil"/>
              <w:tr2bl w:val="nil"/>
            </w:tcBorders>
            <w:noWrap w:val="0"/>
            <w:vAlign w:val="center"/>
          </w:tcPr>
          <w:p w14:paraId="7EFE2A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67AFBA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3C2FD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①是否已制定或具有预算资金管理办法、内部财务管理制度、会计核算制度等管理制度；</w:t>
            </w:r>
            <w:r>
              <w:rPr>
                <w:rStyle w:val="11"/>
                <w:rFonts w:eastAsia="宋体"/>
                <w:lang w:val="en-US" w:eastAsia="zh-CN" w:bidi="ar"/>
              </w:rPr>
              <w:br w:type="textWrapping"/>
            </w:r>
            <w:r>
              <w:rPr>
                <w:rStyle w:val="10"/>
                <w:lang w:val="en-US" w:eastAsia="zh-CN" w:bidi="ar"/>
              </w:rPr>
              <w:t>②相关管理制度是否合法、合规、完整；</w:t>
            </w:r>
            <w:r>
              <w:rPr>
                <w:rStyle w:val="11"/>
                <w:rFonts w:eastAsia="宋体"/>
                <w:lang w:val="en-US" w:eastAsia="zh-CN" w:bidi="ar"/>
              </w:rPr>
              <w:br w:type="textWrapping"/>
            </w:r>
            <w:r>
              <w:rPr>
                <w:rStyle w:val="10"/>
                <w:lang w:val="en-US" w:eastAsia="zh-CN" w:bidi="ar"/>
              </w:rPr>
              <w:t>③相关管理制度是否得到有效执行。</w:t>
            </w:r>
            <w:r>
              <w:rPr>
                <w:rStyle w:val="11"/>
                <w:rFonts w:eastAsia="宋体"/>
                <w:lang w:val="en-US" w:eastAsia="zh-CN" w:bidi="ar"/>
              </w:rPr>
              <w:br w:type="textWrapping"/>
            </w:r>
            <w:r>
              <w:rPr>
                <w:rStyle w:val="10"/>
                <w:lang w:val="en-US" w:eastAsia="zh-CN" w:bidi="ar"/>
              </w:rPr>
              <w:t>④会计人员、机构是否按规定设置；</w:t>
            </w:r>
            <w:r>
              <w:rPr>
                <w:rStyle w:val="11"/>
                <w:rFonts w:eastAsia="宋体"/>
                <w:lang w:val="en-US" w:eastAsia="zh-CN" w:bidi="ar"/>
              </w:rPr>
              <w:br w:type="textWrapping"/>
            </w:r>
            <w:r>
              <w:rPr>
                <w:rStyle w:val="10"/>
                <w:lang w:val="en-US" w:eastAsia="zh-CN" w:bidi="ar"/>
              </w:rPr>
              <w:t>⑤会计基础工作是否健全；</w:t>
            </w:r>
            <w:r>
              <w:rPr>
                <w:rStyle w:val="11"/>
                <w:rFonts w:eastAsia="宋体"/>
                <w:lang w:val="en-US" w:eastAsia="zh-CN" w:bidi="ar"/>
              </w:rPr>
              <w:br w:type="textWrapping"/>
            </w:r>
            <w:r>
              <w:rPr>
                <w:rStyle w:val="10"/>
                <w:lang w:val="en-US" w:eastAsia="zh-CN" w:bidi="ar"/>
              </w:rPr>
              <w:t>⑥会计档案是否符合规定要求；</w:t>
            </w:r>
            <w:r>
              <w:rPr>
                <w:rStyle w:val="11"/>
                <w:rFonts w:eastAsia="宋体"/>
                <w:lang w:val="en-US" w:eastAsia="zh-CN" w:bidi="ar"/>
              </w:rPr>
              <w:br w:type="textWrapping"/>
            </w:r>
            <w:r>
              <w:rPr>
                <w:rStyle w:val="10"/>
                <w:lang w:val="en-US" w:eastAsia="zh-CN" w:bidi="ar"/>
              </w:rPr>
              <w:t>⑦项目管理是否规范（包括项目立项、申报、招投标、合同或协议要素、制度建立、按时完工等）。</w:t>
            </w:r>
            <w:r>
              <w:rPr>
                <w:rStyle w:val="11"/>
                <w:rFonts w:eastAsia="宋体"/>
                <w:lang w:val="en-US" w:eastAsia="zh-CN" w:bidi="ar"/>
              </w:rPr>
              <w:br w:type="textWrapping"/>
            </w:r>
            <w:r>
              <w:rPr>
                <w:rStyle w:val="10"/>
                <w:lang w:val="en-US" w:eastAsia="zh-CN" w:bidi="ar"/>
              </w:rPr>
              <w:t>以上情况每发现一例不符合要求的扣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14:paraId="667459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部门（单位）管理制度。</w:t>
            </w:r>
          </w:p>
        </w:tc>
        <w:tc>
          <w:tcPr>
            <w:tcW w:w="586" w:type="dxa"/>
            <w:tcBorders>
              <w:tl2br w:val="nil"/>
              <w:tr2bl w:val="nil"/>
            </w:tcBorders>
            <w:noWrap w:val="0"/>
            <w:vAlign w:val="center"/>
          </w:tcPr>
          <w:p w14:paraId="12A7114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D62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1CE2183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4BD9F7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F84E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w:t>
            </w:r>
            <w:r>
              <w:rPr>
                <w:rStyle w:val="11"/>
                <w:rFonts w:eastAsia="宋体"/>
                <w:lang w:val="en-US" w:eastAsia="zh-CN" w:bidi="ar"/>
              </w:rPr>
              <w:br w:type="textWrapping"/>
            </w:r>
            <w:r>
              <w:rPr>
                <w:rStyle w:val="10"/>
                <w:lang w:val="en-US" w:eastAsia="zh-CN" w:bidi="ar"/>
              </w:rPr>
              <w:t>合规性</w:t>
            </w:r>
          </w:p>
        </w:tc>
        <w:tc>
          <w:tcPr>
            <w:tcW w:w="495" w:type="dxa"/>
            <w:tcBorders>
              <w:tl2br w:val="nil"/>
              <w:tr2bl w:val="nil"/>
            </w:tcBorders>
            <w:noWrap w:val="0"/>
            <w:vAlign w:val="center"/>
          </w:tcPr>
          <w:p w14:paraId="765235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4F0D4A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5F5CC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①符合国家财经法规和财务管理制度以及有关专项资金管理办法的规定，计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②资金的支付有完整的审批程序和手续，计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③重大项目开支和大额资金使用经过单位党组集体研究决策，计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④符合项目预算批复或合同规定的用途，计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⑤没有截留、挤占、挪用、虚列支出等情况，计</w:t>
            </w:r>
            <w:r>
              <w:rPr>
                <w:rStyle w:val="11"/>
                <w:rFonts w:eastAsia="宋体"/>
                <w:lang w:val="en-US" w:eastAsia="zh-CN" w:bidi="ar"/>
              </w:rPr>
              <w:t>1</w:t>
            </w:r>
            <w:r>
              <w:rPr>
                <w:rStyle w:val="10"/>
                <w:lang w:val="en-US" w:eastAsia="zh-CN" w:bidi="ar"/>
              </w:rPr>
              <w:t>分，发生</w:t>
            </w:r>
            <w:r>
              <w:rPr>
                <w:rStyle w:val="11"/>
                <w:rFonts w:eastAsia="宋体"/>
                <w:lang w:val="en-US" w:eastAsia="zh-CN" w:bidi="ar"/>
              </w:rPr>
              <w:t>1</w:t>
            </w:r>
            <w:r>
              <w:rPr>
                <w:rStyle w:val="10"/>
                <w:lang w:val="en-US" w:eastAsia="zh-CN" w:bidi="ar"/>
              </w:rPr>
              <w:t>例不符合本指标的现象</w:t>
            </w:r>
            <w:r>
              <w:rPr>
                <w:rStyle w:val="11"/>
                <w:rFonts w:eastAsia="宋体"/>
                <w:lang w:val="en-US" w:eastAsia="zh-CN" w:bidi="ar"/>
              </w:rPr>
              <w:t>7</w:t>
            </w:r>
            <w:r>
              <w:rPr>
                <w:rStyle w:val="10"/>
                <w:lang w:val="en-US" w:eastAsia="zh-CN" w:bidi="ar"/>
              </w:rPr>
              <w:t>分全扣；</w:t>
            </w:r>
            <w:r>
              <w:rPr>
                <w:rStyle w:val="11"/>
                <w:rFonts w:eastAsia="宋体"/>
                <w:lang w:val="en-US" w:eastAsia="zh-CN" w:bidi="ar"/>
              </w:rPr>
              <w:br w:type="textWrapping"/>
            </w:r>
            <w:r>
              <w:rPr>
                <w:rStyle w:val="10"/>
                <w:lang w:val="en-US" w:eastAsia="zh-CN" w:bidi="ar"/>
              </w:rPr>
              <w:t>⑥原始凭证的取得真实有效，计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⑦无超标准发放津补贴、奖金、无用公款支付应个人支付的款项，计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0"/>
                <w:lang w:val="en-US" w:eastAsia="zh-CN" w:bidi="ar"/>
              </w:rPr>
              <w:br w:type="textWrapping"/>
            </w:r>
            <w:r>
              <w:rPr>
                <w:rStyle w:val="10"/>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6C20D7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6FD43037">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10DA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260379E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02A35D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2BA35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信息</w:t>
            </w:r>
            <w:r>
              <w:rPr>
                <w:rStyle w:val="11"/>
                <w:rFonts w:eastAsia="宋体"/>
                <w:lang w:val="en-US" w:eastAsia="zh-CN" w:bidi="ar"/>
              </w:rPr>
              <w:br w:type="textWrapping"/>
            </w:r>
            <w:r>
              <w:rPr>
                <w:rStyle w:val="10"/>
                <w:lang w:val="en-US" w:eastAsia="zh-CN" w:bidi="ar"/>
              </w:rPr>
              <w:t>公开性</w:t>
            </w:r>
          </w:p>
        </w:tc>
        <w:tc>
          <w:tcPr>
            <w:tcW w:w="495" w:type="dxa"/>
            <w:tcBorders>
              <w:tl2br w:val="nil"/>
              <w:tr2bl w:val="nil"/>
            </w:tcBorders>
            <w:noWrap w:val="0"/>
            <w:vAlign w:val="center"/>
          </w:tcPr>
          <w:p w14:paraId="5205C8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F142E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3AFB0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①无涉密情况的预算单位按规定及时、准确、完整的公开预决算和绩效管理信息，计</w:t>
            </w:r>
            <w:r>
              <w:rPr>
                <w:rStyle w:val="11"/>
                <w:rFonts w:eastAsia="宋体"/>
                <w:lang w:val="en-US" w:eastAsia="zh-CN" w:bidi="ar"/>
              </w:rPr>
              <w:t>1</w:t>
            </w:r>
            <w:r>
              <w:rPr>
                <w:rStyle w:val="10"/>
                <w:lang w:val="en-US" w:eastAsia="zh-CN" w:bidi="ar"/>
              </w:rPr>
              <w:t>分，否则，酌情扣分；</w:t>
            </w:r>
            <w:r>
              <w:rPr>
                <w:rStyle w:val="11"/>
                <w:rFonts w:eastAsia="宋体"/>
                <w:lang w:val="en-US" w:eastAsia="zh-CN" w:bidi="ar"/>
              </w:rPr>
              <w:br w:type="textWrapping"/>
            </w:r>
            <w:r>
              <w:rPr>
                <w:rStyle w:val="10"/>
                <w:lang w:val="en-US" w:eastAsia="zh-CN" w:bidi="ar"/>
              </w:rPr>
              <w:t>②基础数据信息和会计信息资料真实、准确、完整，计</w:t>
            </w:r>
            <w:r>
              <w:rPr>
                <w:rStyle w:val="11"/>
                <w:rFonts w:eastAsia="宋体"/>
                <w:lang w:val="en-US" w:eastAsia="zh-CN" w:bidi="ar"/>
              </w:rPr>
              <w:t>1</w:t>
            </w:r>
            <w:r>
              <w:rPr>
                <w:rStyle w:val="10"/>
                <w:lang w:val="en-US" w:eastAsia="zh-CN" w:bidi="ar"/>
              </w:rPr>
              <w:t>分，否则，酌情扣分。</w:t>
            </w:r>
            <w:r>
              <w:rPr>
                <w:rStyle w:val="10"/>
                <w:lang w:val="en-US" w:eastAsia="zh-CN" w:bidi="ar"/>
              </w:rPr>
              <w:br w:type="textWrapping"/>
            </w:r>
            <w:r>
              <w:rPr>
                <w:rStyle w:val="10"/>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6F513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459822D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DA56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357EBAD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0A7C56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1BA16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非税收入</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管理</w:t>
            </w:r>
          </w:p>
        </w:tc>
        <w:tc>
          <w:tcPr>
            <w:tcW w:w="495" w:type="dxa"/>
            <w:tcBorders>
              <w:tl2br w:val="nil"/>
              <w:tr2bl w:val="nil"/>
            </w:tcBorders>
            <w:noWrap w:val="0"/>
            <w:vAlign w:val="center"/>
          </w:tcPr>
          <w:p w14:paraId="710566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13731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反映部门非税收入的使用、管理情况。</w:t>
            </w:r>
          </w:p>
        </w:tc>
        <w:tc>
          <w:tcPr>
            <w:tcW w:w="5112" w:type="dxa"/>
            <w:tcBorders>
              <w:tl2br w:val="nil"/>
              <w:tr2bl w:val="nil"/>
            </w:tcBorders>
            <w:noWrap w:val="0"/>
            <w:vAlign w:val="center"/>
          </w:tcPr>
          <w:p w14:paraId="3CAC4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①实行收支两条线，计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r>
              <w:rPr>
                <w:rStyle w:val="11"/>
                <w:rFonts w:eastAsia="宋体"/>
                <w:lang w:val="en-US" w:eastAsia="zh-CN" w:bidi="ar"/>
              </w:rPr>
              <w:br w:type="textWrapping"/>
            </w:r>
            <w:r>
              <w:rPr>
                <w:rStyle w:val="10"/>
                <w:lang w:val="en-US" w:eastAsia="zh-CN" w:bidi="ar"/>
              </w:rPr>
              <w:t>②未发生截留、坐支或转移，计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5A93A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2BCDF50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5E76B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0F9EE2D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A4AEE9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AAFE1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绩效自评</w:t>
            </w:r>
            <w:r>
              <w:rPr>
                <w:rStyle w:val="11"/>
                <w:rFonts w:eastAsia="宋体"/>
                <w:lang w:val="en-US" w:eastAsia="zh-CN" w:bidi="ar"/>
              </w:rPr>
              <w:br w:type="textWrapping"/>
            </w:r>
            <w:r>
              <w:rPr>
                <w:rStyle w:val="10"/>
                <w:lang w:val="en-US" w:eastAsia="zh-CN" w:bidi="ar"/>
              </w:rPr>
              <w:t>管理情况</w:t>
            </w:r>
          </w:p>
        </w:tc>
        <w:tc>
          <w:tcPr>
            <w:tcW w:w="495" w:type="dxa"/>
            <w:tcBorders>
              <w:tl2br w:val="nil"/>
              <w:tr2bl w:val="nil"/>
            </w:tcBorders>
            <w:noWrap w:val="0"/>
            <w:vAlign w:val="center"/>
          </w:tcPr>
          <w:p w14:paraId="27429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05AD7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5F18F7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①是否按要求开展部门（单位）整体支出绩效自评和专项资金支出自评工作。</w:t>
            </w:r>
            <w:r>
              <w:rPr>
                <w:rStyle w:val="11"/>
                <w:rFonts w:eastAsia="宋体"/>
                <w:lang w:val="en-US" w:eastAsia="zh-CN" w:bidi="ar"/>
              </w:rPr>
              <w:br w:type="textWrapping"/>
            </w:r>
            <w:r>
              <w:rPr>
                <w:rStyle w:val="10"/>
                <w:lang w:val="en-US" w:eastAsia="zh-CN" w:bidi="ar"/>
              </w:rPr>
              <w:t>②是否及时报送绩效自评报告；</w:t>
            </w:r>
            <w:r>
              <w:rPr>
                <w:rStyle w:val="11"/>
                <w:rFonts w:eastAsia="宋体"/>
                <w:lang w:val="en-US" w:eastAsia="zh-CN" w:bidi="ar"/>
              </w:rPr>
              <w:br w:type="textWrapping"/>
            </w:r>
            <w:r>
              <w:rPr>
                <w:rStyle w:val="10"/>
                <w:lang w:val="en-US" w:eastAsia="zh-CN" w:bidi="ar"/>
              </w:rPr>
              <w:t>③绩效自评报告是否完整，数据是否全面、真实、准确，绩效指标是否细化量化和科学合理；</w:t>
            </w:r>
            <w:r>
              <w:rPr>
                <w:rStyle w:val="11"/>
                <w:rFonts w:eastAsia="宋体"/>
                <w:lang w:val="en-US" w:eastAsia="zh-CN" w:bidi="ar"/>
              </w:rPr>
              <w:br w:type="textWrapping"/>
            </w:r>
            <w:r>
              <w:rPr>
                <w:rStyle w:val="10"/>
                <w:lang w:val="en-US" w:eastAsia="zh-CN" w:bidi="ar"/>
              </w:rPr>
              <w:t>④绩效自评反映的问题是否具体，意见是否可行，自评发现的问题是否整改；</w:t>
            </w:r>
            <w:r>
              <w:rPr>
                <w:rStyle w:val="11"/>
                <w:rFonts w:eastAsia="宋体"/>
                <w:lang w:val="en-US" w:eastAsia="zh-CN" w:bidi="ar"/>
              </w:rPr>
              <w:br w:type="textWrapping"/>
            </w:r>
            <w:r>
              <w:rPr>
                <w:rStyle w:val="10"/>
                <w:lang w:val="en-US" w:eastAsia="zh-CN" w:bidi="ar"/>
              </w:rPr>
              <w:t>该项得分，①、②、③、④各计</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14:paraId="66458BB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0757461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3E32B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2432635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260236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55082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重点绩效</w:t>
            </w:r>
            <w:r>
              <w:rPr>
                <w:rStyle w:val="11"/>
                <w:rFonts w:eastAsia="宋体"/>
                <w:lang w:val="en-US" w:eastAsia="zh-CN" w:bidi="ar"/>
              </w:rPr>
              <w:br w:type="textWrapping"/>
            </w:r>
            <w:r>
              <w:rPr>
                <w:rStyle w:val="10"/>
                <w:lang w:val="en-US" w:eastAsia="zh-CN" w:bidi="ar"/>
              </w:rPr>
              <w:t>评价整改</w:t>
            </w:r>
            <w:r>
              <w:rPr>
                <w:rStyle w:val="11"/>
                <w:rFonts w:eastAsia="宋体"/>
                <w:lang w:val="en-US" w:eastAsia="zh-CN" w:bidi="ar"/>
              </w:rPr>
              <w:br w:type="textWrapping"/>
            </w:r>
            <w:r>
              <w:rPr>
                <w:rStyle w:val="10"/>
                <w:lang w:val="en-US" w:eastAsia="zh-CN" w:bidi="ar"/>
              </w:rPr>
              <w:t>情况</w:t>
            </w:r>
          </w:p>
        </w:tc>
        <w:tc>
          <w:tcPr>
            <w:tcW w:w="495" w:type="dxa"/>
            <w:tcBorders>
              <w:tl2br w:val="nil"/>
              <w:tr2bl w:val="nil"/>
            </w:tcBorders>
            <w:noWrap w:val="0"/>
            <w:vAlign w:val="center"/>
          </w:tcPr>
          <w:p w14:paraId="344E7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5F577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64772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上轮重点评价问题全部整改，计3分；上轮重点评价问题部分整改，计</w:t>
            </w:r>
            <w:r>
              <w:rPr>
                <w:rStyle w:val="11"/>
                <w:rFonts w:eastAsia="宋体"/>
                <w:lang w:val="en-US" w:eastAsia="zh-CN" w:bidi="ar"/>
              </w:rPr>
              <w:t>1</w:t>
            </w:r>
            <w:r>
              <w:rPr>
                <w:rStyle w:val="10"/>
                <w:lang w:val="en-US" w:eastAsia="zh-CN" w:bidi="ar"/>
              </w:rPr>
              <w:t>分；上轮重点评价问题未整改且无整改情况说明的不计分。</w:t>
            </w:r>
          </w:p>
        </w:tc>
        <w:tc>
          <w:tcPr>
            <w:tcW w:w="2115" w:type="dxa"/>
            <w:tcBorders>
              <w:tl2br w:val="nil"/>
              <w:tr2bl w:val="nil"/>
            </w:tcBorders>
            <w:noWrap w:val="0"/>
            <w:vAlign w:val="center"/>
          </w:tcPr>
          <w:p w14:paraId="6F8AB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0BFE3FE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CBDE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6021DC9F">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1D279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资产</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（5分）</w:t>
            </w:r>
          </w:p>
        </w:tc>
        <w:tc>
          <w:tcPr>
            <w:tcW w:w="1050" w:type="dxa"/>
            <w:tcBorders>
              <w:tl2br w:val="nil"/>
              <w:tr2bl w:val="nil"/>
            </w:tcBorders>
            <w:noWrap w:val="0"/>
            <w:vAlign w:val="center"/>
          </w:tcPr>
          <w:p w14:paraId="3F701D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制度健全性</w:t>
            </w:r>
          </w:p>
        </w:tc>
        <w:tc>
          <w:tcPr>
            <w:tcW w:w="495" w:type="dxa"/>
            <w:tcBorders>
              <w:tl2br w:val="nil"/>
              <w:tr2bl w:val="nil"/>
            </w:tcBorders>
            <w:noWrap w:val="0"/>
            <w:vAlign w:val="center"/>
          </w:tcPr>
          <w:p w14:paraId="11B9BE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01D011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2E3A7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①已制定合法、合规、完整的资产管理制度，计</w:t>
            </w:r>
            <w:r>
              <w:rPr>
                <w:rStyle w:val="11"/>
                <w:rFonts w:eastAsia="宋体"/>
                <w:lang w:val="en-US" w:eastAsia="zh-CN" w:bidi="ar"/>
              </w:rPr>
              <w:t>0.5</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②相关资产管理制度得到有效执行，计</w:t>
            </w:r>
            <w:r>
              <w:rPr>
                <w:rStyle w:val="11"/>
                <w:rFonts w:eastAsia="宋体"/>
                <w:lang w:val="en-US" w:eastAsia="zh-CN" w:bidi="ar"/>
              </w:rPr>
              <w:t>0.5</w:t>
            </w:r>
            <w:r>
              <w:rPr>
                <w:rStyle w:val="10"/>
                <w:lang w:val="en-US" w:eastAsia="zh-CN" w:bidi="ar"/>
              </w:rPr>
              <w:t>分，否则不得分；</w:t>
            </w:r>
          </w:p>
        </w:tc>
        <w:tc>
          <w:tcPr>
            <w:tcW w:w="2115" w:type="dxa"/>
            <w:tcBorders>
              <w:tl2br w:val="nil"/>
              <w:tr2bl w:val="nil"/>
            </w:tcBorders>
            <w:noWrap w:val="0"/>
            <w:vAlign w:val="center"/>
          </w:tcPr>
          <w:p w14:paraId="44DB57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部门（单位）资产管理制度；采购资产相关资料。</w:t>
            </w:r>
          </w:p>
        </w:tc>
        <w:tc>
          <w:tcPr>
            <w:tcW w:w="586" w:type="dxa"/>
            <w:tcBorders>
              <w:tl2br w:val="nil"/>
              <w:tr2bl w:val="nil"/>
            </w:tcBorders>
            <w:noWrap w:val="0"/>
            <w:vAlign w:val="center"/>
          </w:tcPr>
          <w:p w14:paraId="34564A0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2EE6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744AC63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90717F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F919B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安全性</w:t>
            </w:r>
          </w:p>
        </w:tc>
        <w:tc>
          <w:tcPr>
            <w:tcW w:w="495" w:type="dxa"/>
            <w:tcBorders>
              <w:tl2br w:val="nil"/>
              <w:tr2bl w:val="nil"/>
            </w:tcBorders>
            <w:noWrap w:val="0"/>
            <w:vAlign w:val="center"/>
          </w:tcPr>
          <w:p w14:paraId="4E1B69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225483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7FBC1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①资产配置合理符合标准、保管完整，账务管理规范，定期盘点并有台账，账实相符的，计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②资产处置规范，计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③资产有偿使用或处置收入及时足额上缴，计</w:t>
            </w:r>
            <w:r>
              <w:rPr>
                <w:rStyle w:val="11"/>
                <w:rFonts w:eastAsia="宋体"/>
                <w:lang w:val="en-US" w:eastAsia="zh-CN" w:bidi="ar"/>
              </w:rPr>
              <w:t>0.5</w:t>
            </w:r>
            <w:r>
              <w:rPr>
                <w:rStyle w:val="10"/>
                <w:lang w:val="en-US" w:eastAsia="zh-CN" w:bidi="ar"/>
              </w:rPr>
              <w:t>分，发现未上缴，本项不得分；</w:t>
            </w:r>
            <w:r>
              <w:rPr>
                <w:rStyle w:val="11"/>
                <w:rFonts w:eastAsia="宋体"/>
                <w:lang w:val="en-US" w:eastAsia="zh-CN" w:bidi="ar"/>
              </w:rPr>
              <w:br w:type="textWrapping"/>
            </w:r>
            <w:r>
              <w:rPr>
                <w:rStyle w:val="10"/>
                <w:lang w:val="en-US" w:eastAsia="zh-CN" w:bidi="ar"/>
              </w:rPr>
              <w:t>④资产购置履行政府采购手续，计</w:t>
            </w:r>
            <w:r>
              <w:rPr>
                <w:rStyle w:val="11"/>
                <w:rFonts w:eastAsia="宋体"/>
                <w:lang w:val="en-US" w:eastAsia="zh-CN" w:bidi="ar"/>
              </w:rPr>
              <w:t>0.3</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分，扣完为止；外租资产全部走合规程序，计</w:t>
            </w:r>
            <w:r>
              <w:rPr>
                <w:rStyle w:val="11"/>
                <w:rFonts w:eastAsia="宋体"/>
                <w:lang w:val="en-US" w:eastAsia="zh-CN" w:bidi="ar"/>
              </w:rPr>
              <w:t>0.2</w:t>
            </w:r>
            <w:r>
              <w:rPr>
                <w:rStyle w:val="10"/>
                <w:lang w:val="en-US" w:eastAsia="zh-CN" w:bidi="ar"/>
              </w:rPr>
              <w:t>分，发现一例不合规，扣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14:paraId="5BCB3E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4FDE5415">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14:paraId="71FA2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467AE90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2BE2A1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C1F7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固定资产</w:t>
            </w:r>
            <w:r>
              <w:rPr>
                <w:rStyle w:val="11"/>
                <w:rFonts w:eastAsia="宋体"/>
                <w:lang w:val="en-US" w:eastAsia="zh-CN" w:bidi="ar"/>
              </w:rPr>
              <w:br w:type="textWrapping"/>
            </w:r>
            <w:r>
              <w:rPr>
                <w:rStyle w:val="10"/>
                <w:lang w:val="en-US" w:eastAsia="zh-CN" w:bidi="ar"/>
              </w:rPr>
              <w:t>保管和使用情况</w:t>
            </w:r>
          </w:p>
        </w:tc>
        <w:tc>
          <w:tcPr>
            <w:tcW w:w="495" w:type="dxa"/>
            <w:tcBorders>
              <w:tl2br w:val="nil"/>
              <w:tr2bl w:val="nil"/>
            </w:tcBorders>
            <w:noWrap w:val="0"/>
            <w:vAlign w:val="center"/>
          </w:tcPr>
          <w:p w14:paraId="204BA0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D3C8C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掌握预算单位固定资产配置管理使用情况。</w:t>
            </w:r>
          </w:p>
        </w:tc>
        <w:tc>
          <w:tcPr>
            <w:tcW w:w="5112" w:type="dxa"/>
            <w:tcBorders>
              <w:tl2br w:val="nil"/>
              <w:tr2bl w:val="nil"/>
            </w:tcBorders>
            <w:noWrap w:val="0"/>
            <w:vAlign w:val="center"/>
          </w:tcPr>
          <w:p w14:paraId="505F2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①建了固定资产台账实行编码管理，且编码与实物完全匹配计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②建立了固定资产增减变化审批程序的计0.5分，否则不得分；</w:t>
            </w:r>
            <w:r>
              <w:rPr>
                <w:rStyle w:val="11"/>
                <w:rFonts w:eastAsia="宋体"/>
                <w:lang w:val="en-US" w:eastAsia="zh-CN" w:bidi="ar"/>
              </w:rPr>
              <w:br w:type="textWrapping"/>
            </w:r>
            <w:r>
              <w:rPr>
                <w:rStyle w:val="10"/>
                <w:lang w:val="en-US" w:eastAsia="zh-CN" w:bidi="ar"/>
              </w:rPr>
              <w:t>③固定资产无闲置浪费现象计0.5分，发现一处扣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14:paraId="107890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部门（单位）固定资产实际使用情况；固定资产账。</w:t>
            </w:r>
          </w:p>
        </w:tc>
        <w:tc>
          <w:tcPr>
            <w:tcW w:w="586" w:type="dxa"/>
            <w:tcBorders>
              <w:tl2br w:val="nil"/>
              <w:tr2bl w:val="nil"/>
            </w:tcBorders>
            <w:noWrap w:val="0"/>
            <w:vAlign w:val="center"/>
          </w:tcPr>
          <w:p w14:paraId="346F9E5C">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14:paraId="391A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55F933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产出</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22</w:t>
            </w:r>
            <w:r>
              <w:rPr>
                <w:rStyle w:val="10"/>
                <w:lang w:val="en-US" w:eastAsia="zh-CN" w:bidi="ar"/>
              </w:rPr>
              <w:t>分）</w:t>
            </w:r>
          </w:p>
        </w:tc>
        <w:tc>
          <w:tcPr>
            <w:tcW w:w="870" w:type="dxa"/>
            <w:vMerge w:val="restart"/>
            <w:tcBorders>
              <w:tl2br w:val="nil"/>
              <w:tr2bl w:val="nil"/>
            </w:tcBorders>
            <w:noWrap w:val="0"/>
            <w:vAlign w:val="center"/>
          </w:tcPr>
          <w:p w14:paraId="2414C6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职责履行（</w:t>
            </w:r>
            <w:r>
              <w:rPr>
                <w:rStyle w:val="11"/>
                <w:rFonts w:eastAsia="宋体"/>
                <w:lang w:val="en-US" w:eastAsia="zh-CN" w:bidi="ar"/>
              </w:rPr>
              <w:t>22</w:t>
            </w:r>
            <w:r>
              <w:rPr>
                <w:rStyle w:val="10"/>
                <w:lang w:val="en-US" w:eastAsia="zh-CN" w:bidi="ar"/>
              </w:rPr>
              <w:t>分）</w:t>
            </w:r>
          </w:p>
        </w:tc>
        <w:tc>
          <w:tcPr>
            <w:tcW w:w="1050" w:type="dxa"/>
            <w:tcBorders>
              <w:tl2br w:val="nil"/>
              <w:tr2bl w:val="nil"/>
            </w:tcBorders>
            <w:noWrap w:val="0"/>
            <w:vAlign w:val="center"/>
          </w:tcPr>
          <w:p w14:paraId="02437A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部门整体</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工作质量</w:t>
            </w:r>
          </w:p>
        </w:tc>
        <w:tc>
          <w:tcPr>
            <w:tcW w:w="495" w:type="dxa"/>
            <w:tcBorders>
              <w:tl2br w:val="nil"/>
              <w:tr2bl w:val="nil"/>
            </w:tcBorders>
            <w:noWrap w:val="0"/>
            <w:vAlign w:val="center"/>
          </w:tcPr>
          <w:p w14:paraId="5D64A3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746C1C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反映部门党委政府绩效考核评估等级</w:t>
            </w:r>
          </w:p>
        </w:tc>
        <w:tc>
          <w:tcPr>
            <w:tcW w:w="5112" w:type="dxa"/>
            <w:tcBorders>
              <w:tl2br w:val="nil"/>
              <w:tr2bl w:val="nil"/>
            </w:tcBorders>
            <w:noWrap w:val="0"/>
            <w:vAlign w:val="center"/>
          </w:tcPr>
          <w:p w14:paraId="64421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以市委、市政府绩效效考核评估结果为依据：优秀，计</w:t>
            </w:r>
            <w:r>
              <w:rPr>
                <w:rStyle w:val="11"/>
                <w:rFonts w:eastAsia="宋体"/>
                <w:lang w:val="en-US" w:eastAsia="zh-CN" w:bidi="ar"/>
              </w:rPr>
              <w:t>6</w:t>
            </w:r>
            <w:r>
              <w:rPr>
                <w:rStyle w:val="10"/>
                <w:lang w:val="en-US" w:eastAsia="zh-CN" w:bidi="ar"/>
              </w:rPr>
              <w:t>分；良好，</w:t>
            </w:r>
            <w:r>
              <w:rPr>
                <w:rStyle w:val="11"/>
                <w:rFonts w:eastAsia="宋体"/>
                <w:lang w:val="en-US" w:eastAsia="zh-CN" w:bidi="ar"/>
              </w:rPr>
              <w:t>4</w:t>
            </w:r>
            <w:r>
              <w:rPr>
                <w:rStyle w:val="10"/>
                <w:lang w:val="en-US" w:eastAsia="zh-CN" w:bidi="ar"/>
              </w:rPr>
              <w:t>分；合格，</w:t>
            </w:r>
            <w:r>
              <w:rPr>
                <w:rStyle w:val="11"/>
                <w:rFonts w:eastAsia="宋体"/>
                <w:lang w:val="en-US" w:eastAsia="zh-CN" w:bidi="ar"/>
              </w:rPr>
              <w:t>2</w:t>
            </w:r>
            <w:r>
              <w:rPr>
                <w:rStyle w:val="10"/>
                <w:lang w:val="en-US" w:eastAsia="zh-CN" w:bidi="ar"/>
              </w:rPr>
              <w:t>分；不合格，</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5B38DC3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0C810E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4ADD6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4709F2FE">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1CA061C">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15805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实际</w:t>
            </w:r>
            <w:r>
              <w:rPr>
                <w:rStyle w:val="13"/>
                <w:rFonts w:eastAsia="宋体"/>
                <w:lang w:val="en-US" w:eastAsia="zh-CN" w:bidi="ar"/>
              </w:rPr>
              <w:br w:type="textWrapping"/>
            </w:r>
            <w:r>
              <w:rPr>
                <w:rStyle w:val="12"/>
                <w:lang w:val="en-US" w:eastAsia="zh-CN" w:bidi="ar"/>
              </w:rPr>
              <w:t>完成率</w:t>
            </w:r>
          </w:p>
        </w:tc>
        <w:tc>
          <w:tcPr>
            <w:tcW w:w="495" w:type="dxa"/>
            <w:tcBorders>
              <w:tl2br w:val="nil"/>
              <w:tr2bl w:val="nil"/>
            </w:tcBorders>
            <w:noWrap w:val="0"/>
            <w:vAlign w:val="center"/>
          </w:tcPr>
          <w:p w14:paraId="4A4E09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A2D55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451824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实际完成率</w:t>
            </w:r>
            <w:r>
              <w:rPr>
                <w:rStyle w:val="13"/>
                <w:rFonts w:eastAsia="宋体"/>
                <w:lang w:val="en-US" w:eastAsia="zh-CN" w:bidi="ar"/>
              </w:rPr>
              <w:t>=</w:t>
            </w:r>
            <w:r>
              <w:rPr>
                <w:rStyle w:val="12"/>
                <w:lang w:val="en-US" w:eastAsia="zh-CN" w:bidi="ar"/>
              </w:rPr>
              <w:t>（实际完成工作数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。实际完成工作数：一定时期（年度或规划期）内部门实际完成工作任务的数量。计划工作数：部门整体绩效目标确定的一定时期（年度或规划期）内预计完成工作任务的数量。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0517946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1BD7D0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934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189AE8FF">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90CB5A0">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FC183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完成</w:t>
            </w:r>
            <w:r>
              <w:rPr>
                <w:rStyle w:val="13"/>
                <w:rFonts w:eastAsia="宋体"/>
                <w:lang w:val="en-US" w:eastAsia="zh-CN" w:bidi="ar"/>
              </w:rPr>
              <w:br w:type="textWrapping"/>
            </w:r>
            <w:r>
              <w:rPr>
                <w:rStyle w:val="12"/>
                <w:lang w:val="en-US" w:eastAsia="zh-CN" w:bidi="ar"/>
              </w:rPr>
              <w:t>及时性</w:t>
            </w:r>
          </w:p>
        </w:tc>
        <w:tc>
          <w:tcPr>
            <w:tcW w:w="495" w:type="dxa"/>
            <w:tcBorders>
              <w:tl2br w:val="nil"/>
              <w:tr2bl w:val="nil"/>
            </w:tcBorders>
            <w:noWrap w:val="0"/>
            <w:vAlign w:val="center"/>
          </w:tcPr>
          <w:p w14:paraId="796352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B4125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44BAD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完成及时率</w:t>
            </w:r>
            <w:r>
              <w:rPr>
                <w:rStyle w:val="13"/>
                <w:rFonts w:eastAsia="宋体"/>
                <w:lang w:val="en-US" w:eastAsia="zh-CN" w:bidi="ar"/>
              </w:rPr>
              <w:t>=</w:t>
            </w:r>
            <w:r>
              <w:rPr>
                <w:rStyle w:val="12"/>
                <w:lang w:val="en-US" w:eastAsia="zh-CN" w:bidi="ar"/>
              </w:rPr>
              <w:t>（及时完成实际工作数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。及时完成实际工作数：部门按照整体绩效目标确定的时限实际完成的工作任务数量。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完成及时率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1AB512CD">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5EA9C6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08E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4D89A185">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31D79F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883A7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质量</w:t>
            </w:r>
            <w:r>
              <w:rPr>
                <w:rStyle w:val="13"/>
                <w:rFonts w:eastAsia="宋体"/>
                <w:lang w:val="en-US" w:eastAsia="zh-CN" w:bidi="ar"/>
              </w:rPr>
              <w:br w:type="textWrapping"/>
            </w:r>
            <w:r>
              <w:rPr>
                <w:rStyle w:val="12"/>
                <w:lang w:val="en-US" w:eastAsia="zh-CN" w:bidi="ar"/>
              </w:rPr>
              <w:t>达标率</w:t>
            </w:r>
          </w:p>
        </w:tc>
        <w:tc>
          <w:tcPr>
            <w:tcW w:w="495" w:type="dxa"/>
            <w:tcBorders>
              <w:tl2br w:val="nil"/>
              <w:tr2bl w:val="nil"/>
            </w:tcBorders>
            <w:noWrap w:val="0"/>
            <w:vAlign w:val="center"/>
          </w:tcPr>
          <w:p w14:paraId="74793F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73A08B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达到质量标准（绩效标准值）的实际工作数与计划工作数的比率</w:t>
            </w:r>
            <w:r>
              <w:rPr>
                <w:rStyle w:val="13"/>
                <w:rFonts w:eastAsia="宋体"/>
                <w:lang w:val="en-US" w:eastAsia="zh-CN" w:bidi="ar"/>
              </w:rPr>
              <w:t>,</w:t>
            </w:r>
            <w:r>
              <w:rPr>
                <w:rStyle w:val="12"/>
                <w:lang w:val="en-US" w:eastAsia="zh-CN" w:bidi="ar"/>
              </w:rPr>
              <w:t>用以反映和考核部门履职质量目标的实现程度。</w:t>
            </w:r>
          </w:p>
        </w:tc>
        <w:tc>
          <w:tcPr>
            <w:tcW w:w="5112" w:type="dxa"/>
            <w:tcBorders>
              <w:tl2br w:val="nil"/>
              <w:tr2bl w:val="nil"/>
            </w:tcBorders>
            <w:noWrap w:val="0"/>
            <w:vAlign w:val="center"/>
          </w:tcPr>
          <w:p w14:paraId="225457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质量达标率</w:t>
            </w:r>
            <w:r>
              <w:rPr>
                <w:rStyle w:val="13"/>
                <w:rFonts w:eastAsia="宋体"/>
                <w:lang w:val="en-US" w:eastAsia="zh-CN" w:bidi="ar"/>
              </w:rPr>
              <w:t>=</w:t>
            </w:r>
            <w:r>
              <w:rPr>
                <w:rStyle w:val="12"/>
                <w:lang w:val="en-US" w:eastAsia="zh-CN" w:bidi="ar"/>
              </w:rPr>
              <w:t>（质量达标实际工作数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。质量达标实际工作数：一定时期（年度或规划期）内部门实际完成工作数中达到部门绩效目标要求（绩效标准值）的工作任务数量。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达标率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522A863E">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1046DF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1F0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57FAB60F">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E46FC6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C819D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w:t>
            </w:r>
            <w:r>
              <w:rPr>
                <w:rStyle w:val="13"/>
                <w:rFonts w:eastAsia="宋体"/>
                <w:lang w:val="en-US" w:eastAsia="zh-CN" w:bidi="ar"/>
              </w:rPr>
              <w:br w:type="textWrapping"/>
            </w:r>
            <w:r>
              <w:rPr>
                <w:rStyle w:val="12"/>
                <w:lang w:val="en-US" w:eastAsia="zh-CN" w:bidi="ar"/>
              </w:rPr>
              <w:t>办结率</w:t>
            </w:r>
          </w:p>
        </w:tc>
        <w:tc>
          <w:tcPr>
            <w:tcW w:w="495" w:type="dxa"/>
            <w:tcBorders>
              <w:tl2br w:val="nil"/>
              <w:tr2bl w:val="nil"/>
            </w:tcBorders>
            <w:noWrap w:val="0"/>
            <w:vAlign w:val="center"/>
          </w:tcPr>
          <w:p w14:paraId="26980A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9825B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5EDA5F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重点工作办结率</w:t>
            </w:r>
            <w:r>
              <w:rPr>
                <w:rStyle w:val="13"/>
                <w:rFonts w:eastAsia="宋体"/>
                <w:lang w:val="en-US" w:eastAsia="zh-CN" w:bidi="ar"/>
              </w:rPr>
              <w:t>=</w:t>
            </w:r>
            <w:r>
              <w:rPr>
                <w:rStyle w:val="12"/>
                <w:lang w:val="en-US" w:eastAsia="zh-CN" w:bidi="ar"/>
              </w:rPr>
              <w:t>（重点工作实际完成数</w:t>
            </w:r>
            <w:r>
              <w:rPr>
                <w:rStyle w:val="13"/>
                <w:rFonts w:eastAsia="宋体"/>
                <w:lang w:val="en-US" w:eastAsia="zh-CN" w:bidi="ar"/>
              </w:rPr>
              <w:t>/</w:t>
            </w:r>
            <w:r>
              <w:rPr>
                <w:rStyle w:val="12"/>
                <w:lang w:val="en-US" w:eastAsia="zh-CN" w:bidi="ar"/>
              </w:rPr>
              <w:t>交办或下达数）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重点工作是指党委、政府、人大、相关部门交办或下达的工作任务。</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办结率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227E0FD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66C148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643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3E6965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效果</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17</w:t>
            </w:r>
            <w:r>
              <w:rPr>
                <w:rStyle w:val="10"/>
                <w:lang w:val="en-US" w:eastAsia="zh-CN" w:bidi="ar"/>
              </w:rPr>
              <w:t>分）</w:t>
            </w:r>
          </w:p>
        </w:tc>
        <w:tc>
          <w:tcPr>
            <w:tcW w:w="870" w:type="dxa"/>
            <w:vMerge w:val="restart"/>
            <w:tcBorders>
              <w:tl2br w:val="nil"/>
              <w:tr2bl w:val="nil"/>
            </w:tcBorders>
            <w:noWrap w:val="0"/>
            <w:vAlign w:val="center"/>
          </w:tcPr>
          <w:p w14:paraId="57F1EA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履职效益（</w:t>
            </w:r>
            <w:r>
              <w:rPr>
                <w:rStyle w:val="13"/>
                <w:rFonts w:eastAsia="宋体"/>
                <w:lang w:val="en-US" w:eastAsia="zh-CN" w:bidi="ar"/>
              </w:rPr>
              <w:t>17</w:t>
            </w:r>
            <w:r>
              <w:rPr>
                <w:rStyle w:val="12"/>
                <w:lang w:val="en-US" w:eastAsia="zh-CN" w:bidi="ar"/>
              </w:rPr>
              <w:t>分）</w:t>
            </w:r>
          </w:p>
        </w:tc>
        <w:tc>
          <w:tcPr>
            <w:tcW w:w="1050" w:type="dxa"/>
            <w:tcBorders>
              <w:tl2br w:val="nil"/>
              <w:tr2bl w:val="nil"/>
            </w:tcBorders>
            <w:noWrap w:val="0"/>
            <w:vAlign w:val="center"/>
          </w:tcPr>
          <w:p w14:paraId="0FF876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经济</w:t>
            </w:r>
            <w:r>
              <w:rPr>
                <w:rStyle w:val="13"/>
                <w:rFonts w:eastAsia="宋体"/>
                <w:lang w:val="en-US" w:eastAsia="zh-CN" w:bidi="ar"/>
              </w:rPr>
              <w:br w:type="textWrapping"/>
            </w:r>
            <w:r>
              <w:rPr>
                <w:rStyle w:val="12"/>
                <w:lang w:val="en-US" w:eastAsia="zh-CN" w:bidi="ar"/>
              </w:rPr>
              <w:t>效益</w:t>
            </w:r>
          </w:p>
        </w:tc>
        <w:tc>
          <w:tcPr>
            <w:tcW w:w="495" w:type="dxa"/>
            <w:vMerge w:val="restart"/>
            <w:tcBorders>
              <w:tl2br w:val="nil"/>
              <w:tr2bl w:val="nil"/>
            </w:tcBorders>
            <w:noWrap w:val="0"/>
            <w:vAlign w:val="center"/>
          </w:tcPr>
          <w:p w14:paraId="0A491A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3B3424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6F2F1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此三项指标可根据部门实际并结合部门整体支出绩效目标设立情况有选择的进行评价。</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依据评价内容相应计分。</w:t>
            </w:r>
          </w:p>
        </w:tc>
        <w:tc>
          <w:tcPr>
            <w:tcW w:w="2115" w:type="dxa"/>
            <w:tcBorders>
              <w:tl2br w:val="nil"/>
              <w:tr2bl w:val="nil"/>
            </w:tcBorders>
            <w:noWrap w:val="0"/>
            <w:vAlign w:val="center"/>
          </w:tcPr>
          <w:p w14:paraId="0464643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828ACE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4F94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E867BF8">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597A2F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96DA6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14:paraId="6AE91208">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68AEB3B">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59109727">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36320D6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17F70C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4F1A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2459030">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FC85EE6">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86DDA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生态</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14:paraId="7A61EB98">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49140058">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2C1F3AE3">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33369FF9">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F92751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7CD8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01BCE28E">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A15E5F3">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07D04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社会公众或服务对象满意度</w:t>
            </w:r>
          </w:p>
        </w:tc>
        <w:tc>
          <w:tcPr>
            <w:tcW w:w="495" w:type="dxa"/>
            <w:tcBorders>
              <w:tl2br w:val="nil"/>
              <w:tr2bl w:val="nil"/>
            </w:tcBorders>
            <w:noWrap w:val="0"/>
            <w:vAlign w:val="center"/>
          </w:tcPr>
          <w:p w14:paraId="3B95AA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07EDCF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社会公众或部门的服务对象对部门履职效果的满意程度。</w:t>
            </w:r>
          </w:p>
        </w:tc>
        <w:tc>
          <w:tcPr>
            <w:tcW w:w="5112" w:type="dxa"/>
            <w:tcBorders>
              <w:tl2br w:val="nil"/>
              <w:tr2bl w:val="nil"/>
            </w:tcBorders>
            <w:noWrap w:val="0"/>
            <w:vAlign w:val="center"/>
          </w:tcPr>
          <w:p w14:paraId="7537D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社会公众或服务对象是指部门履行职责而影响到的部门、群体或个人。一般采取社会调查的方式</w:t>
            </w:r>
            <w:r>
              <w:rPr>
                <w:rStyle w:val="13"/>
                <w:rFonts w:eastAsia="宋体"/>
                <w:lang w:val="en-US" w:eastAsia="zh-CN" w:bidi="ar"/>
              </w:rPr>
              <w:t>(</w:t>
            </w:r>
            <w:r>
              <w:rPr>
                <w:rStyle w:val="12"/>
                <w:lang w:val="en-US" w:eastAsia="zh-CN" w:bidi="ar"/>
              </w:rPr>
              <w:t>不少于</w:t>
            </w:r>
            <w:r>
              <w:rPr>
                <w:rStyle w:val="13"/>
                <w:rFonts w:eastAsia="宋体"/>
                <w:lang w:val="en-US" w:eastAsia="zh-CN" w:bidi="ar"/>
              </w:rPr>
              <w:t>30</w:t>
            </w:r>
            <w:r>
              <w:rPr>
                <w:rStyle w:val="12"/>
                <w:lang w:val="en-US" w:eastAsia="zh-CN" w:bidi="ar"/>
              </w:rPr>
              <w:t>份</w:t>
            </w:r>
            <w:r>
              <w:rPr>
                <w:rStyle w:val="13"/>
                <w:rFonts w:eastAsia="宋体"/>
                <w:lang w:val="en-US" w:eastAsia="zh-CN" w:bidi="ar"/>
              </w:rPr>
              <w:t>)</w:t>
            </w:r>
            <w:r>
              <w:rPr>
                <w:rStyle w:val="12"/>
                <w:lang w:val="en-US" w:eastAsia="zh-CN" w:bidi="ar"/>
              </w:rPr>
              <w:t>。</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满意率</w:t>
            </w:r>
            <w:r>
              <w:rPr>
                <w:rStyle w:val="13"/>
                <w:rFonts w:eastAsia="宋体"/>
                <w:lang w:val="en-US" w:eastAsia="zh-CN" w:bidi="ar"/>
              </w:rPr>
              <w:t>×8</w:t>
            </w:r>
            <w:r>
              <w:rPr>
                <w:rStyle w:val="12"/>
                <w:lang w:val="en-US" w:eastAsia="zh-CN" w:bidi="ar"/>
              </w:rPr>
              <w:t>分。</w:t>
            </w:r>
          </w:p>
        </w:tc>
        <w:tc>
          <w:tcPr>
            <w:tcW w:w="2115" w:type="dxa"/>
            <w:tcBorders>
              <w:tl2br w:val="nil"/>
              <w:tr2bl w:val="nil"/>
            </w:tcBorders>
            <w:noWrap w:val="0"/>
            <w:vAlign w:val="center"/>
          </w:tcPr>
          <w:p w14:paraId="737F30B0">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454A1B3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34C59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657407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合</w:t>
            </w:r>
            <w:r>
              <w:rPr>
                <w:rStyle w:val="15"/>
                <w:rFonts w:eastAsia="宋体"/>
                <w:lang w:val="en-US" w:eastAsia="zh-CN" w:bidi="ar"/>
              </w:rPr>
              <w:t xml:space="preserve">  </w:t>
            </w:r>
            <w:r>
              <w:rPr>
                <w:rStyle w:val="14"/>
                <w:lang w:val="en-US" w:eastAsia="zh-CN" w:bidi="ar"/>
              </w:rPr>
              <w:t>计</w:t>
            </w:r>
          </w:p>
        </w:tc>
        <w:tc>
          <w:tcPr>
            <w:tcW w:w="0" w:type="auto"/>
            <w:tcBorders>
              <w:tl2br w:val="nil"/>
              <w:tr2bl w:val="nil"/>
            </w:tcBorders>
            <w:noWrap/>
            <w:vAlign w:val="center"/>
          </w:tcPr>
          <w:p w14:paraId="37168D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05FFEBDB">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4B9BB4A8">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76542196">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6D9C26B1">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98</w:t>
            </w:r>
          </w:p>
        </w:tc>
      </w:tr>
    </w:tbl>
    <w:p w14:paraId="227ADCCE">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2BD29056">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2EF9F2AC">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8"/>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14:paraId="6136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31B0F">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ED63F5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D99C4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FCE3EE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117C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540D3">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01056BC">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62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1C6B121">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59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6598ED6">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95.16%</w:t>
            </w:r>
          </w:p>
        </w:tc>
      </w:tr>
      <w:tr w14:paraId="4D36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F3DB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232E6B1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063D5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4CAABD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4DCF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0BB0C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33F5D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DC8FB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4AA5AC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20AB9A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5210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B150AD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13E54B6">
            <w:pPr>
              <w:rPr>
                <w:rFonts w:hint="eastAsia"/>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7E112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29511C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3BA802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2FEE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441D9CF">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7219C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88D7D9">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360ED9">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7CA093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19A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A7EF2F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58274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4EBA4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BF50A1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DBD41E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95C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2115AA">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AA687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FDBBD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CCCD3C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73B7B9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148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F1BDC5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F7FA6F">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8F9029">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3B60EC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69BCA6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4540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32712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EDC3B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91131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A998CC4">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43E7DEB">
            <w:pPr>
              <w:rPr>
                <w:rFonts w:hint="eastAsia" w:ascii="仿宋" w:hAnsi="仿宋" w:eastAsia="仿宋" w:cs="仿宋"/>
                <w:i w:val="0"/>
                <w:iCs w:val="0"/>
                <w:color w:val="000000"/>
                <w:sz w:val="21"/>
                <w:szCs w:val="21"/>
                <w:u w:val="none"/>
              </w:rPr>
            </w:pPr>
          </w:p>
        </w:tc>
      </w:tr>
      <w:tr w14:paraId="654C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80BC12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97BECD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0CE80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74FD86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1573A49">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132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B117BF">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8DCC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7E40B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5B6D24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1655E6B">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42C9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82153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63AC65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096AB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F3A7697">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5D2239F">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B78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1A0508E">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2D742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82F3FF">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BB672C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2E85D28">
            <w:pPr>
              <w:rPr>
                <w:rFonts w:hint="eastAsia" w:ascii="仿宋" w:hAnsi="仿宋" w:eastAsia="仿宋" w:cs="仿宋"/>
                <w:i w:val="0"/>
                <w:iCs w:val="0"/>
                <w:color w:val="000000"/>
                <w:sz w:val="21"/>
                <w:szCs w:val="21"/>
                <w:u w:val="none"/>
              </w:rPr>
            </w:pPr>
          </w:p>
        </w:tc>
      </w:tr>
      <w:tr w14:paraId="4C36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7A94A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13ADFA3">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2028E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646.15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FEF9F6">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159.18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AD567C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181</w:t>
            </w:r>
          </w:p>
        </w:tc>
      </w:tr>
      <w:tr w14:paraId="5FC9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D7BD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11D2E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21072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A3103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767DF4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34.78</w:t>
            </w:r>
          </w:p>
        </w:tc>
      </w:tr>
      <w:tr w14:paraId="4A00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2B3C12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266E9AB">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AE22F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B7D218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131CB7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7.49</w:t>
            </w:r>
          </w:p>
        </w:tc>
      </w:tr>
      <w:tr w14:paraId="33F6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D2119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84B1B2E">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17209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7F4A3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13DD35A">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5.77</w:t>
            </w:r>
          </w:p>
        </w:tc>
      </w:tr>
      <w:tr w14:paraId="6605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C0A9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693E8E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F7E62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0017BD">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399736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w:t>
            </w:r>
          </w:p>
        </w:tc>
      </w:tr>
      <w:tr w14:paraId="445B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220A1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AA67D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7FD14B">
            <w:pP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E2870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F8BF088">
            <w:pPr>
              <w:rPr>
                <w:rFonts w:hint="default" w:ascii="仿宋" w:hAnsi="仿宋" w:eastAsia="仿宋" w:cs="仿宋"/>
                <w:i w:val="0"/>
                <w:iCs w:val="0"/>
                <w:color w:val="000000"/>
                <w:sz w:val="21"/>
                <w:szCs w:val="21"/>
                <w:u w:val="none"/>
                <w:lang w:val="en-US" w:eastAsia="zh-CN"/>
              </w:rPr>
            </w:pPr>
          </w:p>
        </w:tc>
      </w:tr>
      <w:tr w14:paraId="7E69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AFAE8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6968A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FED30F">
            <w:pP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599.24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88B169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1ED6DA3">
            <w:pPr>
              <w:tabs>
                <w:tab w:val="center" w:pos="837"/>
              </w:tabs>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131.18</w:t>
            </w:r>
          </w:p>
        </w:tc>
      </w:tr>
      <w:tr w14:paraId="441C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DD22C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244FD46F">
            <w:pPr>
              <w:numPr>
                <w:ilvl w:val="0"/>
                <w:numId w:val="4"/>
              </w:numP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加强监督力度，规范审批；</w:t>
            </w:r>
          </w:p>
          <w:p w14:paraId="2FDBBC10">
            <w:pPr>
              <w:numPr>
                <w:ilvl w:val="0"/>
                <w:numId w:val="4"/>
              </w:numPr>
              <w:rPr>
                <w:rFonts w:hint="eastAsia" w:ascii="宋体" w:hAnsi="宋体" w:eastAsia="宋体" w:cs="宋体"/>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厉行节约，严格控制一般性公用经费支出；</w:t>
            </w:r>
          </w:p>
          <w:p w14:paraId="7F575B38">
            <w:pPr>
              <w:numPr>
                <w:ilvl w:val="0"/>
                <w:numId w:val="4"/>
              </w:numPr>
              <w:rPr>
                <w:rFonts w:hint="eastAsia" w:ascii="宋体" w:hAnsi="宋体" w:eastAsia="宋体" w:cs="宋体"/>
                <w:i w:val="0"/>
                <w:iCs w:val="0"/>
                <w:color w:val="000000"/>
                <w:sz w:val="24"/>
                <w:szCs w:val="24"/>
                <w:u w:val="none"/>
                <w:lang w:eastAsia="zh-CN"/>
              </w:rPr>
            </w:pPr>
            <w:r>
              <w:rPr>
                <w:rFonts w:hint="eastAsia" w:ascii="仿宋" w:hAnsi="仿宋" w:eastAsia="仿宋" w:cs="仿宋"/>
                <w:i w:val="0"/>
                <w:iCs w:val="0"/>
                <w:color w:val="000000"/>
                <w:sz w:val="20"/>
                <w:szCs w:val="20"/>
                <w:u w:val="none"/>
                <w:lang w:eastAsia="zh-CN"/>
              </w:rPr>
              <w:t>大力倡导全民节约，切实提高使用效益。</w:t>
            </w:r>
          </w:p>
        </w:tc>
      </w:tr>
    </w:tbl>
    <w:p w14:paraId="42705808">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0BBE59B2">
      <w:pPr>
        <w:pStyle w:val="2"/>
        <w:ind w:left="0" w:leftChars="0" w:firstLine="0" w:firstLineChars="0"/>
        <w:rPr>
          <w:rFonts w:hint="eastAsia" w:ascii="仿宋" w:hAnsi="仿宋" w:eastAsia="仿宋" w:cs="仿宋"/>
          <w:sz w:val="24"/>
          <w:szCs w:val="24"/>
          <w:lang w:val="en-US" w:eastAsia="zh-CN"/>
        </w:rPr>
      </w:pPr>
    </w:p>
    <w:p w14:paraId="51CA05ED">
      <w:pPr>
        <w:pStyle w:val="2"/>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填表人：姚舜禹  填报日期：2024年2月29日 联系电话：13203272113  单位负责人签字：</w:t>
      </w:r>
    </w:p>
    <w:p w14:paraId="0B9C9368">
      <w:pPr>
        <w:adjustRightInd w:val="0"/>
        <w:spacing w:line="600" w:lineRule="exact"/>
        <w:ind w:right="641"/>
        <w:rPr>
          <w:rFonts w:hint="eastAsia" w:ascii="黑体" w:eastAsia="黑体"/>
          <w:sz w:val="32"/>
          <w:szCs w:val="32"/>
        </w:rPr>
      </w:pPr>
    </w:p>
    <w:p w14:paraId="5B583B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0B4420F2">
        <w:pPr>
          <w:pStyle w:val="6"/>
          <w:jc w:val="center"/>
        </w:pPr>
        <w:r>
          <w:fldChar w:fldCharType="begin"/>
        </w:r>
        <w:r>
          <w:instrText xml:space="preserve">PAGE   \* MERGEFORMAT</w:instrText>
        </w:r>
        <w:r>
          <w:fldChar w:fldCharType="separate"/>
        </w:r>
        <w:r>
          <w:rPr>
            <w:lang w:val="zh-CN"/>
          </w:rPr>
          <w:t>3</w:t>
        </w:r>
        <w:r>
          <w:fldChar w:fldCharType="end"/>
        </w:r>
      </w:p>
    </w:sdtContent>
  </w:sdt>
  <w:p w14:paraId="53514260">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9AC4A"/>
    <w:multiLevelType w:val="singleLevel"/>
    <w:tmpl w:val="44C9AC4A"/>
    <w:lvl w:ilvl="0" w:tentative="0">
      <w:start w:val="2"/>
      <w:numFmt w:val="chineseCounting"/>
      <w:suff w:val="nothing"/>
      <w:lvlText w:val="（%1）"/>
      <w:lvlJc w:val="left"/>
      <w:rPr>
        <w:rFonts w:hint="eastAsia"/>
      </w:rPr>
    </w:lvl>
  </w:abstractNum>
  <w:abstractNum w:abstractNumId="1">
    <w:nsid w:val="48297744"/>
    <w:multiLevelType w:val="singleLevel"/>
    <w:tmpl w:val="48297744"/>
    <w:lvl w:ilvl="0" w:tentative="0">
      <w:start w:val="4"/>
      <w:numFmt w:val="chineseCounting"/>
      <w:suff w:val="nothing"/>
      <w:lvlText w:val="%1、"/>
      <w:lvlJc w:val="left"/>
      <w:rPr>
        <w:rFonts w:hint="eastAsia"/>
      </w:rPr>
    </w:lvl>
  </w:abstractNum>
  <w:abstractNum w:abstractNumId="2">
    <w:nsid w:val="74524435"/>
    <w:multiLevelType w:val="singleLevel"/>
    <w:tmpl w:val="74524435"/>
    <w:lvl w:ilvl="0" w:tentative="0">
      <w:start w:val="2"/>
      <w:numFmt w:val="chineseCounting"/>
      <w:suff w:val="nothing"/>
      <w:lvlText w:val="（%1）"/>
      <w:lvlJc w:val="left"/>
      <w:rPr>
        <w:rFonts w:hint="eastAsia"/>
      </w:rPr>
    </w:lvl>
  </w:abstractNum>
  <w:abstractNum w:abstractNumId="3">
    <w:nsid w:val="7667C704"/>
    <w:multiLevelType w:val="singleLevel"/>
    <w:tmpl w:val="7667C704"/>
    <w:lvl w:ilvl="0" w:tentative="0">
      <w:start w:val="1"/>
      <w:numFmt w:val="chineseCounting"/>
      <w:suff w:val="nothing"/>
      <w:lvlText w:val="%1、"/>
      <w:lvlJc w:val="left"/>
      <w:rPr>
        <w:rFonts w:hint="eastAsia" w:ascii="仿宋" w:hAnsi="仿宋" w:eastAsia="仿宋" w:cs="仿宋"/>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TM5NmIxYTJmNzJlOGJmY2IxOWZjMTNiNzgxMWEifQ=="/>
  </w:docVars>
  <w:rsids>
    <w:rsidRoot w:val="2D853281"/>
    <w:rsid w:val="2D85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pPr>
    <w:rPr>
      <w:rFonts w:ascii="仿宋_GB2312" w:eastAsia="仿宋_GB2312"/>
      <w:bCs/>
      <w:sz w:val="32"/>
      <w:szCs w:val="32"/>
    </w:rPr>
  </w:style>
  <w:style w:type="paragraph" w:styleId="5">
    <w:name w:val="Normal Indent"/>
    <w:basedOn w:val="1"/>
    <w:qFormat/>
    <w:uiPriority w:val="99"/>
    <w:pPr>
      <w:ind w:firstLine="420" w:firstLineChars="200"/>
    </w:pPr>
    <w:rPr>
      <w:rFonts w:eastAsia="仿宋"/>
      <w:sz w:val="32"/>
      <w:szCs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41"/>
    <w:basedOn w:val="9"/>
    <w:qFormat/>
    <w:uiPriority w:val="0"/>
    <w:rPr>
      <w:rFonts w:hint="eastAsia" w:ascii="宋体" w:hAnsi="宋体" w:eastAsia="宋体" w:cs="宋体"/>
      <w:color w:val="000000"/>
      <w:sz w:val="18"/>
      <w:szCs w:val="18"/>
      <w:u w:val="none"/>
    </w:rPr>
  </w:style>
  <w:style w:type="character" w:customStyle="1" w:styleId="11">
    <w:name w:val="font51"/>
    <w:basedOn w:val="9"/>
    <w:qFormat/>
    <w:uiPriority w:val="0"/>
    <w:rPr>
      <w:rFonts w:hint="default" w:ascii="Times New Roman" w:hAnsi="Times New Roman" w:cs="Times New Roman"/>
      <w:color w:val="000000"/>
      <w:sz w:val="18"/>
      <w:szCs w:val="18"/>
      <w:u w:val="none"/>
    </w:rPr>
  </w:style>
  <w:style w:type="character" w:customStyle="1" w:styleId="12">
    <w:name w:val="font71"/>
    <w:basedOn w:val="9"/>
    <w:qFormat/>
    <w:uiPriority w:val="0"/>
    <w:rPr>
      <w:rFonts w:hint="eastAsia" w:ascii="宋体" w:hAnsi="宋体" w:eastAsia="宋体" w:cs="宋体"/>
      <w:color w:val="000000"/>
      <w:sz w:val="18"/>
      <w:szCs w:val="18"/>
      <w:u w:val="none"/>
    </w:rPr>
  </w:style>
  <w:style w:type="character" w:customStyle="1" w:styleId="13">
    <w:name w:val="font61"/>
    <w:basedOn w:val="9"/>
    <w:qFormat/>
    <w:uiPriority w:val="0"/>
    <w:rPr>
      <w:rFonts w:hint="default" w:ascii="Times New Roman" w:hAnsi="Times New Roman" w:cs="Times New Roman"/>
      <w:color w:val="000000"/>
      <w:sz w:val="18"/>
      <w:szCs w:val="18"/>
      <w:u w:val="none"/>
    </w:rPr>
  </w:style>
  <w:style w:type="character" w:customStyle="1" w:styleId="14">
    <w:name w:val="font11"/>
    <w:basedOn w:val="9"/>
    <w:qFormat/>
    <w:uiPriority w:val="0"/>
    <w:rPr>
      <w:rFonts w:hint="eastAsia" w:ascii="宋体" w:hAnsi="宋体" w:eastAsia="宋体" w:cs="宋体"/>
      <w:color w:val="000000"/>
      <w:sz w:val="18"/>
      <w:szCs w:val="18"/>
      <w:u w:val="none"/>
    </w:rPr>
  </w:style>
  <w:style w:type="character" w:customStyle="1" w:styleId="15">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2024-09-03T03:14:00Z</dcterms:created>
  <dc:creator>微信用户</dc:creator>
  <cp:lastModifiedBy>微信用户</cp:lastModifiedBy>
  <dcterms:modified xsi:type="dcterms:W3CDTF">2024-09-03T04:23:10Z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09D269308C5B4C0CB2DD8838BB80CE7C_11</vt:lpwstr>
  </property>
</Properties>
</file>